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025683" w:rsidRDefault="007C2AAB">
      <w:pPr>
        <w:spacing w:after="2" w:line="259" w:lineRule="auto"/>
        <w:ind w:left="2081"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-12496</wp:posOffset>
                </wp:positionH>
                <wp:positionV relativeFrom="paragraph">
                  <wp:posOffset>-93672</wp:posOffset>
                </wp:positionV>
                <wp:extent cx="904494" cy="915315"/>
                <wp:effectExtent l="0" t="0" r="0" b="0"/>
                <wp:wrapSquare wrapText="bothSides"/>
                <wp:docPr id="372061" name="Group 372061"/>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72061" style="width:71.22pt;height:72.072pt;position:absolute;mso-position-horizontal-relative:text;mso-position-horizontal:absolute;margin-left:-0.983994pt;mso-position-vertical-relative:text;margin-top:-7.37585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55"/>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r>
        <w:rPr>
          <w:sz w:val="16"/>
        </w:rPr>
        <w:t xml:space="preserve"> </w:t>
      </w:r>
    </w:p>
    <w:p w:rsidR="00025683" w:rsidRDefault="007C2AAB">
      <w:pPr>
        <w:spacing w:after="0" w:line="259" w:lineRule="auto"/>
        <w:ind w:left="2081" w:firstLine="0"/>
        <w:jc w:val="left"/>
      </w:pPr>
      <w:r>
        <w:rPr>
          <w:b/>
          <w:sz w:val="18"/>
        </w:rPr>
        <w:t xml:space="preserve"> </w:t>
      </w:r>
    </w:p>
    <w:p w:rsidR="00025683" w:rsidRDefault="007C2AAB">
      <w:pPr>
        <w:spacing w:after="0" w:line="259" w:lineRule="auto"/>
        <w:ind w:left="2081" w:firstLine="0"/>
        <w:jc w:val="left"/>
      </w:pPr>
      <w:r>
        <w:rPr>
          <w:b/>
          <w:sz w:val="18"/>
        </w:rPr>
        <w:t xml:space="preserve"> </w:t>
      </w:r>
    </w:p>
    <w:p w:rsidR="00025683" w:rsidRDefault="007C2AAB">
      <w:pPr>
        <w:spacing w:after="0" w:line="259" w:lineRule="auto"/>
        <w:ind w:left="10" w:hanging="10"/>
        <w:jc w:val="left"/>
      </w:pPr>
      <w:r>
        <w:rPr>
          <w:b/>
          <w:sz w:val="18"/>
        </w:rPr>
        <w:t xml:space="preserve">SECRETARÍA GENERAL </w:t>
      </w:r>
    </w:p>
    <w:p w:rsidR="00025683" w:rsidRDefault="007C2AAB">
      <w:pPr>
        <w:spacing w:after="685" w:line="259" w:lineRule="auto"/>
        <w:ind w:left="2081" w:firstLine="0"/>
        <w:jc w:val="left"/>
      </w:pPr>
      <w:r>
        <w:rPr>
          <w:b/>
          <w:sz w:val="18"/>
        </w:rPr>
        <w:t xml:space="preserve"> </w:t>
      </w:r>
    </w:p>
    <w:p w:rsidR="00025683" w:rsidRDefault="007C2AAB">
      <w:pPr>
        <w:spacing w:after="77" w:line="259" w:lineRule="auto"/>
        <w:ind w:left="15" w:firstLine="0"/>
        <w:jc w:val="left"/>
      </w:pPr>
      <w:r>
        <w:rPr>
          <w:rFonts w:ascii="Calibri" w:eastAsia="Calibri" w:hAnsi="Calibri" w:cs="Calibri"/>
          <w:noProof/>
        </w:rPr>
        <mc:AlternateContent>
          <mc:Choice Requires="wpg">
            <w:drawing>
              <wp:inline distT="0" distB="0" distL="0" distR="0">
                <wp:extent cx="6057265" cy="25908"/>
                <wp:effectExtent l="0" t="0" r="0" b="0"/>
                <wp:docPr id="372071" name="Group 372071"/>
                <wp:cNvGraphicFramePr/>
                <a:graphic xmlns:a="http://schemas.openxmlformats.org/drawingml/2006/main">
                  <a:graphicData uri="http://schemas.microsoft.com/office/word/2010/wordprocessingGroup">
                    <wpg:wgp>
                      <wpg:cNvGrpSpPr/>
                      <wpg:grpSpPr>
                        <a:xfrm>
                          <a:off x="0" y="0"/>
                          <a:ext cx="6057265" cy="25908"/>
                          <a:chOff x="0" y="0"/>
                          <a:chExt cx="6057265" cy="25908"/>
                        </a:xfrm>
                      </wpg:grpSpPr>
                      <wps:wsp>
                        <wps:cNvPr id="17" name="Shape 17"/>
                        <wps:cNvSpPr/>
                        <wps:spPr>
                          <a:xfrm>
                            <a:off x="0" y="0"/>
                            <a:ext cx="6057265" cy="0"/>
                          </a:xfrm>
                          <a:custGeom>
                            <a:avLst/>
                            <a:gdLst/>
                            <a:ahLst/>
                            <a:cxnLst/>
                            <a:rect l="0" t="0" r="0" b="0"/>
                            <a:pathLst>
                              <a:path w="6057265">
                                <a:moveTo>
                                  <a:pt x="0" y="0"/>
                                </a:moveTo>
                                <a:lnTo>
                                  <a:pt x="605726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2071" style="width:476.95pt;height:2.04pt;mso-position-horizontal-relative:char;mso-position-vertical-relative:line" coordsize="60572,259">
                <v:shape id="Shape 17" style="position:absolute;width:60572;height:0;left:0;top:0;" coordsize="6057265,0" path="m0,0l6057265,0">
                  <v:stroke weight="2.04pt" endcap="square" joinstyle="miter" miterlimit="10" on="true" color="#993366"/>
                  <v:fill on="false" color="#000000" opacity="0"/>
                </v:shape>
              </v:group>
            </w:pict>
          </mc:Fallback>
        </mc:AlternateContent>
      </w:r>
    </w:p>
    <w:p w:rsidR="00025683" w:rsidRDefault="007C2AAB">
      <w:pPr>
        <w:spacing w:after="12" w:line="259" w:lineRule="auto"/>
        <w:ind w:left="233" w:firstLine="0"/>
        <w:jc w:val="left"/>
      </w:pPr>
      <w:r>
        <w:rPr>
          <w:b/>
          <w:vertAlign w:val="superscript"/>
        </w:rPr>
        <w:t xml:space="preserve"> </w:t>
      </w:r>
      <w:r>
        <w:rPr>
          <w:b/>
          <w:vertAlign w:val="superscript"/>
        </w:rPr>
        <w:tab/>
      </w:r>
      <w:r>
        <w:t xml:space="preserve">  </w:t>
      </w:r>
      <w:r>
        <w:tab/>
        <w:t xml:space="preserve"> </w:t>
      </w:r>
      <w:r>
        <w:tab/>
        <w:t xml:space="preserve">  </w:t>
      </w:r>
      <w:r>
        <w:tab/>
        <w:t xml:space="preserve"> </w:t>
      </w:r>
      <w:r>
        <w:tab/>
        <w:t xml:space="preserve"> </w:t>
      </w:r>
    </w:p>
    <w:p w:rsidR="00025683" w:rsidRDefault="007C2AAB">
      <w:pPr>
        <w:spacing w:after="0" w:line="259" w:lineRule="auto"/>
        <w:ind w:left="125" w:firstLine="0"/>
        <w:jc w:val="left"/>
      </w:pPr>
      <w:r>
        <w:rPr>
          <w:b/>
          <w:sz w:val="2"/>
        </w:rPr>
        <w:t xml:space="preserve"> </w:t>
      </w:r>
      <w:r>
        <w:t xml:space="preserve"> </w:t>
      </w:r>
      <w:r>
        <w:tab/>
        <w:t xml:space="preserve"> </w:t>
      </w:r>
      <w:r>
        <w:tab/>
        <w:t xml:space="preserve"> </w:t>
      </w:r>
      <w:r>
        <w:tab/>
        <w:t xml:space="preserve"> </w:t>
      </w:r>
    </w:p>
    <w:p w:rsidR="00025683" w:rsidRDefault="007C2AAB">
      <w:pPr>
        <w:spacing w:after="0" w:line="259" w:lineRule="auto"/>
        <w:ind w:left="189" w:right="162" w:hanging="10"/>
        <w:jc w:val="center"/>
      </w:pPr>
      <w:r>
        <w:rPr>
          <w:b/>
          <w:sz w:val="24"/>
        </w:rPr>
        <w:t>A C T A</w:t>
      </w:r>
      <w:r>
        <w:rPr>
          <w:rFonts w:ascii="Times New Roman" w:eastAsia="Times New Roman" w:hAnsi="Times New Roman" w:cs="Times New Roman"/>
          <w:sz w:val="24"/>
        </w:rPr>
        <w:t xml:space="preserve"> </w:t>
      </w:r>
      <w:r>
        <w:rPr>
          <w:b/>
          <w:sz w:val="24"/>
        </w:rPr>
        <w:t xml:space="preserve">DE LA SESIÓN ORDINARIA CELEBRADA POR   EL AYUNTAMIENTO PLENO </w:t>
      </w:r>
    </w:p>
    <w:p w:rsidR="00025683" w:rsidRDefault="007C2AAB">
      <w:pPr>
        <w:spacing w:after="0" w:line="259" w:lineRule="auto"/>
        <w:ind w:left="189" w:right="158" w:hanging="10"/>
        <w:jc w:val="center"/>
      </w:pPr>
      <w:r>
        <w:rPr>
          <w:b/>
          <w:sz w:val="24"/>
        </w:rPr>
        <w:t xml:space="preserve">EL DÍA 29 DE DICIEMBRE DE 2025. SESIÓN Nº17/2025. </w:t>
      </w:r>
    </w:p>
    <w:p w:rsidR="00025683" w:rsidRDefault="007C2AAB">
      <w:pPr>
        <w:spacing w:after="0" w:line="259" w:lineRule="auto"/>
        <w:ind w:left="84" w:firstLine="0"/>
        <w:jc w:val="center"/>
      </w:pPr>
      <w:r>
        <w:rPr>
          <w:sz w:val="24"/>
        </w:rPr>
        <w:t xml:space="preserve"> </w:t>
      </w:r>
    </w:p>
    <w:p w:rsidR="00025683" w:rsidRDefault="007C2AAB">
      <w:pPr>
        <w:spacing w:after="0" w:line="259" w:lineRule="auto"/>
        <w:ind w:left="17" w:firstLine="0"/>
        <w:jc w:val="left"/>
      </w:pPr>
      <w:r>
        <w:t xml:space="preserve"> </w:t>
      </w:r>
    </w:p>
    <w:p w:rsidR="00025683" w:rsidRDefault="007C2AAB">
      <w:pPr>
        <w:spacing w:after="0" w:line="259" w:lineRule="auto"/>
        <w:ind w:left="17" w:firstLine="0"/>
        <w:jc w:val="left"/>
      </w:pPr>
      <w:r>
        <w:t xml:space="preserve"> </w:t>
      </w:r>
    </w:p>
    <w:p w:rsidR="00025683" w:rsidRDefault="007C2AAB">
      <w:pPr>
        <w:spacing w:after="3" w:line="259" w:lineRule="auto"/>
        <w:ind w:left="274" w:right="246" w:hanging="10"/>
        <w:jc w:val="center"/>
      </w:pPr>
      <w:r>
        <w:rPr>
          <w:b/>
        </w:rPr>
        <w:t>SRES. ASISTENTES:</w:t>
      </w:r>
      <w:r>
        <w:rPr>
          <w:rFonts w:ascii="Times New Roman" w:eastAsia="Times New Roman" w:hAnsi="Times New Roman" w:cs="Times New Roman"/>
          <w:sz w:val="24"/>
        </w:rPr>
        <w:t xml:space="preserve"> </w:t>
      </w:r>
    </w:p>
    <w:p w:rsidR="00025683" w:rsidRDefault="007C2AAB">
      <w:pPr>
        <w:ind w:right="200"/>
      </w:pPr>
      <w:r>
        <w:rPr>
          <w:b/>
        </w:rPr>
        <w:t xml:space="preserve"> Alcaldesa-Presidenta: </w:t>
      </w:r>
      <w:r>
        <w:t>Dª María Concepción Brito Núñez</w:t>
      </w:r>
      <w:r>
        <w:rPr>
          <w:rFonts w:ascii="Times New Roman" w:eastAsia="Times New Roman" w:hAnsi="Times New Roman" w:cs="Times New Roman"/>
          <w:sz w:val="24"/>
        </w:rPr>
        <w:t xml:space="preserve"> </w:t>
      </w:r>
    </w:p>
    <w:p w:rsidR="00025683" w:rsidRDefault="007C2AAB">
      <w:pPr>
        <w:spacing w:after="0" w:line="259" w:lineRule="auto"/>
        <w:ind w:left="17" w:firstLine="0"/>
        <w:jc w:val="left"/>
      </w:pPr>
      <w:r>
        <w:rPr>
          <w:b/>
        </w:rPr>
        <w:t xml:space="preserve"> </w:t>
      </w:r>
    </w:p>
    <w:p w:rsidR="00025683" w:rsidRDefault="007C2AAB">
      <w:pPr>
        <w:ind w:left="14" w:right="1"/>
      </w:pPr>
      <w:r>
        <w:rPr>
          <w:rFonts w:ascii="Times New Roman" w:eastAsia="Times New Roman" w:hAnsi="Times New Roman" w:cs="Times New Roman"/>
          <w:b/>
        </w:rPr>
        <w:t xml:space="preserve">          -</w:t>
      </w:r>
      <w:r>
        <w:rPr>
          <w:b/>
        </w:rPr>
        <w:t>Grupo Socialista</w:t>
      </w:r>
      <w:r>
        <w:t>: D. Jorge Baute Delgado, D. José Francisco Pinto Ramos, Dª. Olivia Concepción Pérez, D. Reinaldo José Triviño Blanco, D. Manuel Alberto González Pestano, Dª. Margarita Eva Tendero Barroso, D. A</w:t>
      </w:r>
      <w:r>
        <w:t xml:space="preserve">iram Pérez Chinea, Dª. María del Carmen Clemente Díaz, D. Olegario Francisco Alonso Bello, Dª. Mónica Monserrat Yanes Delgado.  </w:t>
      </w:r>
    </w:p>
    <w:p w:rsidR="00025683" w:rsidRDefault="007C2AAB">
      <w:pPr>
        <w:spacing w:after="0" w:line="259" w:lineRule="auto"/>
        <w:ind w:left="17" w:firstLine="0"/>
        <w:jc w:val="left"/>
      </w:pPr>
      <w:r>
        <w:rPr>
          <w:color w:val="FF0000"/>
        </w:rPr>
        <w:t xml:space="preserve"> </w:t>
      </w:r>
    </w:p>
    <w:p w:rsidR="00025683" w:rsidRDefault="007C2AAB">
      <w:pPr>
        <w:ind w:left="14"/>
      </w:pPr>
      <w:r>
        <w:t xml:space="preserve">          -</w:t>
      </w:r>
      <w:r>
        <w:rPr>
          <w:b/>
        </w:rPr>
        <w:t>Grupo Popular</w:t>
      </w:r>
      <w:r>
        <w:t>: D. Jacobo López Fariña, D. Miguel Eduardo Hernández Chitty, Dª. Raquel Martín Castro, Dª. María Car</w:t>
      </w:r>
      <w:r>
        <w:t>lota Díaz González, D. José Daniel Sosa González.</w:t>
      </w:r>
      <w:r>
        <w:rPr>
          <w:rFonts w:ascii="Times New Roman" w:eastAsia="Times New Roman" w:hAnsi="Times New Roman" w:cs="Times New Roman"/>
          <w:sz w:val="24"/>
        </w:rPr>
        <w:t xml:space="preserve"> </w:t>
      </w:r>
    </w:p>
    <w:p w:rsidR="00025683" w:rsidRDefault="007C2AAB">
      <w:pPr>
        <w:spacing w:after="0" w:line="259" w:lineRule="auto"/>
        <w:ind w:left="17" w:firstLine="0"/>
        <w:jc w:val="left"/>
      </w:pPr>
      <w:r>
        <w:rPr>
          <w:color w:val="FF0000"/>
        </w:rPr>
        <w:t xml:space="preserve"> </w:t>
      </w:r>
    </w:p>
    <w:p w:rsidR="00025683" w:rsidRDefault="007C2AAB">
      <w:pPr>
        <w:ind w:left="14"/>
      </w:pPr>
      <w:r>
        <w:t xml:space="preserve">  </w:t>
      </w:r>
      <w:r>
        <w:rPr>
          <w:b/>
        </w:rPr>
        <w:t xml:space="preserve">        -Grupo Mixto</w:t>
      </w:r>
      <w:r>
        <w:t xml:space="preserve"> Dª. Ángela Cruz Perera (CC), D. José Tortosa Pallarés (Vox) y Doña Violeta López Jiménez (USP).</w:t>
      </w:r>
      <w:r>
        <w:rPr>
          <w:rFonts w:ascii="Times New Roman" w:eastAsia="Times New Roman" w:hAnsi="Times New Roman" w:cs="Times New Roman"/>
          <w:sz w:val="24"/>
        </w:rPr>
        <w:t xml:space="preserve"> </w:t>
      </w:r>
    </w:p>
    <w:p w:rsidR="00025683" w:rsidRDefault="007C2AAB">
      <w:pPr>
        <w:spacing w:after="0" w:line="259" w:lineRule="auto"/>
        <w:ind w:left="17"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72074" name="Group 372074"/>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41" name="Rectangle 141"/>
                        <wps:cNvSpPr/>
                        <wps:spPr>
                          <a:xfrm rot="-5399999">
                            <a:off x="-1151584" y="2005926"/>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2" name="Rectangle 142"/>
                        <wps:cNvSpPr/>
                        <wps:spPr>
                          <a:xfrm rot="-5399999">
                            <a:off x="-976166" y="2105144"/>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3" name="Rectangle 143"/>
                        <wps:cNvSpPr/>
                        <wps:spPr>
                          <a:xfrm rot="-5399999">
                            <a:off x="-1966025" y="1039084"/>
                            <a:ext cx="4350075"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2074" style="width:18.7031pt;height:257.538pt;position:absolute;mso-position-horizontal-relative:page;mso-position-horizontal:absolute;margin-left:662.928pt;mso-position-vertical-relative:page;margin-top:515.382pt;" coordsize="2375,32707">
                <v:rect id="Rectangle 141" style="position:absolute;width:24163;height:1132;left:-11515;top:20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2"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3"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350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372082" name="Group 372082"/>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44" name="Shape 144"/>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45" name="Shape 145"/>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2082" style="width:29pt;height:466.28pt;position:absolute;mso-position-horizontal-relative:page;mso-position-horizontal:absolute;margin-left:20pt;mso-position-vertical-relative:page;margin-top:110pt;" coordsize="3683,59217">
                <v:shape id="Shape 144" style="position:absolute;width:3683;height:29291;left:0;top:0;" coordsize="368300,2929128" path="m0,2929128l368300,2929128l368300,0l0,0x">
                  <v:stroke weight="0.5pt" endcap="flat" joinstyle="miter" miterlimit="10" on="true" color="#808080"/>
                  <v:fill on="false" color="#000000" opacity="0"/>
                </v:shape>
                <v:shape id="Shape 145"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color w:val="FF0000"/>
        </w:rPr>
        <w:t xml:space="preserve"> </w:t>
      </w:r>
    </w:p>
    <w:p w:rsidR="00025683" w:rsidRDefault="007C2AAB">
      <w:pPr>
        <w:ind w:left="14" w:right="200"/>
      </w:pPr>
      <w:r>
        <w:t xml:space="preserve">         </w:t>
      </w:r>
      <w:r>
        <w:rPr>
          <w:sz w:val="24"/>
        </w:rPr>
        <w:t xml:space="preserve"> </w:t>
      </w:r>
      <w:r>
        <w:rPr>
          <w:b/>
        </w:rPr>
        <w:t xml:space="preserve">-Secretario General: </w:t>
      </w:r>
      <w:r>
        <w:t xml:space="preserve">D. Octavio Manuel Fernández Hernández. </w:t>
      </w:r>
      <w:r>
        <w:rPr>
          <w:rFonts w:ascii="Times New Roman" w:eastAsia="Times New Roman" w:hAnsi="Times New Roman" w:cs="Times New Roman"/>
          <w:sz w:val="24"/>
        </w:rPr>
        <w:t xml:space="preserve"> </w:t>
      </w:r>
    </w:p>
    <w:p w:rsidR="00025683" w:rsidRDefault="007C2AAB">
      <w:pPr>
        <w:spacing w:after="0" w:line="259" w:lineRule="auto"/>
        <w:ind w:left="17" w:firstLine="0"/>
        <w:jc w:val="left"/>
      </w:pPr>
      <w:r>
        <w:rPr>
          <w:b/>
        </w:rPr>
        <w:t xml:space="preserve"> </w:t>
      </w:r>
    </w:p>
    <w:p w:rsidR="00025683" w:rsidRDefault="007C2AAB">
      <w:pPr>
        <w:tabs>
          <w:tab w:val="center" w:pos="2639"/>
        </w:tabs>
        <w:ind w:left="0" w:firstLine="0"/>
        <w:jc w:val="left"/>
      </w:pPr>
      <w:r>
        <w:rPr>
          <w:b/>
        </w:rPr>
        <w:t xml:space="preserve">    </w:t>
      </w:r>
      <w:r>
        <w:rPr>
          <w:b/>
        </w:rPr>
        <w:tab/>
        <w:t xml:space="preserve"> -Interventor: </w:t>
      </w:r>
      <w:r>
        <w:t xml:space="preserve">D. Nicolás </w:t>
      </w:r>
      <w:r>
        <w:t>Rojo Garnica.</w:t>
      </w:r>
      <w:r>
        <w:rPr>
          <w:rFonts w:ascii="Times New Roman" w:eastAsia="Times New Roman" w:hAnsi="Times New Roman" w:cs="Times New Roman"/>
          <w:sz w:val="24"/>
        </w:rPr>
        <w:t xml:space="preserve"> </w:t>
      </w:r>
    </w:p>
    <w:p w:rsidR="00025683" w:rsidRDefault="007C2AAB">
      <w:pPr>
        <w:spacing w:after="0" w:line="259" w:lineRule="auto"/>
        <w:ind w:left="17" w:firstLine="0"/>
        <w:jc w:val="left"/>
      </w:pPr>
      <w:r>
        <w:t xml:space="preserve"> </w:t>
      </w:r>
    </w:p>
    <w:p w:rsidR="00025683" w:rsidRDefault="007C2AAB">
      <w:pPr>
        <w:spacing w:after="12"/>
        <w:ind w:right="197"/>
      </w:pPr>
      <w:r>
        <w:rPr>
          <w:b/>
        </w:rPr>
        <w:t xml:space="preserve">En Candelaria a 29 de diciembre de dos mil veinticinco. </w:t>
      </w:r>
    </w:p>
    <w:p w:rsidR="00025683" w:rsidRDefault="007C2AAB">
      <w:pPr>
        <w:spacing w:after="0" w:line="259" w:lineRule="auto"/>
        <w:ind w:left="78" w:firstLine="0"/>
        <w:jc w:val="center"/>
      </w:pPr>
      <w:r>
        <w:rPr>
          <w:b/>
        </w:rPr>
        <w:t xml:space="preserve"> </w:t>
      </w:r>
      <w:r>
        <w:rPr>
          <w:b/>
        </w:rPr>
        <w:tab/>
        <w:t xml:space="preserve"> </w:t>
      </w:r>
    </w:p>
    <w:p w:rsidR="00025683" w:rsidRDefault="007C2AAB">
      <w:pPr>
        <w:spacing w:after="12"/>
        <w:ind w:left="14" w:right="197"/>
      </w:pPr>
      <w:r>
        <w:rPr>
          <w:b/>
        </w:rPr>
        <w:t>En Candelaria, a veintinueve de diciembre de dos mil veinticinco siendo las 9:15 horas, se constituyó el Ayuntamiento Pleno en el Salón de Sesiones de la Casa Consistorial con as</w:t>
      </w:r>
      <w:r>
        <w:rPr>
          <w:b/>
        </w:rPr>
        <w:t xml:space="preserve">istencia de los Sres. Concejales expresados al margen, y al objeto de celebrar sesión ordinaria para tratar los asuntos comprendidos en el orden del día de la convocatoria. </w:t>
      </w:r>
    </w:p>
    <w:p w:rsidR="00025683" w:rsidRDefault="007C2AAB">
      <w:pPr>
        <w:spacing w:after="346" w:line="259" w:lineRule="auto"/>
        <w:ind w:left="14" w:firstLine="0"/>
        <w:jc w:val="left"/>
      </w:pPr>
      <w:r>
        <w:rPr>
          <w:sz w:val="14"/>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lastRenderedPageBreak/>
        <w:t xml:space="preserve"> </w:t>
      </w:r>
    </w:p>
    <w:p w:rsidR="00025683" w:rsidRDefault="007C2AAB">
      <w:pPr>
        <w:spacing w:after="386" w:line="259" w:lineRule="auto"/>
        <w:ind w:left="0" w:right="133" w:firstLine="0"/>
        <w:jc w:val="center"/>
      </w:pPr>
      <w:r>
        <w:rPr>
          <w:b/>
        </w:rPr>
        <w:t xml:space="preserve"> </w:t>
      </w:r>
    </w:p>
    <w:p w:rsidR="00025683" w:rsidRDefault="007C2AAB">
      <w:pPr>
        <w:spacing w:after="0" w:line="259" w:lineRule="auto"/>
        <w:ind w:left="0" w:right="257" w:firstLine="0"/>
        <w:jc w:val="center"/>
      </w:pPr>
      <w:r>
        <w:rPr>
          <w:rFonts w:ascii="Calibri" w:eastAsia="Calibri" w:hAnsi="Calibri" w:cs="Calibri"/>
          <w:noProof/>
        </w:rPr>
        <mc:AlternateContent>
          <mc:Choice Requires="wpg">
            <w:drawing>
              <wp:inline distT="0" distB="0" distL="0" distR="0">
                <wp:extent cx="5830570" cy="17145"/>
                <wp:effectExtent l="0" t="0" r="0" b="0"/>
                <wp:docPr id="372068" name="Group 372068"/>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2068"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025683" w:rsidRDefault="007C2AAB">
      <w:pPr>
        <w:spacing w:after="89" w:line="241" w:lineRule="auto"/>
        <w:ind w:left="1981" w:right="1926" w:firstLine="0"/>
        <w:jc w:val="center"/>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17" w:firstLine="0"/>
        <w:jc w:val="left"/>
      </w:pPr>
      <w:r>
        <w:rPr>
          <w:rFonts w:ascii="Times New Roman" w:eastAsia="Times New Roman" w:hAnsi="Times New Roman" w:cs="Times New Roman"/>
          <w:sz w:val="24"/>
        </w:rPr>
        <w:t xml:space="preserve"> </w:t>
      </w:r>
    </w:p>
    <w:p w:rsidR="00025683" w:rsidRDefault="007C2AAB">
      <w:pPr>
        <w:spacing w:after="38" w:line="259" w:lineRule="auto"/>
        <w:ind w:left="0" w:right="133" w:firstLine="0"/>
        <w:jc w:val="center"/>
      </w:pPr>
      <w:r>
        <w:rPr>
          <w:b/>
        </w:rPr>
        <w:t xml:space="preserve"> </w:t>
      </w:r>
    </w:p>
    <w:p w:rsidR="00025683" w:rsidRDefault="007C2AAB">
      <w:pPr>
        <w:spacing w:after="0" w:line="259" w:lineRule="auto"/>
        <w:ind w:left="0" w:right="189" w:firstLine="0"/>
        <w:jc w:val="center"/>
      </w:pPr>
      <w:r>
        <w:rPr>
          <w:b/>
          <w:sz w:val="28"/>
        </w:rPr>
        <w:t xml:space="preserve">ORDEN DEL DÍA </w:t>
      </w:r>
    </w:p>
    <w:p w:rsidR="00025683" w:rsidRDefault="007C2AAB">
      <w:pPr>
        <w:spacing w:after="0" w:line="259" w:lineRule="auto"/>
        <w:ind w:left="0" w:right="133" w:firstLine="0"/>
        <w:jc w:val="center"/>
      </w:pPr>
      <w:r>
        <w:rPr>
          <w:b/>
        </w:rPr>
        <w:t xml:space="preserve"> </w:t>
      </w:r>
    </w:p>
    <w:p w:rsidR="00025683" w:rsidRDefault="007C2AAB">
      <w:pPr>
        <w:spacing w:after="12"/>
        <w:ind w:left="14" w:right="197"/>
      </w:pPr>
      <w:r>
        <w:rPr>
          <w:b/>
        </w:rPr>
        <w:t xml:space="preserve">  El debate íntegro de la sesión del pleno está disponible en el siguiente enlace que es el video-acta:</w:t>
      </w:r>
      <w:r>
        <w:rPr>
          <w:rFonts w:ascii="Times New Roman" w:eastAsia="Times New Roman" w:hAnsi="Times New Roman" w:cs="Times New Roman"/>
          <w:sz w:val="24"/>
        </w:rPr>
        <w:t xml:space="preserve"> </w:t>
      </w:r>
    </w:p>
    <w:p w:rsidR="00025683" w:rsidRDefault="007C2AAB">
      <w:pPr>
        <w:spacing w:after="83" w:line="259" w:lineRule="auto"/>
        <w:ind w:left="14" w:firstLine="0"/>
        <w:jc w:val="left"/>
      </w:pPr>
      <w:r>
        <w:rPr>
          <w:b/>
          <w:color w:val="FF0000"/>
        </w:rPr>
        <w:t xml:space="preserve"> </w:t>
      </w:r>
    </w:p>
    <w:p w:rsidR="00025683" w:rsidRDefault="007C2AAB">
      <w:pPr>
        <w:spacing w:after="138" w:line="259" w:lineRule="auto"/>
        <w:ind w:left="9" w:hanging="10"/>
        <w:jc w:val="left"/>
      </w:pPr>
      <w:r>
        <w:rPr>
          <w:b/>
          <w:color w:val="0A0A0A"/>
          <w:sz w:val="24"/>
        </w:rPr>
        <w:t xml:space="preserve">             </w:t>
      </w:r>
      <w:r>
        <w:rPr>
          <w:color w:val="1A0DAB"/>
          <w:sz w:val="24"/>
          <w:u w:val="single" w:color="1A0DAB"/>
        </w:rPr>
        <w:t>https://www.youtube.com/watch?v=pZmWVk6_TGA</w:t>
      </w:r>
      <w:r>
        <w:rPr>
          <w:color w:val="0A0A0A"/>
          <w:sz w:val="24"/>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33" w:line="259" w:lineRule="auto"/>
        <w:ind w:left="14" w:firstLine="0"/>
        <w:jc w:val="left"/>
      </w:pPr>
      <w:r>
        <w:t xml:space="preserve"> </w:t>
      </w:r>
    </w:p>
    <w:p w:rsidR="00025683" w:rsidRDefault="007C2AAB">
      <w:pPr>
        <w:spacing w:after="0" w:line="259" w:lineRule="auto"/>
        <w:ind w:left="374" w:firstLine="0"/>
        <w:jc w:val="left"/>
      </w:pPr>
      <w:r>
        <w:rPr>
          <w:b/>
          <w:sz w:val="28"/>
        </w:rPr>
        <w:t xml:space="preserve">A) </w:t>
      </w:r>
      <w:r>
        <w:rPr>
          <w:b/>
          <w:sz w:val="28"/>
          <w:u w:val="single" w:color="000000"/>
        </w:rPr>
        <w:t>PARTE RESOLUTIVA DE LA SESIÓN.</w:t>
      </w:r>
      <w:r>
        <w:rPr>
          <w:b/>
          <w:sz w:val="28"/>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38" w:line="259" w:lineRule="auto"/>
        <w:ind w:left="14" w:firstLine="0"/>
        <w:jc w:val="left"/>
      </w:pPr>
      <w:r>
        <w:rPr>
          <w:b/>
        </w:rPr>
        <w:t xml:space="preserve"> </w:t>
      </w:r>
    </w:p>
    <w:p w:rsidR="00025683" w:rsidRDefault="007C2AAB">
      <w:pPr>
        <w:spacing w:after="0" w:line="239" w:lineRule="auto"/>
        <w:ind w:left="14" w:firstLine="0"/>
        <w:jc w:val="left"/>
      </w:pPr>
      <w:r>
        <w:rPr>
          <w:b/>
          <w:sz w:val="28"/>
        </w:rPr>
        <w:t xml:space="preserve">1.- </w:t>
      </w:r>
      <w:r>
        <w:rPr>
          <w:b/>
          <w:sz w:val="28"/>
          <w:u w:val="single" w:color="000000"/>
        </w:rPr>
        <w:t>Expediente 9201/2025</w:t>
      </w:r>
      <w:r>
        <w:rPr>
          <w:b/>
          <w:sz w:val="28"/>
        </w:rPr>
        <w:t xml:space="preserve">. </w:t>
      </w:r>
      <w:r>
        <w:rPr>
          <w:b/>
          <w:sz w:val="28"/>
          <w:shd w:val="clear" w:color="auto" w:fill="F5F7F9"/>
        </w:rPr>
        <w:t>Propuesta del Concejal Delegado de Hacienda al Pleno de</w:t>
      </w:r>
      <w:r>
        <w:rPr>
          <w:b/>
          <w:color w:val="FF0000"/>
          <w:sz w:val="28"/>
          <w:shd w:val="clear" w:color="auto" w:fill="F5F7F9"/>
        </w:rPr>
        <w:t xml:space="preserve"> </w:t>
      </w:r>
      <w:r>
        <w:rPr>
          <w:b/>
          <w:sz w:val="28"/>
        </w:rPr>
        <w:t>aprobación del Presupuesto General 2026.</w:t>
      </w:r>
      <w:r>
        <w:rPr>
          <w:sz w:val="28"/>
        </w:rPr>
        <w:t xml:space="preserve"> </w:t>
      </w:r>
    </w:p>
    <w:p w:rsidR="00025683" w:rsidRDefault="007C2AAB">
      <w:pPr>
        <w:spacing w:after="0" w:line="259" w:lineRule="auto"/>
        <w:ind w:left="14" w:firstLine="0"/>
        <w:jc w:val="left"/>
      </w:pPr>
      <w:r>
        <w:rPr>
          <w:b/>
          <w:sz w:val="24"/>
        </w:rPr>
        <w:t xml:space="preserve"> </w:t>
      </w:r>
    </w:p>
    <w:p w:rsidR="00025683" w:rsidRDefault="007C2AAB">
      <w:pPr>
        <w:spacing w:after="12"/>
        <w:ind w:left="14" w:right="197"/>
      </w:pPr>
      <w:r>
        <w:rPr>
          <w:b/>
        </w:rPr>
        <w:t xml:space="preserve">Consta en el expediente Informe de Intervención, emitido por D. Nicolás Rojo Garnica, Interventor General, de fecha 12 de diciembre de 2025, del siguiente tenor literal: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sz w:val="24"/>
        </w:rPr>
        <w:t xml:space="preserve"> </w:t>
      </w:r>
    </w:p>
    <w:p w:rsidR="00025683" w:rsidRDefault="007C2AAB">
      <w:pPr>
        <w:pStyle w:val="Ttulo4"/>
        <w:spacing w:after="0"/>
        <w:ind w:left="228" w:right="413"/>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71997" name="Group 37199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70" name="Rectangle 270"/>
                        <wps:cNvSpPr/>
                        <wps:spPr>
                          <a:xfrm rot="-5399999">
                            <a:off x="-1151584" y="2005926"/>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71" name="Rectangle 271"/>
                        <wps:cNvSpPr/>
                        <wps:spPr>
                          <a:xfrm rot="-5399999">
                            <a:off x="-976166" y="2105144"/>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https://candelaria</w:t>
                              </w:r>
                              <w:r>
                                <w:rPr>
                                  <w:sz w:val="12"/>
                                </w:rPr>
                                <w:t xml:space="preserve">.sedelectronica.es/ </w:t>
                              </w:r>
                            </w:p>
                          </w:txbxContent>
                        </wps:txbx>
                        <wps:bodyPr horzOverflow="overflow" vert="horz" lIns="0" tIns="0" rIns="0" bIns="0" rtlCol="0">
                          <a:noAutofit/>
                        </wps:bodyPr>
                      </wps:wsp>
                      <wps:wsp>
                        <wps:cNvPr id="272" name="Rectangle 272"/>
                        <wps:cNvSpPr/>
                        <wps:spPr>
                          <a:xfrm rot="-5399999">
                            <a:off x="-1966025" y="1039084"/>
                            <a:ext cx="4350075"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1997" style="width:18.7031pt;height:257.538pt;position:absolute;mso-position-horizontal-relative:page;mso-position-horizontal:absolute;margin-left:662.928pt;mso-position-vertical-relative:page;margin-top:515.382pt;" coordsize="2375,32707">
                <v:rect id="Rectangle 270" style="position:absolute;width:24163;height:1132;left:-11515;top:20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71"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2"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350 </w:t>
                        </w:r>
                      </w:p>
                    </w:txbxContent>
                  </v:textbox>
                </v:rect>
                <w10:wrap type="square"/>
              </v:group>
            </w:pict>
          </mc:Fallback>
        </mc:AlternateContent>
      </w:r>
      <w:r>
        <w:rPr>
          <w:b w:val="0"/>
          <w:sz w:val="24"/>
        </w:rPr>
        <w:t>“</w:t>
      </w:r>
      <w:r>
        <w:rPr>
          <w:sz w:val="23"/>
        </w:rPr>
        <w:t>INFORME DE INTERVENCIÓN</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rPr>
          <w:b/>
          <w:sz w:val="23"/>
        </w:rPr>
        <w:t xml:space="preserve"> </w:t>
      </w:r>
    </w:p>
    <w:p w:rsidR="00025683" w:rsidRDefault="007C2AAB">
      <w:pPr>
        <w:spacing w:line="249" w:lineRule="auto"/>
        <w:ind w:left="17" w:right="198" w:hanging="10"/>
      </w:pPr>
      <w:r>
        <w:rPr>
          <w:b/>
          <w:sz w:val="23"/>
        </w:rPr>
        <w:t>Asunto: Informe Económico Financiero del Presupuesto General 2026</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4"/>
        </w:rPr>
        <w:t xml:space="preserve"> </w:t>
      </w:r>
    </w:p>
    <w:p w:rsidR="00025683" w:rsidRDefault="007C2AAB">
      <w:pPr>
        <w:ind w:left="21" w:right="202"/>
      </w:pPr>
      <w:r>
        <w:rPr>
          <w:sz w:val="24"/>
        </w:rPr>
        <w:t xml:space="preserve">     </w:t>
      </w:r>
      <w:r>
        <w:rPr>
          <w:sz w:val="23"/>
        </w:rPr>
        <w:t>Que emite la Intervención de este Ayuntamiento, en el ejercicio de sus funciones de Control Financiero, de conformidad con el artículo 4.1.b) del Real Decreto 128/2018 de 18 de marzo, por el que se regula el régimen jurídico de los funcionarios de Administ</w:t>
      </w:r>
      <w:r>
        <w:rPr>
          <w:sz w:val="23"/>
        </w:rPr>
        <w:t>ración Local con habilitación de carácter nacional.</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Los presupuestos generales de esta Corporación municipal deben, en su elaboración y en su ejecución, ajustarse al cumplimiento de los siguientes principios presupuestarios locales: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w:t>
      </w:r>
      <w:r>
        <w:rPr>
          <w:sz w:val="23"/>
        </w:rPr>
        <w:t xml:space="preserve">Principios de Especialidad Cuantitativa, Cualitativa y Temporal.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lastRenderedPageBreak/>
        <w:t xml:space="preserve">    La especialidad cuantitativa se refiere a no adquirir compromisos de gasto por encima de los importes autorizados en el presupuesto municipal; la especialidad cualitativa supone que lo</w:t>
      </w:r>
      <w:r>
        <w:rPr>
          <w:sz w:val="23"/>
        </w:rPr>
        <w:t>s créditos para gastos deben imputarse a la finalidad específica por las que han sido autorizados, si bien, al igual que en el caso anterior, debe tenerse en cuenta la bolsa de vinculación y las modificaciones presupuestarias. Con respecto a la especialida</w:t>
      </w:r>
      <w:r>
        <w:rPr>
          <w:sz w:val="23"/>
        </w:rPr>
        <w:t>d temporal, con cargo a los créditos presupuestados, deben adquirirse gastos u obligaciones de obras, servicios y suministros realizados en el año natural del propio ejercicio presupuestario, es decir, que los gastos e ingresos previstos en un presupuesto,</w:t>
      </w:r>
      <w:r>
        <w:rPr>
          <w:sz w:val="23"/>
        </w:rPr>
        <w:t xml:space="preserve"> deben realizarse en dicho ejercicio. </w:t>
      </w:r>
    </w:p>
    <w:p w:rsidR="00025683" w:rsidRDefault="007C2AAB">
      <w:pPr>
        <w:ind w:left="21" w:right="202"/>
      </w:pPr>
      <w:r>
        <w:rPr>
          <w:sz w:val="23"/>
        </w:rPr>
        <w:t xml:space="preserve">Se impone a través de este principio, que la imputación de gastos e ingresos deban realizarse según el criterio de contraído, es decir, cuando se realice el reconocimiento de la obligación o del derecho, a diferencia </w:t>
      </w:r>
      <w:r>
        <w:rPr>
          <w:sz w:val="23"/>
        </w:rPr>
        <w:t xml:space="preserve">de la contabilidad financiera, propia de las empresas privadas, que se rige por el principio del devengo, es decir, cuando se produzca la asunción de la obligación o el nacimiento del derecho. </w:t>
      </w:r>
    </w:p>
    <w:p w:rsidR="00025683" w:rsidRDefault="007C2AAB">
      <w:pPr>
        <w:spacing w:after="0" w:line="259" w:lineRule="auto"/>
        <w:ind w:left="14" w:firstLine="0"/>
        <w:jc w:val="left"/>
      </w:pPr>
      <w:r>
        <w:rPr>
          <w:sz w:val="23"/>
        </w:rPr>
        <w:t xml:space="preserve"> </w:t>
      </w:r>
    </w:p>
    <w:p w:rsidR="00025683" w:rsidRDefault="007C2AAB">
      <w:pPr>
        <w:numPr>
          <w:ilvl w:val="0"/>
          <w:numId w:val="1"/>
        </w:numPr>
        <w:ind w:right="202" w:hanging="360"/>
      </w:pPr>
      <w:r>
        <w:rPr>
          <w:sz w:val="23"/>
        </w:rPr>
        <w:t>Principio de Universalidad, que obliga a incluir en el presu</w:t>
      </w:r>
      <w:r>
        <w:rPr>
          <w:sz w:val="23"/>
        </w:rPr>
        <w:t xml:space="preserve">puesto, todos los ingresos y gastos a realizar en el ejercicio.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numPr>
          <w:ilvl w:val="0"/>
          <w:numId w:val="1"/>
        </w:numPr>
        <w:ind w:right="202" w:hanging="360"/>
      </w:pPr>
      <w:r>
        <w:rPr>
          <w:sz w:val="23"/>
        </w:rPr>
        <w:t xml:space="preserve">Principio de Presupuesto Bruto, que impide imputar los gastos e ingresos por sus importes netos.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numPr>
          <w:ilvl w:val="0"/>
          <w:numId w:val="1"/>
        </w:numPr>
        <w:ind w:right="202" w:hanging="360"/>
      </w:pPr>
      <w:r>
        <w:rPr>
          <w:sz w:val="23"/>
        </w:rPr>
        <w:t xml:space="preserve">Principio de Transparencia, por la cual se obliga a que se presente toda la información suficiente y adecuada para verificar el cumplimiento del principio de estabilidad presupuestaria.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4"/>
        </w:rPr>
        <w:t xml:space="preserve"> </w:t>
      </w:r>
    </w:p>
    <w:p w:rsidR="00025683" w:rsidRDefault="007C2AAB">
      <w:pPr>
        <w:numPr>
          <w:ilvl w:val="0"/>
          <w:numId w:val="1"/>
        </w:numPr>
        <w:ind w:right="202" w:hanging="360"/>
      </w:pPr>
      <w:r>
        <w:rPr>
          <w:sz w:val="23"/>
        </w:rPr>
        <w:t>Principio de Anualidad, que obliga a prever en el presupuesto to</w:t>
      </w:r>
      <w:r>
        <w:rPr>
          <w:sz w:val="23"/>
        </w:rPr>
        <w:t xml:space="preserve">dos los gastos e ingresos a ejecutar en el año natural.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71756" name="Group 37175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76" name="Rectangle 376"/>
                        <wps:cNvSpPr/>
                        <wps:spPr>
                          <a:xfrm rot="-5399999">
                            <a:off x="-1151584" y="2005926"/>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77" name="Rectangle 377"/>
                        <wps:cNvSpPr/>
                        <wps:spPr>
                          <a:xfrm rot="-5399999">
                            <a:off x="-976166" y="2105144"/>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8" name="Rectangle 378"/>
                        <wps:cNvSpPr/>
                        <wps:spPr>
                          <a:xfrm rot="-5399999">
                            <a:off x="-1966025" y="1039084"/>
                            <a:ext cx="4350075"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1756" style="width:18.7031pt;height:257.538pt;position:absolute;mso-position-horizontal-relative:page;mso-position-horizontal:absolute;margin-left:662.928pt;mso-position-vertical-relative:page;margin-top:515.382pt;" coordsize="2375,32707">
                <v:rect id="Rectangle 376" style="position:absolute;width:24163;height:1132;left:-11515;top:20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77"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350 </w:t>
                        </w:r>
                      </w:p>
                    </w:txbxContent>
                  </v:textbox>
                </v:rect>
                <w10:wrap type="square"/>
              </v:group>
            </w:pict>
          </mc:Fallback>
        </mc:AlternateContent>
      </w: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numPr>
          <w:ilvl w:val="0"/>
          <w:numId w:val="1"/>
        </w:numPr>
        <w:ind w:right="202" w:hanging="360"/>
      </w:pPr>
      <w:r>
        <w:rPr>
          <w:sz w:val="23"/>
        </w:rPr>
        <w:t xml:space="preserve">Principio de Estabilidad Presupuestaria, con la búsqueda del equilibrio o superávit por comparativa entre los gastos e ingresos consolidados no financieros.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numPr>
          <w:ilvl w:val="0"/>
          <w:numId w:val="1"/>
        </w:numPr>
        <w:ind w:right="202" w:hanging="360"/>
      </w:pPr>
      <w:r>
        <w:rPr>
          <w:sz w:val="23"/>
        </w:rPr>
        <w:t>Principio de Eficiencia, en cuanto a la asignación y utilización de los recursos disponibles</w:t>
      </w: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w:t>
      </w:r>
      <w:r>
        <w:rPr>
          <w:sz w:val="23"/>
        </w:rPr>
        <w:t xml:space="preserve">Junto a estos principios, la Ley Orgánica 2/2012, de 27 de abril, de Estabilidad Presupuestaria y Sostenibilidad Financiera, además de otras normas anteriores de estabilidad presupuestaria, añade nuevos principios generales (plurianualidad, sostenibilidad </w:t>
      </w:r>
      <w:r>
        <w:rPr>
          <w:sz w:val="23"/>
        </w:rPr>
        <w:t>financiera, responsabilidad y lealtad institucional), se contemplan tres objetivos instrumentales ( estabilidad, regla del gasto y deuda pública), tres tipos de medidas ( preventivas, correctivas y coercitivas), aumenta la importancia de la transparencia (</w:t>
      </w:r>
      <w:r>
        <w:rPr>
          <w:sz w:val="23"/>
        </w:rPr>
        <w:t xml:space="preserve">a través del presupuesto y de los proyectos de presupuesto), reforzándose la planificación presupuestaria a través de los marcos presupuestarios a medio plazo </w:t>
      </w:r>
    </w:p>
    <w:p w:rsidR="00025683" w:rsidRDefault="007C2AAB">
      <w:pPr>
        <w:spacing w:after="0" w:line="259" w:lineRule="auto"/>
        <w:ind w:left="14" w:firstLine="0"/>
        <w:jc w:val="left"/>
      </w:pPr>
      <w:r>
        <w:rPr>
          <w:sz w:val="23"/>
        </w:rPr>
        <w:lastRenderedPageBreak/>
        <w:t xml:space="preserve"> </w:t>
      </w:r>
    </w:p>
    <w:p w:rsidR="00025683" w:rsidRDefault="007C2AAB">
      <w:pPr>
        <w:ind w:left="21" w:right="202"/>
      </w:pPr>
      <w:r>
        <w:rPr>
          <w:sz w:val="23"/>
        </w:rPr>
        <w:t xml:space="preserve">     El contenido de este informe versa, en primer término, sobre la tramitación del Presupues</w:t>
      </w:r>
      <w:r>
        <w:rPr>
          <w:sz w:val="23"/>
        </w:rPr>
        <w:t>to General, por lo que habrá que examinar si toda la documentación que se indica en la normativa anteriormente reseñada, ha sido aportada en el expediente objeto de informe y que permita apreciar que en el Presupuesto de la propia Entidad figuran los corre</w:t>
      </w:r>
      <w:r>
        <w:rPr>
          <w:sz w:val="23"/>
        </w:rPr>
        <w:t>spondientes Estados de Gastos e Ingresos, los cuales presentan la nivelación que exige la Ley, así como las Bases de Ejecución del Presupuesto General, que regula ampliamente, no sólo las materias que establece el artículo 9.2 del Real Decreto 500/1.990, s</w:t>
      </w:r>
      <w:r>
        <w:rPr>
          <w:sz w:val="23"/>
        </w:rPr>
        <w:t xml:space="preserve">ino que hace una regulación exhaustiva en todo el desarrollo que lleva consigo la ejecución del Presupuesto General.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En primer lugar, hay que señalar, que el expediente presupuestario no ha cumplido los plazos legales establecidos en los artículos </w:t>
      </w:r>
      <w:r>
        <w:rPr>
          <w:sz w:val="23"/>
        </w:rPr>
        <w:t>168 y 169 del TRLRHL, para su adecuada aprobación, publicación y entrada en vigor, destacando el hecho que el expediente presupuestario ha comenzado el uno de enero del presente ejercicio 2026, sin que se haya aprobado, prorrogando el presupuesto del año 2</w:t>
      </w:r>
      <w:r>
        <w:rPr>
          <w:sz w:val="23"/>
        </w:rPr>
        <w:t xml:space="preserve">025, si bien este hecho no supone motivo de invalidación del expediente presupuestario. </w:t>
      </w:r>
    </w:p>
    <w:p w:rsidR="00025683" w:rsidRDefault="007C2AAB">
      <w:pPr>
        <w:spacing w:after="0" w:line="259" w:lineRule="auto"/>
        <w:ind w:left="22" w:firstLine="0"/>
        <w:jc w:val="left"/>
      </w:pPr>
      <w:r>
        <w:rPr>
          <w:sz w:val="23"/>
        </w:rPr>
        <w:t xml:space="preserve"> </w:t>
      </w:r>
    </w:p>
    <w:p w:rsidR="00025683" w:rsidRDefault="007C2AAB">
      <w:pPr>
        <w:ind w:left="21" w:right="202"/>
      </w:pPr>
      <w:r>
        <w:rPr>
          <w:sz w:val="23"/>
        </w:rPr>
        <w:t xml:space="preserve">     El expediente está completo en cuanto a su contenido documental. En efecto, se refleja el contenido básico, indicado en el artículo 165 del TRLRHL, esto es: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1.- Los estados de gastos, en los que se incluirán, con la debida especificación, los créditos necesarios para atender al cumplimiento de las obligaciones.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2.- </w:t>
      </w:r>
      <w:r>
        <w:rPr>
          <w:sz w:val="23"/>
        </w:rPr>
        <w:t xml:space="preserve">Los estados de ingresos, en los que figurarán las estimaciones de los distintos recursos económicos a liquidar durante el ejercicio. </w:t>
      </w:r>
    </w:p>
    <w:p w:rsidR="00025683" w:rsidRDefault="007C2AAB">
      <w:pPr>
        <w:spacing w:after="0" w:line="259" w:lineRule="auto"/>
        <w:ind w:left="22"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73132" name="Group 373132"/>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97" name="Rectangle 497"/>
                        <wps:cNvSpPr/>
                        <wps:spPr>
                          <a:xfrm rot="-5399999">
                            <a:off x="-1151584" y="2005926"/>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98" name="Rectangle 498"/>
                        <wps:cNvSpPr/>
                        <wps:spPr>
                          <a:xfrm rot="-5399999">
                            <a:off x="-976166" y="2105144"/>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9" name="Rectangle 499"/>
                        <wps:cNvSpPr/>
                        <wps:spPr>
                          <a:xfrm rot="-5399999">
                            <a:off x="-1966025" y="1039084"/>
                            <a:ext cx="4350075"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3132" style="width:18.7031pt;height:257.538pt;position:absolute;mso-position-horizontal-relative:page;mso-position-horizontal:absolute;margin-left:662.928pt;mso-position-vertical-relative:page;margin-top:515.382pt;" coordsize="2375,32707">
                <v:rect id="Rectangle 497" style="position:absolute;width:24163;height:1132;left:-11515;top:20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98"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9"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350 </w:t>
                        </w:r>
                      </w:p>
                    </w:txbxContent>
                  </v:textbox>
                </v:rect>
                <w10:wrap type="square"/>
              </v:group>
            </w:pict>
          </mc:Fallback>
        </mc:AlternateContent>
      </w:r>
      <w:r>
        <w:rPr>
          <w:sz w:val="23"/>
        </w:rPr>
        <w:t xml:space="preserve">     Asimismo, incluirá las bases de ejecución, que contendrán la adaptación de las disposiciones generales en materia presupuestaria a la organización y circunsta</w:t>
      </w:r>
      <w:r>
        <w:rPr>
          <w:sz w:val="23"/>
        </w:rPr>
        <w:t>ncias de la propia entidad, así como aquellas otras necesarias para su acertada gestión, estableciendo cuantas prevenciones se consideren oportunas o convenientes para la mejor realización de los gastos y recaudación de los recursos, sin que puedan modific</w:t>
      </w:r>
      <w:r>
        <w:rPr>
          <w:sz w:val="23"/>
        </w:rPr>
        <w:t xml:space="preserve">ar lo legislado para la administración económica ni comprender preceptos de orden administrativo que requieran legalmente procedimiento y solemnidades específicas distintas de lo previsto para el presupuesto.  </w:t>
      </w:r>
    </w:p>
    <w:p w:rsidR="00025683" w:rsidRDefault="007C2AAB">
      <w:pPr>
        <w:spacing w:after="0" w:line="259" w:lineRule="auto"/>
        <w:ind w:left="22" w:firstLine="0"/>
        <w:jc w:val="left"/>
      </w:pPr>
      <w:r>
        <w:rPr>
          <w:sz w:val="23"/>
        </w:rPr>
        <w:t xml:space="preserve"> </w:t>
      </w:r>
    </w:p>
    <w:p w:rsidR="00025683" w:rsidRDefault="007C2AAB">
      <w:pPr>
        <w:ind w:left="21" w:right="202"/>
      </w:pPr>
      <w:r>
        <w:rPr>
          <w:sz w:val="23"/>
        </w:rPr>
        <w:t xml:space="preserve">     Dichas Bases, deberán recoger los inst</w:t>
      </w:r>
      <w:r>
        <w:rPr>
          <w:sz w:val="23"/>
        </w:rPr>
        <w:t xml:space="preserve">rumentos y procedimientos necesarios para adecuar la ejecución del Presupuesto a la aplicación de los principios contenidos en la Ley de Estabilidad Presupuestaria, aspecto que no queda reflejado. </w:t>
      </w:r>
    </w:p>
    <w:p w:rsidR="00025683" w:rsidRDefault="007C2AAB">
      <w:pPr>
        <w:spacing w:after="0" w:line="259" w:lineRule="auto"/>
        <w:ind w:left="22" w:firstLine="0"/>
        <w:jc w:val="left"/>
      </w:pPr>
      <w:r>
        <w:rPr>
          <w:sz w:val="23"/>
        </w:rPr>
        <w:t xml:space="preserve"> </w:t>
      </w:r>
    </w:p>
    <w:p w:rsidR="00025683" w:rsidRDefault="007C2AAB">
      <w:pPr>
        <w:ind w:left="21" w:right="202"/>
      </w:pPr>
      <w:r>
        <w:rPr>
          <w:sz w:val="23"/>
        </w:rPr>
        <w:t xml:space="preserve">     Igualmente, se aporta también la documentación enum</w:t>
      </w:r>
      <w:r>
        <w:rPr>
          <w:sz w:val="23"/>
        </w:rPr>
        <w:t xml:space="preserve">erada en el artículo 168 del Real </w:t>
      </w:r>
    </w:p>
    <w:p w:rsidR="00025683" w:rsidRDefault="007C2AAB">
      <w:pPr>
        <w:ind w:left="21" w:right="202"/>
      </w:pPr>
      <w:r>
        <w:rPr>
          <w:sz w:val="23"/>
        </w:rPr>
        <w:t>Decreto Legislativo 2/2004, de 5 de marzo, por el que se aprueba el texto refundido de la Ley Reguladora de las Haciendas Locales, con las modificaciones incorporadas por el apartado dos de la disposición final primera de</w:t>
      </w:r>
      <w:r>
        <w:rPr>
          <w:sz w:val="23"/>
        </w:rPr>
        <w:t xml:space="preserve">l R.D.-ley 17/2014, de 26 de diciembre, de medidas de sostenibilidad financiera de las comunidades autónomas y entidades locales y otras de carácter económico: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1.- Memoria suscrita por el Presidente explicativa de su contenido y de las principales modi</w:t>
      </w:r>
      <w:r>
        <w:rPr>
          <w:sz w:val="23"/>
        </w:rPr>
        <w:t xml:space="preserve">ficaciones que presenta el proyecto de Presupuesto en relación con el vigente. </w:t>
      </w:r>
    </w:p>
    <w:p w:rsidR="00025683" w:rsidRDefault="007C2AAB">
      <w:pPr>
        <w:ind w:left="21" w:right="202"/>
      </w:pPr>
      <w:r>
        <w:rPr>
          <w:sz w:val="23"/>
        </w:rPr>
        <w:t xml:space="preserve">2.- Liquidación del Presupuesto del ejercicio 2024 y 2025, suscritas, una y otra, por el Interventor y confeccionados conforme dispone la Instrucción de Contabilidad.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3.- An</w:t>
      </w:r>
      <w:r>
        <w:rPr>
          <w:sz w:val="23"/>
        </w:rPr>
        <w:t xml:space="preserve">exo de personal de la Entidad Local, en el que se relacionan y valoran los puestos de trabajo existentes en la Entidad. </w:t>
      </w:r>
    </w:p>
    <w:p w:rsidR="00025683" w:rsidRDefault="007C2AAB">
      <w:pPr>
        <w:ind w:left="21" w:right="202"/>
      </w:pPr>
      <w:r>
        <w:rPr>
          <w:sz w:val="23"/>
        </w:rPr>
        <w:t xml:space="preserve">4.- Anexo de las inversiones a realizar en el ejercicio, suscrito por el Presidente y debidamente codificado.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5.- Un informe económi</w:t>
      </w:r>
      <w:r>
        <w:rPr>
          <w:sz w:val="23"/>
        </w:rPr>
        <w:t>co-financiero, en el que se expongan las bases utilizadas para la evaluación de los ingresos y de las operaciones de crédito previstas, la suficiencia de los créditos para atender al cumplimiento de las obligaciones exigibles y los gastos de funcionamiento</w:t>
      </w:r>
      <w:r>
        <w:rPr>
          <w:sz w:val="23"/>
        </w:rPr>
        <w:t xml:space="preserve"> de los servicios y, en consecuencia, la efectiva nivelación del Presupuesto.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6.- Anexo de beneficios fiscales en tributos locales conteniendo información detallada de los beneficios fiscales y su incidencia en los ingresos de cada Entidad Local.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7.-</w:t>
      </w:r>
      <w:r>
        <w:rPr>
          <w:sz w:val="23"/>
        </w:rPr>
        <w:t xml:space="preserve"> Anexo con información relativa a los convenios suscritos con las Comunidades Autónomas en materia de gasto social, con especificación de la cuantía de las obligaciones de pago y de los derechos económicos que se deben reconocer en el ejercicio al que se r</w:t>
      </w:r>
      <w:r>
        <w:rPr>
          <w:sz w:val="23"/>
        </w:rPr>
        <w:t>efiere el presupuesto general y de las obligaciones pendientes de pago y derechos económicos pendientes de cobro, reconocidos en ejercicios anteriores, así como de la aplicación o partida presupuestaria en la que se recogen, y la referencia a que dichos co</w:t>
      </w:r>
      <w:r>
        <w:rPr>
          <w:sz w:val="23"/>
        </w:rPr>
        <w:t xml:space="preserve">nvenios incluyen la cláusula de retención de recursos del sistema de financiación a la que se refiere el artículo 57 bis de la Ley 7/1985, de 2 de abril, reguladora de las Bases del Régimen Local.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En cuanto a los Anexos del Presupuesto General, e</w:t>
      </w:r>
      <w:r>
        <w:rPr>
          <w:sz w:val="23"/>
        </w:rPr>
        <w:t xml:space="preserve">l artículo 166 del TRLRHL, señala los siguientes: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72283" name="Group 37228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28" name="Rectangle 628"/>
                        <wps:cNvSpPr/>
                        <wps:spPr>
                          <a:xfrm rot="-5399999">
                            <a:off x="-1151584" y="2005926"/>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629" name="Rectangle 629"/>
                        <wps:cNvSpPr/>
                        <wps:spPr>
                          <a:xfrm rot="-5399999">
                            <a:off x="-976166" y="2105144"/>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30" name="Rectangle 630"/>
                        <wps:cNvSpPr/>
                        <wps:spPr>
                          <a:xfrm rot="-5399999">
                            <a:off x="-1966025" y="1039084"/>
                            <a:ext cx="4350075"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2283" style="width:18.7031pt;height:257.538pt;position:absolute;mso-position-horizontal-relative:page;mso-position-horizontal:absolute;margin-left:662.928pt;mso-position-vertical-relative:page;margin-top:515.382pt;" coordsize="2375,32707">
                <v:rect id="Rectangle 628" style="position:absolute;width:24163;height:1132;left:-11515;top:20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62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3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350 </w:t>
                        </w:r>
                      </w:p>
                    </w:txbxContent>
                  </v:textbox>
                </v:rect>
                <w10:wrap type="square"/>
              </v:group>
            </w:pict>
          </mc:Fallback>
        </mc:AlternateContent>
      </w:r>
      <w:r>
        <w:rPr>
          <w:i/>
          <w:sz w:val="23"/>
        </w:rPr>
        <w:t xml:space="preserve"> </w:t>
      </w:r>
    </w:p>
    <w:p w:rsidR="00025683" w:rsidRDefault="007C2AAB">
      <w:pPr>
        <w:spacing w:after="2" w:line="236" w:lineRule="auto"/>
        <w:ind w:left="9" w:right="196" w:hanging="10"/>
      </w:pPr>
      <w:r>
        <w:rPr>
          <w:i/>
          <w:sz w:val="23"/>
        </w:rPr>
        <w:t xml:space="preserve">1.- </w:t>
      </w:r>
      <w:r>
        <w:rPr>
          <w:i/>
          <w:sz w:val="23"/>
        </w:rPr>
        <w:t>Los planes y programas de inversión y financiación que, para un plazo de cuatro años, podrán formular los municipios y demás entidades locales de ámbito supramunicipal</w:t>
      </w:r>
      <w:r>
        <w:rPr>
          <w:sz w:val="23"/>
        </w:rPr>
        <w:t xml:space="preserve">. </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rPr>
          <w:sz w:val="23"/>
        </w:rPr>
        <w:t xml:space="preserve"> </w:t>
      </w:r>
    </w:p>
    <w:p w:rsidR="00025683" w:rsidRDefault="007C2AAB">
      <w:pPr>
        <w:spacing w:after="29"/>
        <w:ind w:left="21" w:right="202"/>
      </w:pPr>
      <w:r>
        <w:rPr>
          <w:sz w:val="23"/>
        </w:rPr>
        <w:t xml:space="preserve">       No está formulado en el presente Presupuesto General. Tiene carácter informa</w:t>
      </w:r>
      <w:r>
        <w:rPr>
          <w:sz w:val="23"/>
        </w:rPr>
        <w:t xml:space="preserve">tivo y por tanto no es obligatorio, de ahí la propia expresión recogida “podrán formular”. </w:t>
      </w:r>
    </w:p>
    <w:p w:rsidR="00025683" w:rsidRDefault="007C2AAB">
      <w:pPr>
        <w:spacing w:after="0" w:line="259" w:lineRule="auto"/>
        <w:ind w:left="14" w:firstLine="0"/>
        <w:jc w:val="left"/>
      </w:pPr>
      <w:r>
        <w:rPr>
          <w:i/>
          <w:sz w:val="23"/>
        </w:rPr>
        <w:t xml:space="preserve"> </w:t>
      </w:r>
    </w:p>
    <w:p w:rsidR="00025683" w:rsidRDefault="007C2AAB">
      <w:pPr>
        <w:spacing w:after="2" w:line="236" w:lineRule="auto"/>
        <w:ind w:left="9" w:right="196" w:hanging="10"/>
      </w:pPr>
      <w:r>
        <w:rPr>
          <w:i/>
          <w:sz w:val="23"/>
        </w:rPr>
        <w:t xml:space="preserve">2.- </w:t>
      </w:r>
      <w:r>
        <w:rPr>
          <w:i/>
          <w:sz w:val="23"/>
        </w:rPr>
        <w:t>Los programas anuales de actuación, inversiones y financiación de las sociedades mercantiles de cuyo capital social sea titular único o partícipe mayoritario la entidad local.</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Recoge las inversiones a ejecutar por las entidades dependientes del Ay</w:t>
      </w:r>
      <w:r>
        <w:rPr>
          <w:sz w:val="23"/>
        </w:rPr>
        <w:t xml:space="preserve">untamiento. No obstante, no se han previsto operaciones de capital en los entes instrumentales. </w:t>
      </w:r>
    </w:p>
    <w:p w:rsidR="00025683" w:rsidRDefault="007C2AAB">
      <w:pPr>
        <w:spacing w:after="0" w:line="259" w:lineRule="auto"/>
        <w:ind w:left="14" w:firstLine="0"/>
        <w:jc w:val="left"/>
      </w:pPr>
      <w:r>
        <w:rPr>
          <w:i/>
          <w:sz w:val="23"/>
        </w:rPr>
        <w:t xml:space="preserve"> </w:t>
      </w:r>
    </w:p>
    <w:p w:rsidR="00025683" w:rsidRDefault="007C2AAB">
      <w:pPr>
        <w:spacing w:after="2" w:line="236" w:lineRule="auto"/>
        <w:ind w:left="9" w:right="196" w:hanging="10"/>
      </w:pPr>
      <w:r>
        <w:rPr>
          <w:i/>
          <w:sz w:val="23"/>
        </w:rPr>
        <w:t xml:space="preserve">3.- </w:t>
      </w:r>
      <w:r>
        <w:rPr>
          <w:i/>
          <w:sz w:val="23"/>
        </w:rPr>
        <w:t xml:space="preserve">El estado de consolidación del presupuesto de la propia entidad con el de todos los presupuestos y estados de previsión de sus organismos autónomos y sociedades mercantiles. </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Se detalla en el Presupuesto, con unos ajustes que ascienden a 1.543.862</w:t>
      </w:r>
      <w:r>
        <w:rPr>
          <w:sz w:val="23"/>
        </w:rPr>
        <w:t xml:space="preserve">,63 Euros y nos da un Presupuesto Consolidado de 36.571.287,21 Euros en gastos y 36.572.080,28 Euros en ingresos. </w:t>
      </w:r>
    </w:p>
    <w:p w:rsidR="00025683" w:rsidRDefault="007C2AAB">
      <w:pPr>
        <w:spacing w:after="0" w:line="259" w:lineRule="auto"/>
        <w:ind w:left="14" w:firstLine="0"/>
        <w:jc w:val="left"/>
      </w:pPr>
      <w:r>
        <w:rPr>
          <w:sz w:val="23"/>
        </w:rPr>
        <w:t xml:space="preserve"> </w:t>
      </w:r>
    </w:p>
    <w:p w:rsidR="00025683" w:rsidRDefault="007C2AAB">
      <w:pPr>
        <w:spacing w:after="2" w:line="236" w:lineRule="auto"/>
        <w:ind w:left="9" w:right="196" w:hanging="10"/>
      </w:pPr>
      <w:r>
        <w:rPr>
          <w:sz w:val="23"/>
        </w:rPr>
        <w:t xml:space="preserve">4.- </w:t>
      </w:r>
      <w:r>
        <w:rPr>
          <w:i/>
          <w:sz w:val="23"/>
        </w:rPr>
        <w:t>El estado de previsión de movimientos y situación de la deuda comprensiva del detalle de operaciones de crédito o de endeudamiento pend</w:t>
      </w:r>
      <w:r>
        <w:rPr>
          <w:i/>
          <w:sz w:val="23"/>
        </w:rPr>
        <w:t>ientes de reembolso al principio del ejercicio, de las nuevas operaciones previstas a realizar a lo largo del ejercicio y del volumen de endeudamiento al cierre del ejercicio económico, con distinción de operaciones a corto plazo, operaciones a largo plazo</w:t>
      </w:r>
      <w:r>
        <w:rPr>
          <w:i/>
          <w:sz w:val="23"/>
        </w:rPr>
        <w:t xml:space="preserve">, de recurrencia al mercado de capitales y realizadas en divisas o similares, así como de las amortizaciones que se prevén realizar durante el mismo ejercicio.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Se refleja una deuda financiera pendiente a 1 de enero de 2026, de cero Euros, pero con</w:t>
      </w:r>
      <w:r>
        <w:rPr>
          <w:sz w:val="23"/>
        </w:rPr>
        <w:t xml:space="preserve"> una deuda pendiente de reintegros de tributos del Estado, de 441.425,96 Euros, a dicha fecha.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Por su parte, en el artículo 168 del TRLRHL, señala en su apartado primero, que el presupuesto de la entidad local será formado por su presidente y a él </w:t>
      </w:r>
      <w:r>
        <w:rPr>
          <w:sz w:val="23"/>
        </w:rPr>
        <w:t xml:space="preserve">habrá de unirse la siguiente documentación: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El Anexo de personal de la entidad local, es la relación y valoración de los puestos de trabajo existentes en el Ayuntamiento, de forma que se realice la oportuna correlación con los créditos para persona</w:t>
      </w:r>
      <w:r>
        <w:rPr>
          <w:sz w:val="23"/>
        </w:rPr>
        <w:t xml:space="preserve">l incluido en el Presupuesto.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Este Anexo de Personal, no debe confundirse con la Plantilla, que no es sino la enumeración de todos los puestos de trabajo reservados a funcionarios, personal laboral y eventual.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La Plantilla de Personal está</w:t>
      </w:r>
      <w:r>
        <w:rPr>
          <w:sz w:val="23"/>
        </w:rPr>
        <w:t xml:space="preserve"> vinculada a la Relación de Puestos de Trabajo actualmente vigente.  </w:t>
      </w:r>
    </w:p>
    <w:p w:rsidR="00025683" w:rsidRDefault="007C2AAB">
      <w:pPr>
        <w:spacing w:after="0" w:line="259" w:lineRule="auto"/>
        <w:ind w:left="29"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71843" name="Group 37184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738" name="Rectangle 738"/>
                        <wps:cNvSpPr/>
                        <wps:spPr>
                          <a:xfrm rot="-5399999">
                            <a:off x="-1151584" y="2005926"/>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739" name="Rectangle 739"/>
                        <wps:cNvSpPr/>
                        <wps:spPr>
                          <a:xfrm rot="-5399999">
                            <a:off x="-976166" y="2105144"/>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40" name="Rectangle 740"/>
                        <wps:cNvSpPr/>
                        <wps:spPr>
                          <a:xfrm rot="-5399999">
                            <a:off x="-1966025" y="1039084"/>
                            <a:ext cx="4350075"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1843" style="width:18.7031pt;height:257.538pt;position:absolute;mso-position-horizontal-relative:page;mso-position-horizontal:absolute;margin-left:662.928pt;mso-position-vertical-relative:page;margin-top:515.382pt;" coordsize="2375,32707">
                <v:rect id="Rectangle 738" style="position:absolute;width:24163;height:1132;left:-11515;top:20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739"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40"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350 </w:t>
                        </w:r>
                      </w:p>
                    </w:txbxContent>
                  </v:textbox>
                </v:rect>
                <w10:wrap type="square"/>
              </v:group>
            </w:pict>
          </mc:Fallback>
        </mc:AlternateContent>
      </w:r>
      <w:r>
        <w:rPr>
          <w:sz w:val="23"/>
        </w:rPr>
        <w:t xml:space="preserve">     Antes de la aprobación definitiva del Presupuesto General, debe cumplirse el mandato impuesto por el artículo 37 del Texto Refundido del Estatuto Básico del E</w:t>
      </w:r>
      <w:r>
        <w:rPr>
          <w:sz w:val="23"/>
        </w:rPr>
        <w:t xml:space="preserve">mpleado Público, que señala que serán objeto de negociación, en su ámbito respectivo y en relación con las competencias de cada Administración Pública y con el alcance que legalmente proceda en cada caso, las materias siguientes: </w:t>
      </w:r>
    </w:p>
    <w:p w:rsidR="00025683" w:rsidRDefault="007C2AAB">
      <w:pPr>
        <w:spacing w:after="0" w:line="259" w:lineRule="auto"/>
        <w:ind w:left="14" w:firstLine="0"/>
        <w:jc w:val="left"/>
      </w:pPr>
      <w:r>
        <w:rPr>
          <w:sz w:val="23"/>
        </w:rPr>
        <w:t xml:space="preserve"> </w:t>
      </w:r>
    </w:p>
    <w:p w:rsidR="00025683" w:rsidRDefault="007C2AAB">
      <w:pPr>
        <w:numPr>
          <w:ilvl w:val="0"/>
          <w:numId w:val="2"/>
        </w:numPr>
        <w:ind w:right="202"/>
      </w:pPr>
      <w:r>
        <w:rPr>
          <w:sz w:val="23"/>
        </w:rPr>
        <w:t>La aplicación del incre</w:t>
      </w:r>
      <w:r>
        <w:rPr>
          <w:sz w:val="23"/>
        </w:rPr>
        <w:t xml:space="preserve">mento de las retribuciones del personal al servicio de las Administraciones Públicas que se establezca en la Ley de Presupuestos Generales del Estado y de las Comunidades Autónomas. </w:t>
      </w:r>
    </w:p>
    <w:p w:rsidR="00025683" w:rsidRDefault="007C2AAB">
      <w:pPr>
        <w:numPr>
          <w:ilvl w:val="0"/>
          <w:numId w:val="2"/>
        </w:numPr>
        <w:ind w:right="202"/>
      </w:pPr>
      <w:r>
        <w:rPr>
          <w:sz w:val="23"/>
        </w:rPr>
        <w:t>La determinación y aplicación de las retribuciones complementarias de los</w:t>
      </w:r>
      <w:r>
        <w:rPr>
          <w:sz w:val="23"/>
        </w:rPr>
        <w:t xml:space="preserve"> funcionarios.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No obstante, consta en el expediente el Acta de negociación de las citadas retribuciones, firmada por los representantes sindicales.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El contenido de la Relación de Puestos de Trabajo y la Plantilla Orgánica difieren. Esta sit</w:t>
      </w:r>
      <w:r>
        <w:rPr>
          <w:sz w:val="23"/>
        </w:rPr>
        <w:t>uación es posible porque la Relación de Puestos de Trabajo es el instrumento técnico a través del cual se realiza la ordenación del personal, de acuerdo con las necesidades de los servicios, precisando los requisitos para el desempeño de cada puesto, y com</w:t>
      </w:r>
      <w:r>
        <w:rPr>
          <w:sz w:val="23"/>
        </w:rPr>
        <w:t>prendiendo la denominación y características esenciales de los mismos, requisitos exigidos para su desempeño y determinación de sus retribuciones complementarias, mientras que la Plantilla Orgánica tiene un ámbito más reducido, pues no determina las caract</w:t>
      </w:r>
      <w:r>
        <w:rPr>
          <w:sz w:val="23"/>
        </w:rPr>
        <w:t xml:space="preserve">erísticas esenciales del puesto, ni requisitos para su ocupación, y su finalidad es distinta, predominantemente de ordenación presupuestaria, y por ello exenta de preceptiva negociación sindical. En definitiva, la aprobación de la Plantilla Orgánica no es </w:t>
      </w:r>
      <w:r>
        <w:rPr>
          <w:sz w:val="23"/>
        </w:rPr>
        <w:t xml:space="preserve">sino la aprobación de una partida de los presupuestos.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En consecuencia, la Relación de Puestos de Trabajo es el único instrumento técnico a través de cual se puede modificar el contenido de cada puesto de trabajo, vinculando a las Plantillas Orgáni</w:t>
      </w:r>
      <w:r>
        <w:rPr>
          <w:sz w:val="23"/>
        </w:rPr>
        <w:t xml:space="preserve">cas, que tiene un marcado carácter presupuestario, que incluso la jurisprudencia la asimila a las disposiciones de carácter general, a efectos de su impugnación.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En este contexto, podemos señalar que el Tribunal Supremo, en la Sala de lo Contencio</w:t>
      </w:r>
      <w:r>
        <w:rPr>
          <w:sz w:val="23"/>
        </w:rPr>
        <w:t>so-Administrativo, Sección 7ª, en Sentencia de 20 de octubre de 2008 señala que las Plantillas Orgánicas, tienen un marcado carácter presupuestario, por lo que la aprobación de la Plantilla Orgánica no es sino la aprobación de una partida de los presupuest</w:t>
      </w:r>
      <w:r>
        <w:rPr>
          <w:sz w:val="23"/>
        </w:rPr>
        <w:t>os, que podrá prever un número de funcionarios menor que el establecido en la Relación de Puestos de Trabajo (al existir por ejemplo vacantes que por motivos presupuestarios se decida no cubrir) pero que no puede contradecir en el contenido, naturaleza y n</w:t>
      </w:r>
      <w:r>
        <w:rPr>
          <w:sz w:val="23"/>
        </w:rPr>
        <w:t xml:space="preserve">úmero máximo de plazas, a las previsiones previstas en la Relación de Puestos de Trabajo.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w:t>
      </w:r>
      <w:r>
        <w:rPr>
          <w:sz w:val="23"/>
        </w:rPr>
        <w:t>Por tanto, esta menor previsión de plazas en la Plantilla Orgánica, en relación a la Relación de Puestos de Trabajo, está justificada, por existir vacantes que se ha decidido no cubrir. No se ha creado ninguna plaza adicional respecto del Presupuesto anter</w:t>
      </w:r>
      <w:r>
        <w:rPr>
          <w:sz w:val="23"/>
        </w:rPr>
        <w:t>ior</w:t>
      </w:r>
      <w:r>
        <w:rPr>
          <w:b/>
          <w:sz w:val="23"/>
        </w:rPr>
        <w:t>.</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El Anexo de las inversiones a realizar en el ejercicio, se especifican para cada uno de los proyectos de inversión: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71998" name="Group 37199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866" name="Rectangle 866"/>
                        <wps:cNvSpPr/>
                        <wps:spPr>
                          <a:xfrm rot="-5399999">
                            <a:off x="-1151584" y="2005926"/>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867" name="Rectangle 867"/>
                        <wps:cNvSpPr/>
                        <wps:spPr>
                          <a:xfrm rot="-5399999">
                            <a:off x="-976166" y="2105144"/>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68" name="Rectangle 868"/>
                        <wps:cNvSpPr/>
                        <wps:spPr>
                          <a:xfrm rot="-5399999">
                            <a:off x="-1966025" y="1039084"/>
                            <a:ext cx="4350075"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1998" style="width:18.7031pt;height:257.538pt;position:absolute;mso-position-horizontal-relative:page;mso-position-horizontal:absolute;margin-left:662.928pt;mso-position-vertical-relative:page;margin-top:515.382pt;" coordsize="2375,32707">
                <v:rect id="Rectangle 866" style="position:absolute;width:24163;height:1132;left:-11515;top:20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867"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6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350 </w:t>
                        </w:r>
                      </w:p>
                    </w:txbxContent>
                  </v:textbox>
                </v:rect>
                <w10:wrap type="square"/>
              </v:group>
            </w:pict>
          </mc:Fallback>
        </mc:AlternateContent>
      </w:r>
      <w:r>
        <w:rPr>
          <w:sz w:val="23"/>
        </w:rPr>
        <w:t xml:space="preserve"> </w:t>
      </w:r>
    </w:p>
    <w:p w:rsidR="00025683" w:rsidRDefault="007C2AAB">
      <w:pPr>
        <w:ind w:left="21" w:right="202"/>
      </w:pPr>
      <w:r>
        <w:rPr>
          <w:sz w:val="23"/>
        </w:rPr>
        <w:t xml:space="preserve">-Código de Identificación. </w:t>
      </w:r>
    </w:p>
    <w:p w:rsidR="00025683" w:rsidRDefault="007C2AAB">
      <w:pPr>
        <w:ind w:left="21" w:right="202"/>
      </w:pPr>
      <w:r>
        <w:rPr>
          <w:sz w:val="23"/>
        </w:rPr>
        <w:t xml:space="preserve">-Denominación del proyecto. </w:t>
      </w:r>
    </w:p>
    <w:p w:rsidR="00025683" w:rsidRDefault="007C2AAB">
      <w:pPr>
        <w:ind w:left="21" w:right="202"/>
      </w:pPr>
      <w:r>
        <w:rPr>
          <w:sz w:val="23"/>
        </w:rPr>
        <w:t xml:space="preserve">-Año de inicio y año de finalización previstos. </w:t>
      </w:r>
    </w:p>
    <w:p w:rsidR="00025683" w:rsidRDefault="007C2AAB">
      <w:pPr>
        <w:ind w:left="21" w:right="202"/>
      </w:pPr>
      <w:r>
        <w:rPr>
          <w:sz w:val="23"/>
        </w:rPr>
        <w:t xml:space="preserve">-Importe de la anualidad. </w:t>
      </w:r>
    </w:p>
    <w:p w:rsidR="00025683" w:rsidRDefault="007C2AAB">
      <w:pPr>
        <w:ind w:left="21" w:right="202"/>
      </w:pPr>
      <w:r>
        <w:rPr>
          <w:sz w:val="23"/>
        </w:rPr>
        <w:t>-Tipo de financiación: si so</w:t>
      </w:r>
      <w:r>
        <w:rPr>
          <w:sz w:val="23"/>
        </w:rPr>
        <w:t xml:space="preserve">n recursos generales o afectados. </w:t>
      </w:r>
    </w:p>
    <w:p w:rsidR="00025683" w:rsidRDefault="007C2AAB">
      <w:pPr>
        <w:ind w:left="21" w:right="202"/>
      </w:pPr>
      <w:r>
        <w:rPr>
          <w:sz w:val="23"/>
        </w:rPr>
        <w:t xml:space="preserve">-Vinculación de los créditos asignados. </w:t>
      </w:r>
    </w:p>
    <w:p w:rsidR="00025683" w:rsidRDefault="007C2AAB">
      <w:pPr>
        <w:ind w:left="21" w:right="202"/>
      </w:pPr>
      <w:r>
        <w:rPr>
          <w:sz w:val="23"/>
        </w:rPr>
        <w:t xml:space="preserve">-Órgano encargado de su gestión.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La Sentencia del Tribunal Superior de Justicia de Madrid, citada en el presente informe, declaró la nulidad del presupuesto que se aprobó c</w:t>
      </w:r>
      <w:r>
        <w:rPr>
          <w:sz w:val="23"/>
        </w:rPr>
        <w:t xml:space="preserve">on el Anexo de Inversiones sin detallar ninguno de los requisitos que deben especificarse para cada uno de los proyectos. No obstante, se cumple en este Plan de inversiones del ejercicio 2026, lo preceptuado en la normativa local.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w:t>
      </w:r>
      <w:r>
        <w:rPr>
          <w:sz w:val="23"/>
        </w:rPr>
        <w:t>El informe económico-financiero, expone las bases utilizadas para la evaluación de los ingresos y de las operaciones de crédito previstas, la suficiencia de los créditos para atender el cumplimiento de las obligaciones exigibles y los gastos de funcionamie</w:t>
      </w:r>
      <w:r>
        <w:rPr>
          <w:sz w:val="23"/>
        </w:rPr>
        <w:t xml:space="preserve">nto de los servicios y, en consecuencia, la efectiva nivelación del presupuesto.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Será explicado en el informe anexo al Presupuesto General.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El Anexo de beneficios fiscales en tributos locales conteniendo información detallada de los beneficios f</w:t>
      </w:r>
      <w:r>
        <w:rPr>
          <w:sz w:val="23"/>
        </w:rPr>
        <w:t xml:space="preserve">iscales, que asciende a 351.739,11 Euros. </w:t>
      </w:r>
    </w:p>
    <w:p w:rsidR="00025683" w:rsidRDefault="007C2AAB">
      <w:pPr>
        <w:ind w:left="21" w:right="202"/>
      </w:pPr>
      <w:r>
        <w:rPr>
          <w:sz w:val="23"/>
        </w:rPr>
        <w:t xml:space="preserve">     El Anexo con información relativa a los convenios suscritos con las Comunidades Autónomas en materia de gasto social, con especificación de la cuantía de las obligaciones de pago y de los derechos económicos </w:t>
      </w:r>
      <w:r>
        <w:rPr>
          <w:sz w:val="23"/>
        </w:rPr>
        <w:t xml:space="preserve">que se deben reconocer en el ejercicio al que se refiere el presupuesto general y de las obligaciones pendientes de pago y derechos económicos pendientes de cobro, reconocidos en ejercicios anteriores, así como de la aplicación o partida presupuestaria en </w:t>
      </w:r>
      <w:r>
        <w:rPr>
          <w:sz w:val="23"/>
        </w:rPr>
        <w:t xml:space="preserve">la que se recogen, y la referencia a que dichos convenios incluyen la cláusula de retención de recursos del sistema de financiación a la que se refiere el artículo 57 bis de la Ley 7/1985, de 2 de abril, reguladora de las Bases del Régimen Local.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S</w:t>
      </w:r>
      <w:r>
        <w:rPr>
          <w:sz w:val="23"/>
        </w:rPr>
        <w:t xml:space="preserve">e incluye el Convenio de Servicios Sociales con la Comunidad Autónoma de Canarias para la ejecución en el presente ejercicio del Plan Concertado.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Junto a ello, en cumplimiento del artículo 16.2 del Real Decreto 1463/2007, de 2 de noviembre, por el </w:t>
      </w:r>
      <w:r>
        <w:rPr>
          <w:sz w:val="23"/>
        </w:rPr>
        <w:t>que se aprueba el reglamento de desarrollo de la Ley 18/2001, para verificar el cumplimiento del objetivo del principio de estabilidad presupuestaria, se ha de emitir informe independiente, e incorporarse a los documentos que forman parte del Presupuesto G</w:t>
      </w:r>
      <w:r>
        <w:rPr>
          <w:sz w:val="23"/>
        </w:rPr>
        <w:t xml:space="preserve">eneral de la Entidad Local.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Se incorpora al Presupuesto General las previsiones de ingresos y gastos de los entes instrumentales municipales.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73248" name="Group 373248"/>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86" name="Rectangle 986"/>
                        <wps:cNvSpPr/>
                        <wps:spPr>
                          <a:xfrm rot="-5399999">
                            <a:off x="-1151584" y="2005926"/>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87" name="Rectangle 987"/>
                        <wps:cNvSpPr/>
                        <wps:spPr>
                          <a:xfrm rot="-5399999">
                            <a:off x="-976166" y="2105144"/>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88" name="Rectangle 988"/>
                        <wps:cNvSpPr/>
                        <wps:spPr>
                          <a:xfrm rot="-5399999">
                            <a:off x="-1966025" y="1039084"/>
                            <a:ext cx="4350075"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3248" style="width:18.7031pt;height:257.538pt;position:absolute;mso-position-horizontal-relative:page;mso-position-horizontal:absolute;margin-left:662.928pt;mso-position-vertical-relative:page;margin-top:515.382pt;" coordsize="2375,32707">
                <v:rect id="Rectangle 986" style="position:absolute;width:24163;height:1132;left:-11515;top:20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87"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88"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350 </w:t>
                        </w:r>
                      </w:p>
                    </w:txbxContent>
                  </v:textbox>
                </v:rect>
                <w10:wrap type="square"/>
              </v:group>
            </w:pict>
          </mc:Fallback>
        </mc:AlternateContent>
      </w:r>
      <w:r>
        <w:rPr>
          <w:sz w:val="23"/>
        </w:rPr>
        <w:t xml:space="preserve">     Por todo ello, hay que considerar que el expediente se encuentra completo en su documentación para que pueda ser aprobado por el Pleno del Ayuntamiento.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En segundo término, del estudio de los Estados de Gastos e Ingresos del Presupuesto de la Entidad para el ejercicio 2.026, se puede dictaminar que está en ligero superávit.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Con respecto a la tramitación del Presupuesto, se señalan las </w:t>
      </w:r>
      <w:r>
        <w:rPr>
          <w:sz w:val="23"/>
        </w:rPr>
        <w:t xml:space="preserve">siguientes fases: </w:t>
      </w:r>
    </w:p>
    <w:p w:rsidR="00025683" w:rsidRDefault="007C2AAB">
      <w:pPr>
        <w:ind w:left="21" w:right="202"/>
      </w:pPr>
      <w:r>
        <w:rPr>
          <w:sz w:val="23"/>
        </w:rPr>
        <w:t xml:space="preserve">1.- Elevación al Pleno del Proyecto de Presupuesto General, una vez informado por el Interventor y con los anexos e información complementaria, por parte del Presidente para su aprobación, enmienda o devolución.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2.- Aprobación inicial</w:t>
      </w:r>
      <w:r>
        <w:rPr>
          <w:sz w:val="23"/>
        </w:rPr>
        <w:t xml:space="preserve"> del Presupuesto por el Pleno de la Corporación por mayoría simple de los miembros presentes.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3.- El acuerdo de aprobación será único y habrá de detallar los Presupuestos que integran el Presupuesto General.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4.- Información pública por espacio de qui</w:t>
      </w:r>
      <w:r>
        <w:rPr>
          <w:sz w:val="23"/>
        </w:rPr>
        <w:t xml:space="preserve">nce días hábiles, en el Boletín Oficial de la Provincia, plazo durante el cual los interesados podrán examinarlos y presentar reclamaciones ante el Pleno.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5.- Resolución de todas las reclamaciones presentadas. El Pleno dispondrá del plazo de un mes para</w:t>
      </w:r>
      <w:r>
        <w:rPr>
          <w:sz w:val="23"/>
        </w:rPr>
        <w:t xml:space="preserve"> resolverlas.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6.- Aprobación definitiva. El Presupuesto General se considerará definitivamente aprobado si al término de exposición al público no se hubiera presentado reclamaciones; en caso contrario, se requerirá acuerdo expreso por el que se resuelve</w:t>
      </w:r>
      <w:r>
        <w:rPr>
          <w:sz w:val="23"/>
        </w:rPr>
        <w:t xml:space="preserve">n las formuladas y se apruebe definitivamente.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7.- Publicación. El Presupuesto General definitivamente aprobado será insertado en el Boletín Oficial de la Provincia resumido por capítulos.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8.- Remisión del expediente y entrada en vigor. Del Presupues</w:t>
      </w:r>
      <w:r>
        <w:rPr>
          <w:sz w:val="23"/>
        </w:rPr>
        <w:t xml:space="preserve">to General definitivamente aprobado se remitirá copia a la Administración del Estado y a la Comunidad Autónoma. La remisión será simultánea al envía al Boletín Oficial de la Provincia.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w:t>
      </w:r>
      <w:r>
        <w:rPr>
          <w:sz w:val="23"/>
        </w:rPr>
        <w:t xml:space="preserve">Contra la aprobación inicial del Presupuesto General, únicamente podrán entablarse reclamaciones contra el presupuesto: </w:t>
      </w:r>
    </w:p>
    <w:p w:rsidR="00025683" w:rsidRDefault="007C2AAB">
      <w:pPr>
        <w:spacing w:after="0" w:line="259" w:lineRule="auto"/>
        <w:ind w:left="14" w:firstLine="0"/>
        <w:jc w:val="left"/>
      </w:pPr>
      <w:r>
        <w:rPr>
          <w:sz w:val="23"/>
        </w:rPr>
        <w:t xml:space="preserve"> </w:t>
      </w:r>
    </w:p>
    <w:p w:rsidR="00025683" w:rsidRDefault="007C2AAB">
      <w:pPr>
        <w:numPr>
          <w:ilvl w:val="0"/>
          <w:numId w:val="3"/>
        </w:numPr>
        <w:ind w:right="202"/>
      </w:pPr>
      <w:r>
        <w:rPr>
          <w:sz w:val="23"/>
        </w:rPr>
        <w:t xml:space="preserve">Por no haberse ajustado su elaboración y aprobación a los trámites establecidos en esta Ley. </w:t>
      </w:r>
    </w:p>
    <w:p w:rsidR="00025683" w:rsidRDefault="007C2AAB">
      <w:pPr>
        <w:numPr>
          <w:ilvl w:val="0"/>
          <w:numId w:val="3"/>
        </w:numPr>
        <w:ind w:right="202"/>
      </w:pPr>
      <w:r>
        <w:rPr>
          <w:sz w:val="23"/>
        </w:rPr>
        <w:t>Por omitir el crédito necesario para el</w:t>
      </w:r>
      <w:r>
        <w:rPr>
          <w:sz w:val="23"/>
        </w:rPr>
        <w:t xml:space="preserve"> cumplimiento de obligaciones exigibles a la entidad local, en virtud de precepto legal o de cualquier otro título legítimo. </w:t>
      </w:r>
    </w:p>
    <w:p w:rsidR="00025683" w:rsidRDefault="007C2AAB">
      <w:pPr>
        <w:numPr>
          <w:ilvl w:val="0"/>
          <w:numId w:val="3"/>
        </w:numPr>
        <w:ind w:right="202"/>
      </w:pPr>
      <w:r>
        <w:rPr>
          <w:sz w:val="23"/>
        </w:rPr>
        <w:t>Por ser de manifiesta insuficiencia los ingresos con relación a los gastos presupuestados o bien de estos respecto a las necesidad</w:t>
      </w:r>
      <w:r>
        <w:rPr>
          <w:sz w:val="23"/>
        </w:rPr>
        <w:t xml:space="preserve">es para las que esté previsto.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373337" name="Group 373337"/>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119" name="Rectangle 1119"/>
                        <wps:cNvSpPr/>
                        <wps:spPr>
                          <a:xfrm rot="-5399999">
                            <a:off x="-1151584" y="2005926"/>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20" name="Rectangle 1120"/>
                        <wps:cNvSpPr/>
                        <wps:spPr>
                          <a:xfrm rot="-5399999">
                            <a:off x="-976166" y="2105144"/>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21" name="Rectangle 1121"/>
                        <wps:cNvSpPr/>
                        <wps:spPr>
                          <a:xfrm rot="-5399999">
                            <a:off x="-1966025" y="1039084"/>
                            <a:ext cx="4350075"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3337" style="width:18.7031pt;height:257.538pt;position:absolute;mso-position-horizontal-relative:page;mso-position-horizontal:absolute;margin-left:662.928pt;mso-position-vertical-relative:page;margin-top:515.382pt;" coordsize="2375,32707">
                <v:rect id="Rectangle 1119" style="position:absolute;width:24163;height:1132;left:-11515;top:20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20" style="position:absolute;width:22179;height:1132;left:-9761;top:2105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21" style="position:absolute;width:43500;height:1132;left:-19660;top:1039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350 </w:t>
                        </w:r>
                      </w:p>
                    </w:txbxContent>
                  </v:textbox>
                </v:rect>
                <w10:wrap type="square"/>
              </v:group>
            </w:pict>
          </mc:Fallback>
        </mc:AlternateContent>
      </w:r>
      <w:r>
        <w:rPr>
          <w:sz w:val="23"/>
        </w:rPr>
        <w:t xml:space="preserve">     En este sentido se </w:t>
      </w:r>
      <w:r>
        <w:rPr>
          <w:sz w:val="23"/>
        </w:rPr>
        <w:t>ha de señalar que para que prospere la reclamación, tanto la insuficiencia de los ingresos como la de los créditos ha de ser manifiesta y debe acreditarse mediante informe pericial u otro medio de prueba suficiente, no bastando que sea “posible”. En este s</w:t>
      </w:r>
      <w:r>
        <w:rPr>
          <w:sz w:val="23"/>
        </w:rPr>
        <w:t>entido argumenta la Sentencia del Tribunal Superior de Justicia de Baleares de 1 de diciembre de 2000. Ello implica que no son motivo de reclamación que los ingresos previstos sean excesivos o la ilegalidad de alguna o varias ordenanzas fiscales reguladora</w:t>
      </w:r>
      <w:r>
        <w:rPr>
          <w:sz w:val="23"/>
        </w:rPr>
        <w:t xml:space="preserve">s de tributos cuyo rendimiento configura el estado de ingresos.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Tienen la consideración de interesados, para interponer la correspondiente reclamación contra el Presupuesto: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Los habitantes en el territorio de la respectiva entidad local.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Los que resulten directamente afectados, aunque no habiten en el territorio de la entidad local.</w:t>
      </w:r>
      <w:r>
        <w:rPr>
          <w:rFonts w:ascii="Times New Roman" w:eastAsia="Times New Roman" w:hAnsi="Times New Roman" w:cs="Times New Roman"/>
          <w:sz w:val="24"/>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Los colegios oficiales, cámaras oficiales, sindicatos, asociaciones y demás entidades legalmente constituidas para velar por intereses profesionales o económicos y vecinales, cuando actúen en defensa de los que les son propios.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w:t>
      </w:r>
      <w:r>
        <w:rPr>
          <w:sz w:val="23"/>
        </w:rPr>
        <w:t xml:space="preserve">Contra la aprobación definitiva del presupuesto podrá interponerse directamente recurso contencioso-administrativo, en la forma y plazos que establecen las normas de dicha jurisdicción.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Al tratarse el Presupuesto General, una disposición administra</w:t>
      </w:r>
      <w:r>
        <w:rPr>
          <w:sz w:val="23"/>
        </w:rPr>
        <w:t xml:space="preserve">tiva general dictada por un órgano que no tiene superior jerárquico, no es susceptible de ulterior recurso y, por tanto, pone fin a la vía administrativa, lo cual conlleva que no podrá interponerse recurso de reposición alguno.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El Tribunal de Cuent</w:t>
      </w:r>
      <w:r>
        <w:rPr>
          <w:sz w:val="23"/>
        </w:rPr>
        <w:t>as deberá informar previamente a la resolución del recurso cuando la impugnación afecte o se refiera a la nivelación presupuestaria. La interposición de recursos no suspenderá por sí sola la aplicación del presupuesto definitivamente aprobado por la corpor</w:t>
      </w:r>
      <w:r>
        <w:rPr>
          <w:sz w:val="23"/>
        </w:rPr>
        <w:t xml:space="preserve">ación. </w:t>
      </w:r>
    </w:p>
    <w:p w:rsidR="00025683" w:rsidRDefault="007C2AAB">
      <w:pPr>
        <w:spacing w:after="0" w:line="259" w:lineRule="auto"/>
        <w:ind w:left="29" w:firstLine="0"/>
        <w:jc w:val="left"/>
      </w:pPr>
      <w:r>
        <w:rPr>
          <w:sz w:val="23"/>
        </w:rPr>
        <w:t xml:space="preserve"> </w:t>
      </w:r>
    </w:p>
    <w:p w:rsidR="00025683" w:rsidRDefault="007C2AAB">
      <w:pPr>
        <w:ind w:left="21" w:right="202"/>
      </w:pPr>
      <w:r>
        <w:rPr>
          <w:sz w:val="23"/>
        </w:rPr>
        <w:t xml:space="preserve">     Por último, señalar que el proceso de convocatoria de la comisión informativa correspondiente es para dictaminar las reclamaciones, convocar el pleno y celebrarlo, no es para votar nuevamente el presupuesto sino para resolver las reclamacion</w:t>
      </w:r>
      <w:r>
        <w:rPr>
          <w:sz w:val="23"/>
        </w:rPr>
        <w:t xml:space="preserve">es qué, si se estiman y afecta al presupuesto, sólo se votaría ese extremo. </w:t>
      </w:r>
    </w:p>
    <w:p w:rsidR="00025683" w:rsidRDefault="007C2AAB">
      <w:pPr>
        <w:spacing w:after="22" w:line="259" w:lineRule="auto"/>
        <w:ind w:left="14" w:firstLine="0"/>
        <w:jc w:val="left"/>
      </w:pPr>
      <w:r>
        <w:rPr>
          <w:sz w:val="23"/>
        </w:rPr>
        <w:t xml:space="preserve"> </w:t>
      </w:r>
    </w:p>
    <w:p w:rsidR="00025683" w:rsidRDefault="007C2AAB">
      <w:pPr>
        <w:ind w:left="21" w:right="202"/>
      </w:pPr>
      <w:r>
        <w:rPr>
          <w:sz w:val="23"/>
        </w:rPr>
        <w:t xml:space="preserve">     Por tanto, el presupuesto general consolidado, se aprueba con ligero superávit.”.</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spacing w:after="1" w:line="249" w:lineRule="auto"/>
        <w:ind w:left="17" w:right="197" w:hanging="10"/>
      </w:pPr>
      <w:r>
        <w:rPr>
          <w:b/>
          <w:sz w:val="24"/>
        </w:rPr>
        <w:t>Consta en el expediente propuesta del Concejal Delegado de Hacienda al Pleno de Aprob</w:t>
      </w:r>
      <w:r>
        <w:rPr>
          <w:b/>
          <w:sz w:val="24"/>
        </w:rPr>
        <w:t>ación del Presupuesto General 2026, de fecha 17 de diciembre de 2025, que transcrito literalmente dice: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41" w:line="259" w:lineRule="auto"/>
        <w:ind w:left="14"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3589" name="Group 3735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35" name="Rectangle 1235"/>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236" name="Rectangle 1236"/>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37" name="Rectangle 1237"/>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3589" style="width:18.7031pt;height:260.874pt;position:absolute;mso-position-horizontal-relative:page;mso-position-horizontal:absolute;margin-left:662.928pt;mso-position-vertical-relative:page;margin-top:512.046pt;" coordsize="2375,33130">
                <v:rect id="Rectangle 1235"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3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3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350 </w:t>
                        </w:r>
                      </w:p>
                    </w:txbxContent>
                  </v:textbox>
                </v:rect>
                <w10:wrap type="square"/>
              </v:group>
            </w:pict>
          </mc:Fallback>
        </mc:AlternateContent>
      </w:r>
      <w:r>
        <w:rPr>
          <w:sz w:val="24"/>
        </w:rPr>
        <w:t xml:space="preserve"> </w:t>
      </w:r>
      <w:r>
        <w:rPr>
          <w:rFonts w:ascii="Times New Roman" w:eastAsia="Times New Roman" w:hAnsi="Times New Roman" w:cs="Times New Roman"/>
          <w:sz w:val="24"/>
        </w:rPr>
        <w:t xml:space="preserve"> </w:t>
      </w:r>
    </w:p>
    <w:p w:rsidR="00025683" w:rsidRDefault="007C2AAB">
      <w:pPr>
        <w:spacing w:after="0" w:line="259" w:lineRule="auto"/>
        <w:ind w:left="0" w:right="200" w:firstLine="0"/>
        <w:jc w:val="center"/>
      </w:pPr>
      <w:r>
        <w:rPr>
          <w:sz w:val="24"/>
        </w:rPr>
        <w:t xml:space="preserve"> </w:t>
      </w:r>
      <w:r>
        <w:rPr>
          <w:sz w:val="37"/>
          <w:vertAlign w:val="subscript"/>
        </w:rPr>
        <w:t>“</w:t>
      </w:r>
      <w:r>
        <w:rPr>
          <w:b/>
          <w:sz w:val="30"/>
        </w:rPr>
        <w:t>Propuesta de la Concejalía de Hacienda</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rPr>
          <w:sz w:val="20"/>
        </w:rPr>
        <w:t xml:space="preserve"> </w:t>
      </w:r>
    </w:p>
    <w:p w:rsidR="00025683" w:rsidRDefault="007C2AAB">
      <w:pPr>
        <w:ind w:left="11" w:right="204"/>
      </w:pPr>
      <w:r>
        <w:rPr>
          <w:sz w:val="20"/>
        </w:rPr>
        <w:t xml:space="preserve">        Dado el expediente de Presupuesto General de esta Corporación para el ejercicio </w:t>
      </w:r>
      <w:r>
        <w:rPr>
          <w:b/>
          <w:sz w:val="20"/>
        </w:rPr>
        <w:t>2026</w:t>
      </w:r>
      <w:r>
        <w:rPr>
          <w:sz w:val="20"/>
        </w:rPr>
        <w:t>, el trámite expresamente previsto para su confección por el Texto Refundido de la Ley de Haciendas Locales 2/2004, y en base a los objetivos, dotaciones y previsiones de ingresos y gastos propuestos por las distintas Concejalías a la Concejalía de Haciend</w:t>
      </w:r>
      <w:r>
        <w:rPr>
          <w:sz w:val="20"/>
        </w:rPr>
        <w:t>a, necesarios para el ejercicio que pretende cubrir el Presupuesto.</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rPr>
          <w:sz w:val="20"/>
        </w:rPr>
        <w:t xml:space="preserve"> </w:t>
      </w:r>
    </w:p>
    <w:p w:rsidR="00025683" w:rsidRDefault="007C2AAB">
      <w:pPr>
        <w:ind w:left="11" w:right="204"/>
      </w:pPr>
      <w:r>
        <w:rPr>
          <w:sz w:val="20"/>
        </w:rPr>
        <w:t xml:space="preserve">        Por esta Concejalía de Hacienda se ha previsto los ingresos globales del Ayuntamiento y sus gastos adecuando a las peticiones de los diversos servicios al programa del equipo de</w:t>
      </w:r>
      <w:r>
        <w:rPr>
          <w:sz w:val="20"/>
        </w:rPr>
        <w:t xml:space="preserve"> Gobierno y las disposiciones reales. </w:t>
      </w:r>
    </w:p>
    <w:p w:rsidR="00025683" w:rsidRDefault="007C2AAB">
      <w:pPr>
        <w:ind w:left="11" w:right="204"/>
      </w:pPr>
      <w:r>
        <w:rPr>
          <w:sz w:val="20"/>
        </w:rPr>
        <w:t xml:space="preserve">        Considerando que los Presupuestos Generales de las entidades locales, entre las cuales se incluye este Ayuntamiento, comprende conforme establece, expresamente, el artículo 162 del Texto Refundido de la Ley Re</w:t>
      </w:r>
      <w:r>
        <w:rPr>
          <w:sz w:val="20"/>
        </w:rPr>
        <w:t>guladora de las Haciendas Locales aprobado por Real Decreto Legislativo 2/2004, la expresión cifrada conjunta y sistemática de las obligaciones que, como máximo, pueden reconocer la entidad y sus organismos autónomos y los derechos que prevén liquidar dura</w:t>
      </w:r>
      <w:r>
        <w:rPr>
          <w:sz w:val="20"/>
        </w:rPr>
        <w:t xml:space="preserve">nte el correspondiente ejercicio así como las previsiones de ingresos y gastos de las sociedades mercantiles cuyo capital social pertenezca íntegramente a la entidad local correspondiente. </w:t>
      </w:r>
    </w:p>
    <w:p w:rsidR="00025683" w:rsidRDefault="007C2AAB">
      <w:pPr>
        <w:spacing w:after="0" w:line="259" w:lineRule="auto"/>
        <w:ind w:left="29" w:firstLine="0"/>
        <w:jc w:val="left"/>
      </w:pPr>
      <w:r>
        <w:rPr>
          <w:sz w:val="20"/>
        </w:rPr>
        <w:t xml:space="preserve"> </w:t>
      </w:r>
    </w:p>
    <w:p w:rsidR="00025683" w:rsidRDefault="007C2AAB">
      <w:pPr>
        <w:ind w:left="11" w:right="204"/>
      </w:pPr>
      <w:r>
        <w:rPr>
          <w:sz w:val="20"/>
        </w:rPr>
        <w:t xml:space="preserve">        En ese sentido debemos señalar que el documento que se p</w:t>
      </w:r>
      <w:r>
        <w:rPr>
          <w:sz w:val="20"/>
        </w:rPr>
        <w:t>retende someter a la tramitación del procedimiento previsto en el Texto Refundido de la Ley Reguladora de las Haciendas Locales y en el Real Decreto 500/1990 ha sido elaborado cumplimentado los requisitos formales previstos en el referido Texto Refundido d</w:t>
      </w:r>
      <w:r>
        <w:rPr>
          <w:sz w:val="20"/>
        </w:rPr>
        <w:t>e la Ley Reguladora de las Haciendas Locales y, en ese sentido, conforme a lo específicamente dispuesto en el artículo 164 del citado Texto Refundido de la Ley de Haciendas Locales incorpora tanto el Presupuesto de la propia entidad municipal como del Ente</w:t>
      </w:r>
      <w:r>
        <w:rPr>
          <w:sz w:val="20"/>
        </w:rPr>
        <w:t xml:space="preserve"> Público Empresarial de Gestión de Empresas y Servicios Públicos de Candelaria (EPELCAN) y de la Empresa de Inserción Viviendas y Servicios Municipales de Candelaria S.L.U de capital íntegramente municipal.  </w:t>
      </w:r>
    </w:p>
    <w:p w:rsidR="00025683" w:rsidRDefault="007C2AAB">
      <w:pPr>
        <w:spacing w:after="0" w:line="259" w:lineRule="auto"/>
        <w:ind w:left="29" w:firstLine="0"/>
        <w:jc w:val="left"/>
      </w:pPr>
      <w:r>
        <w:rPr>
          <w:sz w:val="20"/>
        </w:rPr>
        <w:t xml:space="preserve"> </w:t>
      </w:r>
    </w:p>
    <w:p w:rsidR="00025683" w:rsidRDefault="007C2AAB">
      <w:pPr>
        <w:ind w:left="11" w:right="204"/>
      </w:pPr>
      <w:r>
        <w:rPr>
          <w:sz w:val="20"/>
        </w:rPr>
        <w:t xml:space="preserve">        Debemos destacar en cuanto a contenid</w:t>
      </w:r>
      <w:r>
        <w:rPr>
          <w:sz w:val="20"/>
        </w:rPr>
        <w:t>o formal conforme lo dispuesto en el artículo 165 del Texto Refundido de la Ley de Haciendas Locales, que se incorpora los estados de gastos y los estados de ingresos así como las bases de ejecución de presupuesto, y conforme al artículo 166 de la citada n</w:t>
      </w:r>
      <w:r>
        <w:rPr>
          <w:sz w:val="20"/>
        </w:rPr>
        <w:t xml:space="preserve">orma legal se anexan al referido Presupuesto General, el estado de la deuda, programas anuales de actuación, inversiones y financiación de las sociedades mercantiles, el estado de consolidación del presupuesto de la propia entidad con el Ente Público y la </w:t>
      </w:r>
      <w:r>
        <w:rPr>
          <w:sz w:val="20"/>
        </w:rPr>
        <w:t xml:space="preserve">Empresa de Inserción.  </w:t>
      </w:r>
    </w:p>
    <w:p w:rsidR="00025683" w:rsidRDefault="007C2AAB">
      <w:pPr>
        <w:spacing w:after="0" w:line="259" w:lineRule="auto"/>
        <w:ind w:left="29" w:firstLine="0"/>
        <w:jc w:val="left"/>
      </w:pPr>
      <w:r>
        <w:rPr>
          <w:sz w:val="20"/>
        </w:rPr>
        <w:t xml:space="preserve"> </w:t>
      </w:r>
    </w:p>
    <w:p w:rsidR="00025683" w:rsidRDefault="007C2AAB">
      <w:pPr>
        <w:ind w:left="11" w:right="204"/>
      </w:pPr>
      <w:r>
        <w:rPr>
          <w:sz w:val="20"/>
        </w:rPr>
        <w:t xml:space="preserve">        Finalmente debemos señalar que en virtud de lo dispuesto en el artículo 168.1 del Texto Refundido el Presupuesto incorpora la memoria explicativa de éste, la liquidación del Presupuesto del ejercicio 2021, el anexo de pers</w:t>
      </w:r>
      <w:r>
        <w:rPr>
          <w:sz w:val="20"/>
        </w:rPr>
        <w:t>onal de este Ayuntamiento, anexo de inversiones que se pretenden realizar durante la vigencia del Presupuesto cuya aprobación se pretende, informe económico-financiero para la explicación de las bases económicas-financieras de la evaluación de los ingresos</w:t>
      </w:r>
      <w:r>
        <w:rPr>
          <w:sz w:val="20"/>
        </w:rPr>
        <w:t xml:space="preserve">, anexo de información sobres los convenios suscritos con la CC.AA en materia de Gasto Social y anexo de Beneficios Fiscales. </w:t>
      </w:r>
    </w:p>
    <w:p w:rsidR="00025683" w:rsidRDefault="007C2AAB">
      <w:pPr>
        <w:spacing w:after="0" w:line="259" w:lineRule="auto"/>
        <w:ind w:left="0" w:right="139" w:firstLine="0"/>
        <w:jc w:val="center"/>
      </w:pPr>
      <w:r>
        <w:rPr>
          <w:sz w:val="20"/>
        </w:rPr>
        <w:t xml:space="preserve"> </w:t>
      </w:r>
    </w:p>
    <w:p w:rsidR="00025683" w:rsidRDefault="007C2AAB">
      <w:pPr>
        <w:ind w:left="11" w:right="204"/>
      </w:pPr>
      <w:r>
        <w:rPr>
          <w:sz w:val="20"/>
        </w:rPr>
        <w:t xml:space="preserve">         </w:t>
      </w:r>
      <w:r>
        <w:rPr>
          <w:sz w:val="20"/>
        </w:rPr>
        <w:t>Indicar que tal y como se acredita en informe de la Intervención Municipal incorporado al expediente, conforme se establece expresamente en la Ley Orgánica 2/2012, de 27 de abril, de Estabilidad Presupuestaria y Sostenibilidad Financiera, el presupuesto cu</w:t>
      </w:r>
      <w:r>
        <w:rPr>
          <w:sz w:val="20"/>
        </w:rPr>
        <w:t>mple el objetivo de estabilidad presupuestaria.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ind w:left="11" w:right="204"/>
      </w:pPr>
      <w:r>
        <w:rPr>
          <w:sz w:val="20"/>
        </w:rPr>
        <w:t xml:space="preserve">        En cumplimiento del artículo 29 de la Ley Orgánica 2/2012, de 27 de abril, de Estabilidad Presupuestaria y Sostenibilidad Financiera (LOEPSF), se establece la obligación de elaborar el marco de p</w:t>
      </w:r>
      <w:r>
        <w:rPr>
          <w:sz w:val="20"/>
        </w:rPr>
        <w:t xml:space="preserve">lanificación presupuestaria para las Administraciones Públicas. En concreto se señala en dicho articulado:  </w:t>
      </w:r>
    </w:p>
    <w:p w:rsidR="00025683" w:rsidRDefault="007C2AAB">
      <w:pPr>
        <w:spacing w:after="0" w:line="259" w:lineRule="auto"/>
        <w:ind w:left="29" w:firstLine="0"/>
        <w:jc w:val="left"/>
      </w:pPr>
      <w:r>
        <w:rPr>
          <w:sz w:val="20"/>
        </w:rPr>
        <w:t xml:space="preserve"> </w:t>
      </w:r>
    </w:p>
    <w:p w:rsidR="00025683" w:rsidRDefault="007C2AAB">
      <w:pPr>
        <w:ind w:left="11" w:right="204"/>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373941" name="Group 373941"/>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370" name="Rectangle 1370"/>
                        <wps:cNvSpPr/>
                        <wps:spPr>
                          <a:xfrm rot="-5399999">
                            <a:off x="-1151584" y="2042654"/>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71" name="Rectangle 1371"/>
                        <wps:cNvSpPr/>
                        <wps:spPr>
                          <a:xfrm rot="-5399999">
                            <a:off x="-976166" y="2141872"/>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72" name="Rectangle 1372"/>
                        <wps:cNvSpPr/>
                        <wps:spPr>
                          <a:xfrm rot="-5399999">
                            <a:off x="-1990450" y="1051387"/>
                            <a:ext cx="4398923"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w:t>
                              </w:r>
                              <w:r>
                                <w:rPr>
                                  <w:sz w:val="12"/>
                                </w:rPr>
                                <w:t xml:space="preserve">la plataforma esPublico Gestiona | Página 11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3941" style="width:18.7031pt;height:260.43pt;position:absolute;mso-position-horizontal-relative:page;mso-position-horizontal:absolute;margin-left:662.928pt;mso-position-vertical-relative:page;margin-top:512.49pt;" coordsize="2375,33074">
                <v:rect id="Rectangle 1370" style="position:absolute;width:24163;height:1132;left:-11515;top:204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71" style="position:absolute;width:22179;height:1132;left:-9761;top:2141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72" style="position:absolute;width:43989;height:1132;left:-19904;top:1051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350 </w:t>
                        </w:r>
                      </w:p>
                    </w:txbxContent>
                  </v:textbox>
                </v:rect>
                <w10:wrap type="square"/>
              </v:group>
            </w:pict>
          </mc:Fallback>
        </mc:AlternateContent>
      </w:r>
      <w:r>
        <w:rPr>
          <w:sz w:val="20"/>
        </w:rPr>
        <w:t xml:space="preserve">        1.- Se elaborará un plan presupuestario a medio plazo que se incluirá en el Programa de Estabilidad, en el que se enmarcará la elaboración de los presupuestos anuales y a través del cual se garan</w:t>
      </w:r>
      <w:r>
        <w:rPr>
          <w:sz w:val="20"/>
        </w:rPr>
        <w:t xml:space="preserve">tizará una programación presupuestaria coherente con los objetivos de estabilidad presupuestaria y de deuda pública y de conformidad con la regla de gasto. </w:t>
      </w:r>
    </w:p>
    <w:p w:rsidR="00025683" w:rsidRDefault="007C2AAB">
      <w:pPr>
        <w:spacing w:after="0" w:line="259" w:lineRule="auto"/>
        <w:ind w:left="29" w:firstLine="0"/>
        <w:jc w:val="left"/>
      </w:pPr>
      <w:r>
        <w:rPr>
          <w:sz w:val="20"/>
        </w:rPr>
        <w:t xml:space="preserve"> </w:t>
      </w:r>
    </w:p>
    <w:p w:rsidR="00025683" w:rsidRDefault="007C2AAB">
      <w:pPr>
        <w:ind w:left="11" w:right="204"/>
      </w:pPr>
      <w:r>
        <w:rPr>
          <w:sz w:val="20"/>
        </w:rPr>
        <w:t xml:space="preserve">        2.- El plan presupuestario a medio plazo abarcará un periodo mínimo de tres años y conten</w:t>
      </w:r>
      <w:r>
        <w:rPr>
          <w:sz w:val="20"/>
        </w:rPr>
        <w:t xml:space="preserve">drá, entre otros parámetros: </w:t>
      </w:r>
    </w:p>
    <w:p w:rsidR="00025683" w:rsidRDefault="007C2AAB">
      <w:pPr>
        <w:spacing w:after="0" w:line="259" w:lineRule="auto"/>
        <w:ind w:left="26" w:firstLine="0"/>
        <w:jc w:val="left"/>
      </w:pPr>
      <w:r>
        <w:rPr>
          <w:sz w:val="20"/>
        </w:rPr>
        <w:t xml:space="preserve"> </w:t>
      </w:r>
    </w:p>
    <w:p w:rsidR="00025683" w:rsidRDefault="007C2AAB">
      <w:pPr>
        <w:numPr>
          <w:ilvl w:val="0"/>
          <w:numId w:val="4"/>
        </w:numPr>
        <w:ind w:right="204"/>
      </w:pPr>
      <w:r>
        <w:rPr>
          <w:sz w:val="20"/>
        </w:rPr>
        <w:t xml:space="preserve">Los objetivos de estabilidad presupuestaria, de deuda pública y regla de gasto de las respectivas Ad-ministraciones Públicas. </w:t>
      </w:r>
    </w:p>
    <w:p w:rsidR="00025683" w:rsidRDefault="007C2AAB">
      <w:pPr>
        <w:numPr>
          <w:ilvl w:val="0"/>
          <w:numId w:val="4"/>
        </w:numPr>
        <w:ind w:right="204"/>
      </w:pPr>
      <w:r>
        <w:rPr>
          <w:sz w:val="20"/>
        </w:rPr>
        <w:t xml:space="preserve">Las proyecciones de las principales partidas de ingresos y gastos teniendo en cuenta tanto su evolución tendencial, es decir, basada en políticas no sujetas a modificaciones, como el impacto de las medidas previstas para el periodo considerado. </w:t>
      </w:r>
    </w:p>
    <w:p w:rsidR="00025683" w:rsidRDefault="007C2AAB">
      <w:pPr>
        <w:numPr>
          <w:ilvl w:val="0"/>
          <w:numId w:val="4"/>
        </w:numPr>
        <w:ind w:right="204"/>
      </w:pPr>
      <w:r>
        <w:rPr>
          <w:sz w:val="20"/>
        </w:rPr>
        <w:t>Los princi</w:t>
      </w:r>
      <w:r>
        <w:rPr>
          <w:sz w:val="20"/>
        </w:rPr>
        <w:t xml:space="preserve">pales supuestos en los que se basan dichas proyecciones de ingresos y gastos. </w:t>
      </w:r>
    </w:p>
    <w:p w:rsidR="00025683" w:rsidRDefault="007C2AAB">
      <w:pPr>
        <w:numPr>
          <w:ilvl w:val="0"/>
          <w:numId w:val="4"/>
        </w:numPr>
        <w:ind w:right="204"/>
      </w:pPr>
      <w:r>
        <w:rPr>
          <w:sz w:val="20"/>
        </w:rPr>
        <w:t xml:space="preserve">Una evaluación de cómo las medidas previstas pueden afectar a la sostenibilidad a largo plazo de las finanzas públicas. </w:t>
      </w:r>
    </w:p>
    <w:p w:rsidR="00025683" w:rsidRDefault="007C2AAB">
      <w:pPr>
        <w:spacing w:after="0" w:line="259" w:lineRule="auto"/>
        <w:ind w:left="29" w:firstLine="0"/>
        <w:jc w:val="left"/>
      </w:pPr>
      <w:r>
        <w:rPr>
          <w:sz w:val="20"/>
        </w:rPr>
        <w:t xml:space="preserve"> </w:t>
      </w:r>
    </w:p>
    <w:p w:rsidR="00025683" w:rsidRDefault="007C2AAB">
      <w:pPr>
        <w:ind w:left="11" w:right="204"/>
      </w:pPr>
      <w:r>
        <w:rPr>
          <w:sz w:val="20"/>
        </w:rPr>
        <w:t xml:space="preserve">        3.- Las proyecciones adoptadas en el plan pres</w:t>
      </w:r>
      <w:r>
        <w:rPr>
          <w:sz w:val="20"/>
        </w:rPr>
        <w:t xml:space="preserve">upuestario a medio plazo se basarán en previsiones macroeconómicas y presupuestarias elaboradas conforme a las metodologías y procedimientos establecidos en el proceso presupuestario anual. </w:t>
      </w:r>
    </w:p>
    <w:p w:rsidR="00025683" w:rsidRDefault="007C2AAB">
      <w:pPr>
        <w:spacing w:after="0" w:line="259" w:lineRule="auto"/>
        <w:ind w:left="29" w:firstLine="0"/>
        <w:jc w:val="left"/>
      </w:pPr>
      <w:r>
        <w:rPr>
          <w:sz w:val="20"/>
        </w:rPr>
        <w:t xml:space="preserve"> </w:t>
      </w:r>
    </w:p>
    <w:p w:rsidR="00025683" w:rsidRDefault="007C2AAB">
      <w:pPr>
        <w:ind w:left="11" w:right="204"/>
      </w:pPr>
      <w:r>
        <w:rPr>
          <w:sz w:val="20"/>
        </w:rPr>
        <w:t xml:space="preserve">        4.- Toda modificación del plan presupuestario a medio p</w:t>
      </w:r>
      <w:r>
        <w:rPr>
          <w:sz w:val="20"/>
        </w:rPr>
        <w:t xml:space="preserve">lazo o desviación respecto al mismo deberá ser explicada. </w:t>
      </w:r>
    </w:p>
    <w:p w:rsidR="00025683" w:rsidRDefault="007C2AAB">
      <w:pPr>
        <w:spacing w:after="0" w:line="259" w:lineRule="auto"/>
        <w:ind w:left="29" w:firstLine="0"/>
        <w:jc w:val="left"/>
      </w:pPr>
      <w:r>
        <w:rPr>
          <w:sz w:val="20"/>
        </w:rPr>
        <w:t xml:space="preserve"> </w:t>
      </w:r>
    </w:p>
    <w:p w:rsidR="00025683" w:rsidRDefault="007C2AAB">
      <w:pPr>
        <w:ind w:left="11" w:right="204"/>
      </w:pPr>
      <w:r>
        <w:rPr>
          <w:sz w:val="20"/>
        </w:rPr>
        <w:t xml:space="preserve">        Por todo ello, y en consonancia con informe favorable de la Intervención General, obrante igualmente en el expediente, por esta Concejalía se Propone la adopción del siguiente acuerdo: </w:t>
      </w:r>
    </w:p>
    <w:p w:rsidR="00025683" w:rsidRDefault="007C2AAB">
      <w:pPr>
        <w:spacing w:after="0" w:line="259" w:lineRule="auto"/>
        <w:ind w:left="14" w:firstLine="0"/>
        <w:jc w:val="left"/>
      </w:pPr>
      <w:r>
        <w:rPr>
          <w:b/>
          <w:sz w:val="20"/>
        </w:rPr>
        <w:t xml:space="preserve"> </w:t>
      </w:r>
    </w:p>
    <w:p w:rsidR="00025683" w:rsidRDefault="007C2AAB">
      <w:pPr>
        <w:spacing w:after="0" w:line="259" w:lineRule="auto"/>
        <w:ind w:left="14" w:firstLine="0"/>
        <w:jc w:val="left"/>
      </w:pPr>
      <w:r>
        <w:rPr>
          <w:b/>
          <w:sz w:val="20"/>
        </w:rPr>
        <w:t xml:space="preserve"> </w:t>
      </w:r>
    </w:p>
    <w:p w:rsidR="00025683" w:rsidRDefault="007C2AAB">
      <w:pPr>
        <w:spacing w:after="0" w:line="259" w:lineRule="auto"/>
        <w:ind w:left="14" w:firstLine="0"/>
        <w:jc w:val="left"/>
      </w:pPr>
      <w:r>
        <w:rPr>
          <w:b/>
          <w:sz w:val="20"/>
        </w:rPr>
        <w:t xml:space="preserve"> </w:t>
      </w:r>
    </w:p>
    <w:p w:rsidR="00025683" w:rsidRDefault="007C2AAB">
      <w:pPr>
        <w:spacing w:after="16" w:line="259" w:lineRule="auto"/>
        <w:ind w:left="14" w:firstLine="0"/>
        <w:jc w:val="left"/>
      </w:pPr>
      <w:r>
        <w:rPr>
          <w:b/>
          <w:sz w:val="20"/>
        </w:rPr>
        <w:t xml:space="preserve"> </w:t>
      </w:r>
    </w:p>
    <w:p w:rsidR="00025683" w:rsidRDefault="007C2AAB">
      <w:pPr>
        <w:ind w:left="11" w:right="204"/>
      </w:pPr>
      <w:r>
        <w:rPr>
          <w:b/>
          <w:sz w:val="20"/>
        </w:rPr>
        <w:t xml:space="preserve">PRIMERO.- </w:t>
      </w:r>
      <w:r>
        <w:rPr>
          <w:sz w:val="20"/>
        </w:rPr>
        <w:t>Aprobar el Presupuesto General del ejercicio 2026, con el siguiente resumen por capítulos: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pStyle w:val="Ttulo4"/>
        <w:shd w:val="clear" w:color="auto" w:fill="BFBFBF"/>
        <w:spacing w:after="13"/>
        <w:ind w:left="1452"/>
        <w:jc w:val="left"/>
      </w:pPr>
      <w:r>
        <w:t xml:space="preserve">      PRE</w:t>
      </w:r>
      <w:r>
        <w:rPr>
          <w:u w:val="single" w:color="000000"/>
        </w:rPr>
        <w:t xml:space="preserve">SUPUESTO CONSOLIDADO EJERCICIO 2026 </w:t>
      </w:r>
    </w:p>
    <w:p w:rsidR="00025683" w:rsidRDefault="007C2AAB">
      <w:pPr>
        <w:spacing w:after="0" w:line="259" w:lineRule="auto"/>
        <w:ind w:left="497" w:firstLine="0"/>
        <w:jc w:val="left"/>
      </w:pPr>
      <w:r>
        <w:rPr>
          <w:b/>
        </w:rPr>
        <w:t xml:space="preserve"> </w:t>
      </w:r>
      <w:r>
        <w:rPr>
          <w:b/>
        </w:rPr>
        <w:tab/>
      </w:r>
      <w:r>
        <w:rPr>
          <w:rFonts w:ascii="Times New Roman" w:eastAsia="Times New Roman" w:hAnsi="Times New Roman" w:cs="Times New Roman"/>
          <w:sz w:val="12"/>
        </w:rPr>
        <w:t xml:space="preserve"> </w:t>
      </w:r>
      <w:r>
        <w:rPr>
          <w:rFonts w:ascii="Times New Roman" w:eastAsia="Times New Roman" w:hAnsi="Times New Roman" w:cs="Times New Roman"/>
          <w:sz w:val="12"/>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418" w:type="dxa"/>
        <w:tblInd w:w="17" w:type="dxa"/>
        <w:tblCellMar>
          <w:top w:w="25" w:type="dxa"/>
          <w:left w:w="107" w:type="dxa"/>
          <w:bottom w:w="0" w:type="dxa"/>
          <w:right w:w="21" w:type="dxa"/>
        </w:tblCellMar>
        <w:tblLook w:val="04A0" w:firstRow="1" w:lastRow="0" w:firstColumn="1" w:lastColumn="0" w:noHBand="0" w:noVBand="1"/>
      </w:tblPr>
      <w:tblGrid>
        <w:gridCol w:w="957"/>
        <w:gridCol w:w="1274"/>
        <w:gridCol w:w="1190"/>
        <w:gridCol w:w="1274"/>
        <w:gridCol w:w="1253"/>
        <w:gridCol w:w="1172"/>
        <w:gridCol w:w="1298"/>
      </w:tblGrid>
      <w:tr w:rsidR="00025683">
        <w:trPr>
          <w:trHeight w:val="287"/>
        </w:trPr>
        <w:tc>
          <w:tcPr>
            <w:tcW w:w="958" w:type="dxa"/>
            <w:tcBorders>
              <w:top w:val="nil"/>
              <w:left w:val="nil"/>
              <w:bottom w:val="single" w:sz="4" w:space="0" w:color="000000"/>
              <w:right w:val="nil"/>
            </w:tcBorders>
            <w:shd w:val="clear" w:color="auto" w:fill="BFBFBF"/>
            <w:vAlign w:val="bottom"/>
          </w:tcPr>
          <w:p w:rsidR="00025683" w:rsidRDefault="00025683">
            <w:pPr>
              <w:spacing w:after="160" w:line="259" w:lineRule="auto"/>
              <w:ind w:left="0" w:firstLine="0"/>
              <w:jc w:val="left"/>
            </w:pPr>
          </w:p>
        </w:tc>
        <w:tc>
          <w:tcPr>
            <w:tcW w:w="1274" w:type="dxa"/>
            <w:tcBorders>
              <w:top w:val="nil"/>
              <w:left w:val="nil"/>
              <w:bottom w:val="single" w:sz="4" w:space="0" w:color="000000"/>
              <w:right w:val="nil"/>
            </w:tcBorders>
            <w:shd w:val="clear" w:color="auto" w:fill="BFBFBF"/>
          </w:tcPr>
          <w:p w:rsidR="00025683" w:rsidRDefault="00025683">
            <w:pPr>
              <w:spacing w:after="160" w:line="259" w:lineRule="auto"/>
              <w:ind w:left="0" w:firstLine="0"/>
              <w:jc w:val="left"/>
            </w:pPr>
          </w:p>
        </w:tc>
        <w:tc>
          <w:tcPr>
            <w:tcW w:w="4889" w:type="dxa"/>
            <w:gridSpan w:val="4"/>
            <w:tcBorders>
              <w:top w:val="nil"/>
              <w:left w:val="nil"/>
              <w:bottom w:val="single" w:sz="4" w:space="0" w:color="000000"/>
              <w:right w:val="nil"/>
            </w:tcBorders>
            <w:shd w:val="clear" w:color="auto" w:fill="BFBFBF"/>
          </w:tcPr>
          <w:p w:rsidR="00025683" w:rsidRDefault="007C2AAB">
            <w:pPr>
              <w:spacing w:after="0" w:line="259" w:lineRule="auto"/>
              <w:ind w:left="208" w:firstLine="0"/>
              <w:jc w:val="left"/>
            </w:pPr>
            <w:r>
              <w:rPr>
                <w:b/>
                <w:sz w:val="16"/>
              </w:rPr>
              <w:t xml:space="preserve">ESTADO DE CONSOLIDACION DE GASTOS  </w:t>
            </w:r>
          </w:p>
        </w:tc>
        <w:tc>
          <w:tcPr>
            <w:tcW w:w="1298" w:type="dxa"/>
            <w:tcBorders>
              <w:top w:val="nil"/>
              <w:left w:val="nil"/>
              <w:bottom w:val="single" w:sz="4" w:space="0" w:color="000000"/>
              <w:right w:val="nil"/>
            </w:tcBorders>
            <w:shd w:val="clear" w:color="auto" w:fill="BFBFBF"/>
          </w:tcPr>
          <w:p w:rsidR="00025683" w:rsidRDefault="00025683">
            <w:pPr>
              <w:spacing w:after="160" w:line="259" w:lineRule="auto"/>
              <w:ind w:left="0" w:firstLine="0"/>
              <w:jc w:val="left"/>
            </w:pPr>
          </w:p>
        </w:tc>
      </w:tr>
      <w:tr w:rsidR="00025683">
        <w:trPr>
          <w:trHeight w:val="551"/>
        </w:trPr>
        <w:tc>
          <w:tcPr>
            <w:tcW w:w="958"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5" w:firstLine="0"/>
              <w:jc w:val="center"/>
            </w:pPr>
            <w:r>
              <w:rPr>
                <w:b/>
                <w:sz w:val="14"/>
              </w:rPr>
              <w:t xml:space="preserve">Capítulos </w:t>
            </w:r>
          </w:p>
        </w:tc>
        <w:tc>
          <w:tcPr>
            <w:tcW w:w="1274"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8" w:firstLine="0"/>
              <w:jc w:val="center"/>
            </w:pPr>
            <w:r>
              <w:rPr>
                <w:b/>
                <w:sz w:val="14"/>
              </w:rPr>
              <w:t xml:space="preserve">Ayuntamiento </w:t>
            </w:r>
          </w:p>
        </w:tc>
        <w:tc>
          <w:tcPr>
            <w:tcW w:w="1190"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6" w:firstLine="0"/>
              <w:jc w:val="center"/>
            </w:pPr>
            <w:r>
              <w:rPr>
                <w:b/>
                <w:sz w:val="14"/>
              </w:rPr>
              <w:t xml:space="preserve">EPELCAN </w:t>
            </w:r>
          </w:p>
        </w:tc>
        <w:tc>
          <w:tcPr>
            <w:tcW w:w="1274"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firstLine="0"/>
              <w:jc w:val="center"/>
            </w:pPr>
            <w:r>
              <w:rPr>
                <w:b/>
                <w:sz w:val="14"/>
              </w:rPr>
              <w:t xml:space="preserve">Sdad. Municipal Viviendas </w:t>
            </w:r>
          </w:p>
        </w:tc>
        <w:tc>
          <w:tcPr>
            <w:tcW w:w="1253"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3" w:firstLine="0"/>
              <w:jc w:val="center"/>
            </w:pPr>
            <w:r>
              <w:rPr>
                <w:b/>
                <w:sz w:val="14"/>
              </w:rPr>
              <w:t xml:space="preserve">Total </w:t>
            </w:r>
          </w:p>
        </w:tc>
        <w:tc>
          <w:tcPr>
            <w:tcW w:w="1171"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9" w:firstLine="0"/>
              <w:jc w:val="left"/>
            </w:pPr>
            <w:r>
              <w:rPr>
                <w:b/>
                <w:sz w:val="14"/>
              </w:rPr>
              <w:t xml:space="preserve">Eliminaciones </w:t>
            </w:r>
          </w:p>
        </w:tc>
        <w:tc>
          <w:tcPr>
            <w:tcW w:w="1298"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26" w:firstLine="0"/>
              <w:jc w:val="left"/>
            </w:pPr>
            <w:r>
              <w:rPr>
                <w:b/>
                <w:sz w:val="14"/>
              </w:rPr>
              <w:t xml:space="preserve">Pº Consolidado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14.559.885,59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720.182,22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1.581.496,74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16.861.564,55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16.861.564,55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15.939.241,21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192.109,08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7" w:firstLine="0"/>
              <w:jc w:val="right"/>
            </w:pPr>
            <w:r>
              <w:rPr>
                <w:sz w:val="16"/>
              </w:rPr>
              <w:t xml:space="preserve">75.857,43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16.207.207,72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16.207.207,72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3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80.000,00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80.000,00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9" w:firstLine="0"/>
              <w:jc w:val="right"/>
            </w:pPr>
            <w:r>
              <w:rPr>
                <w:sz w:val="16"/>
              </w:rPr>
              <w:t xml:space="preserve">80.000,00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4.366.123,23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4.366.123,23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1.543.862,63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2.822.260,60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6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600.254,34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600.254,34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9" w:firstLine="0"/>
              <w:jc w:val="right"/>
            </w:pPr>
            <w:r>
              <w:rPr>
                <w:sz w:val="16"/>
              </w:rPr>
              <w:t xml:space="preserve">600.254,34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36"/>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9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62"/>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86" w:firstLine="0"/>
              <w:jc w:val="center"/>
            </w:pPr>
            <w:r>
              <w:rPr>
                <w:b/>
                <w:sz w:val="16"/>
              </w:rPr>
              <w:t xml:space="preserve">TOTAL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6" w:firstLine="0"/>
              <w:jc w:val="right"/>
            </w:pPr>
            <w:r>
              <w:rPr>
                <w:b/>
                <w:sz w:val="16"/>
              </w:rPr>
              <w:t xml:space="preserve">35.545.504,37 </w:t>
            </w:r>
          </w:p>
        </w:tc>
        <w:tc>
          <w:tcPr>
            <w:tcW w:w="1190"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5" w:firstLine="0"/>
              <w:jc w:val="right"/>
            </w:pPr>
            <w:r>
              <w:rPr>
                <w:b/>
                <w:sz w:val="16"/>
              </w:rPr>
              <w:t xml:space="preserve">912.291,30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5" w:firstLine="0"/>
              <w:jc w:val="right"/>
            </w:pPr>
            <w:r>
              <w:rPr>
                <w:b/>
                <w:sz w:val="16"/>
              </w:rPr>
              <w:t xml:space="preserve">1.657.354,17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3" w:firstLine="0"/>
              <w:jc w:val="right"/>
            </w:pPr>
            <w:r>
              <w:rPr>
                <w:b/>
                <w:sz w:val="16"/>
              </w:rPr>
              <w:t xml:space="preserve">38.115.149,84 </w:t>
            </w:r>
          </w:p>
        </w:tc>
        <w:tc>
          <w:tcPr>
            <w:tcW w:w="1171"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5" w:firstLine="0"/>
              <w:jc w:val="right"/>
            </w:pPr>
            <w:r>
              <w:rPr>
                <w:b/>
                <w:sz w:val="16"/>
              </w:rPr>
              <w:t xml:space="preserve">1.543.862,63 </w:t>
            </w:r>
          </w:p>
        </w:tc>
        <w:tc>
          <w:tcPr>
            <w:tcW w:w="129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6" w:firstLine="0"/>
              <w:jc w:val="right"/>
            </w:pPr>
            <w:r>
              <w:rPr>
                <w:b/>
                <w:sz w:val="16"/>
              </w:rPr>
              <w:t xml:space="preserve">36.571.287,21 </w:t>
            </w:r>
          </w:p>
        </w:tc>
      </w:tr>
    </w:tbl>
    <w:p w:rsidR="00025683" w:rsidRDefault="007C2AAB">
      <w:pPr>
        <w:spacing w:after="6" w:line="259" w:lineRule="auto"/>
        <w:ind w:left="1046" w:firstLine="0"/>
        <w:jc w:val="left"/>
      </w:pPr>
      <w:r>
        <w:rPr>
          <w:rFonts w:ascii="Times New Roman" w:eastAsia="Times New Roman" w:hAnsi="Times New Roman" w:cs="Times New Roman"/>
          <w:sz w:val="20"/>
        </w:rPr>
        <w:t xml:space="preserve"> </w:t>
      </w:r>
    </w:p>
    <w:p w:rsidR="00025683" w:rsidRDefault="007C2AAB">
      <w:pPr>
        <w:spacing w:after="0" w:line="259" w:lineRule="auto"/>
        <w:ind w:left="907" w:firstLine="0"/>
        <w:jc w:val="left"/>
      </w:pPr>
      <w:r>
        <w:rPr>
          <w:b/>
          <w:sz w:val="16"/>
        </w:rPr>
        <w:t xml:space="preserve"> </w:t>
      </w:r>
      <w:r>
        <w:rPr>
          <w:rFonts w:ascii="Times New Roman" w:eastAsia="Times New Roman" w:hAnsi="Times New Roman" w:cs="Times New Roman"/>
          <w:sz w:val="20"/>
        </w:rPr>
        <w:t xml:space="preserve"> </w:t>
      </w:r>
    </w:p>
    <w:p w:rsidR="00025683" w:rsidRDefault="007C2AAB">
      <w:pPr>
        <w:spacing w:after="104" w:line="259" w:lineRule="auto"/>
        <w:ind w:left="907" w:firstLine="0"/>
        <w:jc w:val="left"/>
      </w:pPr>
      <w:r>
        <w:rPr>
          <w:b/>
          <w:sz w:val="25"/>
          <w:vertAlign w:val="subscript"/>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025683" w:rsidRDefault="007C2AAB">
      <w:pPr>
        <w:spacing w:after="0" w:line="259" w:lineRule="auto"/>
        <w:ind w:left="1046"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6441" name="Group 3864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28" name="Rectangle 242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429" name="Rectangle 242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30" name="Rectangle 243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6441" style="width:18.7031pt;height:260.874pt;position:absolute;mso-position-horizontal-relative:page;mso-position-horizontal:absolute;margin-left:662.928pt;mso-position-vertical-relative:page;margin-top:512.046pt;" coordsize="2375,33130">
                <v:rect id="Rectangle 242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42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3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350 </w:t>
                        </w:r>
                      </w:p>
                    </w:txbxContent>
                  </v:textbox>
                </v:rect>
                <w10:wrap type="square"/>
              </v:group>
            </w:pict>
          </mc:Fallback>
        </mc:AlternateContent>
      </w:r>
      <w:r>
        <w:rPr>
          <w:rFonts w:ascii="Times New Roman" w:eastAsia="Times New Roman" w:hAnsi="Times New Roman" w:cs="Times New Roman"/>
          <w:sz w:val="20"/>
        </w:rPr>
        <w:t xml:space="preserve"> </w:t>
      </w:r>
    </w:p>
    <w:tbl>
      <w:tblPr>
        <w:tblStyle w:val="TableGrid"/>
        <w:tblW w:w="8418" w:type="dxa"/>
        <w:tblInd w:w="17" w:type="dxa"/>
        <w:tblCellMar>
          <w:top w:w="25" w:type="dxa"/>
          <w:left w:w="107" w:type="dxa"/>
          <w:bottom w:w="0" w:type="dxa"/>
          <w:right w:w="21" w:type="dxa"/>
        </w:tblCellMar>
        <w:tblLook w:val="04A0" w:firstRow="1" w:lastRow="0" w:firstColumn="1" w:lastColumn="0" w:noHBand="0" w:noVBand="1"/>
      </w:tblPr>
      <w:tblGrid>
        <w:gridCol w:w="957"/>
        <w:gridCol w:w="1274"/>
        <w:gridCol w:w="1190"/>
        <w:gridCol w:w="1274"/>
        <w:gridCol w:w="1253"/>
        <w:gridCol w:w="1172"/>
        <w:gridCol w:w="1298"/>
      </w:tblGrid>
      <w:tr w:rsidR="00025683">
        <w:trPr>
          <w:trHeight w:val="287"/>
        </w:trPr>
        <w:tc>
          <w:tcPr>
            <w:tcW w:w="958" w:type="dxa"/>
            <w:tcBorders>
              <w:top w:val="nil"/>
              <w:left w:val="nil"/>
              <w:bottom w:val="single" w:sz="4" w:space="0" w:color="000000"/>
              <w:right w:val="nil"/>
            </w:tcBorders>
            <w:shd w:val="clear" w:color="auto" w:fill="BFBFBF"/>
          </w:tcPr>
          <w:p w:rsidR="00025683" w:rsidRDefault="00025683">
            <w:pPr>
              <w:spacing w:after="160" w:line="259" w:lineRule="auto"/>
              <w:ind w:left="0" w:firstLine="0"/>
              <w:jc w:val="left"/>
            </w:pPr>
          </w:p>
        </w:tc>
        <w:tc>
          <w:tcPr>
            <w:tcW w:w="6163" w:type="dxa"/>
            <w:gridSpan w:val="5"/>
            <w:tcBorders>
              <w:top w:val="nil"/>
              <w:left w:val="nil"/>
              <w:bottom w:val="single" w:sz="4" w:space="0" w:color="000000"/>
              <w:right w:val="nil"/>
            </w:tcBorders>
            <w:shd w:val="clear" w:color="auto" w:fill="BFBFBF"/>
          </w:tcPr>
          <w:p w:rsidR="00025683" w:rsidRDefault="007C2AAB">
            <w:pPr>
              <w:spacing w:after="0" w:line="259" w:lineRule="auto"/>
              <w:ind w:left="1398" w:firstLine="0"/>
              <w:jc w:val="left"/>
            </w:pPr>
            <w:r>
              <w:rPr>
                <w:b/>
                <w:sz w:val="16"/>
              </w:rPr>
              <w:t xml:space="preserve">ESTADO DE CONSOLIDACION DE INGRESOS </w:t>
            </w:r>
          </w:p>
        </w:tc>
        <w:tc>
          <w:tcPr>
            <w:tcW w:w="1298" w:type="dxa"/>
            <w:tcBorders>
              <w:top w:val="nil"/>
              <w:left w:val="nil"/>
              <w:bottom w:val="single" w:sz="4" w:space="0" w:color="000000"/>
              <w:right w:val="nil"/>
            </w:tcBorders>
            <w:shd w:val="clear" w:color="auto" w:fill="BFBFBF"/>
          </w:tcPr>
          <w:p w:rsidR="00025683" w:rsidRDefault="00025683">
            <w:pPr>
              <w:spacing w:after="160" w:line="259" w:lineRule="auto"/>
              <w:ind w:left="0" w:firstLine="0"/>
              <w:jc w:val="left"/>
            </w:pPr>
          </w:p>
        </w:tc>
      </w:tr>
      <w:tr w:rsidR="00025683">
        <w:trPr>
          <w:trHeight w:val="551"/>
        </w:trPr>
        <w:tc>
          <w:tcPr>
            <w:tcW w:w="958"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5" w:firstLine="0"/>
              <w:jc w:val="center"/>
            </w:pPr>
            <w:r>
              <w:rPr>
                <w:b/>
                <w:sz w:val="14"/>
              </w:rPr>
              <w:t xml:space="preserve">Capítulos </w:t>
            </w:r>
          </w:p>
        </w:tc>
        <w:tc>
          <w:tcPr>
            <w:tcW w:w="1274"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8" w:firstLine="0"/>
              <w:jc w:val="center"/>
            </w:pPr>
            <w:r>
              <w:rPr>
                <w:b/>
                <w:sz w:val="14"/>
              </w:rPr>
              <w:t xml:space="preserve">Ayuntamiento </w:t>
            </w:r>
          </w:p>
        </w:tc>
        <w:tc>
          <w:tcPr>
            <w:tcW w:w="1190"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6" w:firstLine="0"/>
              <w:jc w:val="center"/>
            </w:pPr>
            <w:r>
              <w:rPr>
                <w:b/>
                <w:sz w:val="14"/>
              </w:rPr>
              <w:t xml:space="preserve">EPELCAN </w:t>
            </w:r>
          </w:p>
        </w:tc>
        <w:tc>
          <w:tcPr>
            <w:tcW w:w="1274"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firstLine="0"/>
              <w:jc w:val="center"/>
            </w:pPr>
            <w:r>
              <w:rPr>
                <w:b/>
                <w:sz w:val="14"/>
              </w:rPr>
              <w:t xml:space="preserve">Sdad. Municipal Viviendas </w:t>
            </w:r>
          </w:p>
        </w:tc>
        <w:tc>
          <w:tcPr>
            <w:tcW w:w="1253"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3" w:firstLine="0"/>
              <w:jc w:val="center"/>
            </w:pPr>
            <w:r>
              <w:rPr>
                <w:b/>
                <w:sz w:val="14"/>
              </w:rPr>
              <w:t xml:space="preserve">Total </w:t>
            </w:r>
          </w:p>
        </w:tc>
        <w:tc>
          <w:tcPr>
            <w:tcW w:w="1171"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9" w:firstLine="0"/>
              <w:jc w:val="left"/>
            </w:pPr>
            <w:r>
              <w:rPr>
                <w:b/>
                <w:sz w:val="14"/>
              </w:rPr>
              <w:t xml:space="preserve">Eliminaciones </w:t>
            </w:r>
          </w:p>
        </w:tc>
        <w:tc>
          <w:tcPr>
            <w:tcW w:w="1298"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26" w:firstLine="0"/>
              <w:jc w:val="left"/>
            </w:pPr>
            <w:r>
              <w:rPr>
                <w:b/>
                <w:sz w:val="14"/>
              </w:rPr>
              <w:t xml:space="preserve">Pº Consolidado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9.696.000,00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9.696.000,00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9.696.000,00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7.420.895,00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7.420.895,00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7.420.895,00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3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3.808.420,00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258.790,00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7" w:firstLine="0"/>
              <w:jc w:val="right"/>
            </w:pPr>
            <w:r>
              <w:rPr>
                <w:sz w:val="16"/>
              </w:rPr>
              <w:t xml:space="preserve">7.000,00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2" w:firstLine="0"/>
              <w:jc w:val="right"/>
            </w:pPr>
            <w:r>
              <w:rPr>
                <w:sz w:val="16"/>
              </w:rPr>
              <w:t xml:space="preserve">4.074.210,00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4.074.210,00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11.618.688,80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654.294,37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1.650.354,17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13.923.337,34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1.543.862,63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12.379.474,71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428.000,00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428.000,00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9" w:firstLine="0"/>
              <w:jc w:val="right"/>
            </w:pPr>
            <w:r>
              <w:rPr>
                <w:sz w:val="16"/>
              </w:rPr>
              <w:t xml:space="preserve">428.000,00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2.573.500,57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2.573.500,57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2.573.500,57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34"/>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9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62"/>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86" w:firstLine="0"/>
              <w:jc w:val="center"/>
            </w:pPr>
            <w:r>
              <w:rPr>
                <w:b/>
                <w:sz w:val="16"/>
              </w:rPr>
              <w:t xml:space="preserve">TOTAL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6" w:firstLine="0"/>
              <w:jc w:val="right"/>
            </w:pPr>
            <w:r>
              <w:rPr>
                <w:b/>
                <w:sz w:val="16"/>
              </w:rPr>
              <w:t xml:space="preserve">35.545.504,37 </w:t>
            </w:r>
          </w:p>
        </w:tc>
        <w:tc>
          <w:tcPr>
            <w:tcW w:w="1190"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4" w:firstLine="0"/>
              <w:jc w:val="right"/>
            </w:pPr>
            <w:r>
              <w:rPr>
                <w:b/>
                <w:sz w:val="16"/>
              </w:rPr>
              <w:t xml:space="preserve">913.084,37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5" w:firstLine="0"/>
              <w:jc w:val="right"/>
            </w:pPr>
            <w:r>
              <w:rPr>
                <w:b/>
                <w:sz w:val="16"/>
              </w:rPr>
              <w:t xml:space="preserve">1.657.354,17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3" w:firstLine="0"/>
              <w:jc w:val="right"/>
            </w:pPr>
            <w:r>
              <w:rPr>
                <w:b/>
                <w:sz w:val="16"/>
              </w:rPr>
              <w:t xml:space="preserve">38.115.942,91 </w:t>
            </w:r>
          </w:p>
        </w:tc>
        <w:tc>
          <w:tcPr>
            <w:tcW w:w="1171"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5" w:firstLine="0"/>
              <w:jc w:val="right"/>
            </w:pPr>
            <w:r>
              <w:rPr>
                <w:b/>
                <w:sz w:val="16"/>
              </w:rPr>
              <w:t xml:space="preserve">1.543.862,63 </w:t>
            </w:r>
          </w:p>
        </w:tc>
        <w:tc>
          <w:tcPr>
            <w:tcW w:w="129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6" w:firstLine="0"/>
              <w:jc w:val="right"/>
            </w:pPr>
            <w:r>
              <w:rPr>
                <w:b/>
                <w:sz w:val="16"/>
              </w:rPr>
              <w:t xml:space="preserve">36.572.080,28 </w:t>
            </w:r>
          </w:p>
        </w:tc>
      </w:tr>
    </w:tbl>
    <w:p w:rsidR="00025683" w:rsidRDefault="007C2AAB">
      <w:pPr>
        <w:spacing w:after="0" w:line="259" w:lineRule="auto"/>
        <w:ind w:left="907" w:firstLine="0"/>
        <w:jc w:val="left"/>
      </w:pPr>
      <w:r>
        <w:rPr>
          <w:b/>
          <w:sz w:val="16"/>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418" w:type="dxa"/>
        <w:tblInd w:w="17" w:type="dxa"/>
        <w:tblCellMar>
          <w:top w:w="14" w:type="dxa"/>
          <w:left w:w="115" w:type="dxa"/>
          <w:bottom w:w="0" w:type="dxa"/>
          <w:right w:w="21" w:type="dxa"/>
        </w:tblCellMar>
        <w:tblLook w:val="04A0" w:firstRow="1" w:lastRow="0" w:firstColumn="1" w:lastColumn="0" w:noHBand="0" w:noVBand="1"/>
      </w:tblPr>
      <w:tblGrid>
        <w:gridCol w:w="958"/>
        <w:gridCol w:w="1274"/>
        <w:gridCol w:w="1190"/>
        <w:gridCol w:w="1274"/>
        <w:gridCol w:w="1253"/>
        <w:gridCol w:w="1171"/>
        <w:gridCol w:w="1298"/>
      </w:tblGrid>
      <w:tr w:rsidR="00025683">
        <w:trPr>
          <w:trHeight w:val="214"/>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firstLine="0"/>
              <w:jc w:val="left"/>
            </w:pPr>
            <w:r>
              <w:rPr>
                <w:b/>
                <w:sz w:val="16"/>
              </w:rPr>
              <w:t xml:space="preserve">Superávit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8" w:firstLine="0"/>
              <w:jc w:val="right"/>
            </w:pPr>
            <w:r>
              <w:rPr>
                <w:b/>
                <w:sz w:val="16"/>
              </w:rPr>
              <w:t xml:space="preserve">0,00 </w:t>
            </w:r>
          </w:p>
        </w:tc>
        <w:tc>
          <w:tcPr>
            <w:tcW w:w="1190"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4" w:firstLine="0"/>
              <w:jc w:val="right"/>
            </w:pPr>
            <w:r>
              <w:rPr>
                <w:b/>
                <w:sz w:val="16"/>
              </w:rPr>
              <w:t xml:space="preserve">793,07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7" w:firstLine="0"/>
              <w:jc w:val="right"/>
            </w:pPr>
            <w:r>
              <w:rPr>
                <w:b/>
                <w:sz w:val="16"/>
              </w:rPr>
              <w:t xml:space="preserve">0,00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4" w:firstLine="0"/>
              <w:jc w:val="right"/>
            </w:pPr>
            <w:r>
              <w:rPr>
                <w:b/>
                <w:sz w:val="16"/>
              </w:rPr>
              <w:t xml:space="preserve">793,07 </w:t>
            </w:r>
          </w:p>
        </w:tc>
        <w:tc>
          <w:tcPr>
            <w:tcW w:w="1171"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7" w:firstLine="0"/>
              <w:jc w:val="right"/>
            </w:pPr>
            <w:r>
              <w:rPr>
                <w:b/>
                <w:sz w:val="16"/>
              </w:rPr>
              <w:t xml:space="preserve">0,00 </w:t>
            </w:r>
          </w:p>
        </w:tc>
        <w:tc>
          <w:tcPr>
            <w:tcW w:w="129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8" w:firstLine="0"/>
              <w:jc w:val="right"/>
            </w:pPr>
            <w:r>
              <w:rPr>
                <w:b/>
                <w:sz w:val="16"/>
              </w:rPr>
              <w:t xml:space="preserve">793,07 </w:t>
            </w:r>
          </w:p>
        </w:tc>
      </w:tr>
    </w:tbl>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ind w:left="11" w:right="204"/>
      </w:pPr>
      <w:r>
        <w:rPr>
          <w:b/>
          <w:sz w:val="20"/>
        </w:rPr>
        <w:t xml:space="preserve">SEGUNDO.- </w:t>
      </w:r>
      <w:r>
        <w:rPr>
          <w:sz w:val="20"/>
        </w:rPr>
        <w:t>Exponer el expediente de Presupuesto General del ejercicio 2026, integrado por la documentación anteriormente mencionada, a Información pública por espacio de quince días hábiles, en el Boletín Oficial de la Provincia, plazo durante el cual los interesados</w:t>
      </w:r>
      <w:r>
        <w:rPr>
          <w:sz w:val="20"/>
        </w:rPr>
        <w:t xml:space="preserve"> podrán examinarlos y presentar reclamaciones ante el Pleno. El Pleno dispondrá del plazo de un mes para resolverlas.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sz w:val="20"/>
        </w:rPr>
        <w:t xml:space="preserve"> </w:t>
      </w:r>
    </w:p>
    <w:p w:rsidR="00025683" w:rsidRDefault="007C2AAB">
      <w:pPr>
        <w:ind w:left="11" w:right="204"/>
      </w:pPr>
      <w:r>
        <w:rPr>
          <w:b/>
          <w:sz w:val="20"/>
        </w:rPr>
        <w:t xml:space="preserve">TERCERO.- </w:t>
      </w:r>
      <w:r>
        <w:rPr>
          <w:sz w:val="20"/>
        </w:rPr>
        <w:t>El Presupuesto General se considerará definitivamente aprobado si al término de exposición al público no se hubiera presentad</w:t>
      </w:r>
      <w:r>
        <w:rPr>
          <w:sz w:val="20"/>
        </w:rPr>
        <w:t>o reclamaciones; en caso contrario, se requerirá acuerdo expreso por el que se resuelven las formuladas y se apruebe definitivamente.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sz w:val="20"/>
        </w:rPr>
        <w:t xml:space="preserve"> </w:t>
      </w:r>
    </w:p>
    <w:p w:rsidR="00025683" w:rsidRDefault="007C2AAB">
      <w:pPr>
        <w:ind w:left="11" w:right="204"/>
      </w:pPr>
      <w:r>
        <w:rPr>
          <w:b/>
          <w:sz w:val="20"/>
        </w:rPr>
        <w:t>CUARTO</w:t>
      </w:r>
      <w:r>
        <w:rPr>
          <w:sz w:val="20"/>
        </w:rPr>
        <w:t>.- El Presupuesto General definitivamente aprobados será insertado en el Boletín Oficial de la Provincia resumido</w:t>
      </w:r>
      <w:r>
        <w:rPr>
          <w:sz w:val="20"/>
        </w:rPr>
        <w:t xml:space="preserve"> por capítulos, además de la Plantilla Orgánica.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sz w:val="20"/>
        </w:rPr>
        <w:t xml:space="preserve"> </w:t>
      </w:r>
    </w:p>
    <w:p w:rsidR="00025683" w:rsidRDefault="007C2AAB">
      <w:pPr>
        <w:spacing w:after="25"/>
        <w:ind w:left="11" w:right="204"/>
      </w:pPr>
      <w:r>
        <w:rPr>
          <w:b/>
          <w:sz w:val="20"/>
        </w:rPr>
        <w:t xml:space="preserve">QUINTO.- </w:t>
      </w:r>
      <w:r>
        <w:rPr>
          <w:sz w:val="20"/>
        </w:rPr>
        <w:t xml:space="preserve">Del Presupuesto General definitivamente aprobado se remitirá copia a la Administración del </w:t>
      </w:r>
    </w:p>
    <w:p w:rsidR="00025683" w:rsidRDefault="007C2AAB">
      <w:pPr>
        <w:ind w:left="11" w:right="204"/>
      </w:pPr>
      <w:r>
        <w:rPr>
          <w:sz w:val="20"/>
        </w:rPr>
        <w:t>Estado y a la Comunidad Autónoma. La remisión será simultánea al envío al Boletín Oficial de la Provincia.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0"/>
        </w:rPr>
        <w:t xml:space="preserve"> </w:t>
      </w:r>
    </w:p>
    <w:p w:rsidR="00025683" w:rsidRDefault="007C2AAB">
      <w:pPr>
        <w:ind w:left="11" w:right="204"/>
      </w:pPr>
      <w:r>
        <w:rPr>
          <w:b/>
          <w:sz w:val="20"/>
        </w:rPr>
        <w:t xml:space="preserve">SEXTO.- </w:t>
      </w:r>
      <w:r>
        <w:rPr>
          <w:sz w:val="20"/>
        </w:rPr>
        <w:t xml:space="preserve">Dar traslado de dicho acuerdo al Ministerio de Haciendas y Administraciones Públicas a través de la plataforma telemática que habilita el </w:t>
      </w:r>
      <w:r>
        <w:rPr>
          <w:sz w:val="20"/>
        </w:rPr>
        <w:t>propio Ministerio.</w:t>
      </w:r>
      <w:r>
        <w:rPr>
          <w:rFonts w:ascii="Times New Roman" w:eastAsia="Times New Roman" w:hAnsi="Times New Roman" w:cs="Times New Roman"/>
          <w:sz w:val="24"/>
        </w:rPr>
        <w:t xml:space="preserve"> </w:t>
      </w:r>
    </w:p>
    <w:p w:rsidR="00025683" w:rsidRDefault="007C2AAB">
      <w:pPr>
        <w:spacing w:after="76" w:line="259" w:lineRule="auto"/>
        <w:ind w:left="14" w:firstLine="0"/>
        <w:jc w:val="left"/>
      </w:pPr>
      <w:r>
        <w:rPr>
          <w:b/>
          <w:sz w:val="20"/>
        </w:rPr>
        <w:t xml:space="preserve"> </w:t>
      </w:r>
    </w:p>
    <w:p w:rsidR="00025683" w:rsidRDefault="007C2AAB">
      <w:pPr>
        <w:ind w:left="11" w:right="204"/>
      </w:pPr>
      <w:r>
        <w:rPr>
          <w:b/>
          <w:sz w:val="20"/>
        </w:rPr>
        <w:t>SÉPTIMO.-</w:t>
      </w:r>
      <w:r>
        <w:rPr>
          <w:sz w:val="20"/>
        </w:rPr>
        <w:t xml:space="preserve"> Aprobar el </w:t>
      </w:r>
      <w:r>
        <w:rPr>
          <w:b/>
          <w:sz w:val="20"/>
        </w:rPr>
        <w:t>Plan Presupuestario</w:t>
      </w:r>
      <w:r>
        <w:rPr>
          <w:sz w:val="20"/>
        </w:rPr>
        <w:t xml:space="preserve"> correspondiente al periodo 2027-2029</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88949" name="Group 38894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096" name="Rectangle 3096"/>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097" name="Rectangle 3097"/>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98" name="Rectangle 3098"/>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13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8949" style="width:18.7031pt;height:260.874pt;position:absolute;mso-position-horizontal-relative:page;mso-position-horizontal:absolute;margin-left:662.928pt;mso-position-vertical-relative:page;margin-top:512.046pt;" coordsize="2375,33130">
                <v:rect id="Rectangle 3096"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09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9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350 </w:t>
                        </w:r>
                      </w:p>
                    </w:txbxContent>
                  </v:textbox>
                </v:rect>
                <w10:wrap type="topAndBottom"/>
              </v:group>
            </w:pict>
          </mc:Fallback>
        </mc:AlternateContent>
      </w:r>
      <w:r>
        <w:rPr>
          <w:sz w:val="20"/>
        </w:rPr>
        <w:t xml:space="preserve"> </w:t>
      </w:r>
    </w:p>
    <w:tbl>
      <w:tblPr>
        <w:tblStyle w:val="TableGrid"/>
        <w:tblW w:w="8486" w:type="dxa"/>
        <w:tblInd w:w="72" w:type="dxa"/>
        <w:tblCellMar>
          <w:top w:w="54" w:type="dxa"/>
          <w:left w:w="101" w:type="dxa"/>
          <w:bottom w:w="58" w:type="dxa"/>
          <w:right w:w="0" w:type="dxa"/>
        </w:tblCellMar>
        <w:tblLook w:val="04A0" w:firstRow="1" w:lastRow="0" w:firstColumn="1" w:lastColumn="0" w:noHBand="0" w:noVBand="1"/>
      </w:tblPr>
      <w:tblGrid>
        <w:gridCol w:w="1659"/>
        <w:gridCol w:w="1582"/>
        <w:gridCol w:w="1694"/>
        <w:gridCol w:w="1700"/>
        <w:gridCol w:w="1851"/>
      </w:tblGrid>
      <w:tr w:rsidR="00025683">
        <w:trPr>
          <w:trHeight w:val="734"/>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101" w:firstLine="0"/>
              <w:jc w:val="center"/>
            </w:pPr>
            <w:r>
              <w:rPr>
                <w:b/>
                <w:sz w:val="18"/>
              </w:rPr>
              <w:t xml:space="preserve">INGRESOS </w:t>
            </w:r>
          </w:p>
        </w:tc>
        <w:tc>
          <w:tcPr>
            <w:tcW w:w="158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12" w:firstLine="0"/>
            </w:pPr>
            <w:r>
              <w:rPr>
                <w:b/>
                <w:sz w:val="18"/>
              </w:rPr>
              <w:t xml:space="preserve">PRESUPUESTO </w:t>
            </w:r>
          </w:p>
          <w:p w:rsidR="00025683" w:rsidRDefault="007C2AAB">
            <w:pPr>
              <w:spacing w:after="0" w:line="259" w:lineRule="auto"/>
              <w:ind w:left="0" w:right="95" w:firstLine="0"/>
              <w:jc w:val="center"/>
            </w:pPr>
            <w:r>
              <w:rPr>
                <w:b/>
                <w:sz w:val="18"/>
              </w:rPr>
              <w:t xml:space="preserve">2026 </w:t>
            </w:r>
          </w:p>
        </w:tc>
        <w:tc>
          <w:tcPr>
            <w:tcW w:w="1694"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100" w:firstLine="0"/>
              <w:jc w:val="center"/>
            </w:pPr>
            <w:r>
              <w:rPr>
                <w:b/>
                <w:sz w:val="18"/>
              </w:rPr>
              <w:t xml:space="preserve">PREVISIÓN </w:t>
            </w:r>
          </w:p>
          <w:p w:rsidR="00025683" w:rsidRDefault="007C2AAB">
            <w:pPr>
              <w:spacing w:after="0" w:line="259" w:lineRule="auto"/>
              <w:ind w:left="67" w:firstLine="0"/>
              <w:jc w:val="left"/>
            </w:pPr>
            <w:r>
              <w:rPr>
                <w:b/>
                <w:sz w:val="18"/>
              </w:rPr>
              <w:t xml:space="preserve">PRESUPUESTO </w:t>
            </w:r>
          </w:p>
          <w:p w:rsidR="00025683" w:rsidRDefault="007C2AAB">
            <w:pPr>
              <w:spacing w:after="0" w:line="259" w:lineRule="auto"/>
              <w:ind w:left="0" w:right="97" w:firstLine="0"/>
              <w:jc w:val="center"/>
            </w:pPr>
            <w:r>
              <w:rPr>
                <w:b/>
                <w:sz w:val="18"/>
              </w:rPr>
              <w:t xml:space="preserve">2027 </w:t>
            </w:r>
          </w:p>
        </w:tc>
        <w:tc>
          <w:tcPr>
            <w:tcW w:w="170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100" w:firstLine="0"/>
              <w:jc w:val="center"/>
            </w:pPr>
            <w:r>
              <w:rPr>
                <w:b/>
                <w:sz w:val="18"/>
              </w:rPr>
              <w:t xml:space="preserve">PREVISIÓN </w:t>
            </w:r>
          </w:p>
          <w:p w:rsidR="00025683" w:rsidRDefault="007C2AAB">
            <w:pPr>
              <w:spacing w:after="0" w:line="259" w:lineRule="auto"/>
              <w:ind w:left="70" w:firstLine="0"/>
              <w:jc w:val="left"/>
            </w:pPr>
            <w:r>
              <w:rPr>
                <w:b/>
                <w:sz w:val="18"/>
              </w:rPr>
              <w:t xml:space="preserve">PRESUPUESTO </w:t>
            </w:r>
          </w:p>
          <w:p w:rsidR="00025683" w:rsidRDefault="007C2AAB">
            <w:pPr>
              <w:spacing w:after="0" w:line="259" w:lineRule="auto"/>
              <w:ind w:left="0" w:right="96" w:firstLine="0"/>
              <w:jc w:val="center"/>
            </w:pPr>
            <w:r>
              <w:rPr>
                <w:b/>
                <w:sz w:val="18"/>
              </w:rPr>
              <w:t xml:space="preserve">2028 </w:t>
            </w:r>
          </w:p>
        </w:tc>
        <w:tc>
          <w:tcPr>
            <w:tcW w:w="1851" w:type="dxa"/>
            <w:tcBorders>
              <w:top w:val="single" w:sz="2" w:space="0" w:color="000000"/>
              <w:left w:val="single" w:sz="2" w:space="0" w:color="000000"/>
              <w:bottom w:val="single" w:sz="2" w:space="0" w:color="000000"/>
              <w:right w:val="single" w:sz="2" w:space="0" w:color="000000"/>
            </w:tcBorders>
          </w:tcPr>
          <w:p w:rsidR="00025683" w:rsidRDefault="007C2AAB">
            <w:pPr>
              <w:spacing w:after="44" w:line="239" w:lineRule="auto"/>
              <w:ind w:left="0" w:firstLine="0"/>
              <w:jc w:val="center"/>
            </w:pPr>
            <w:r>
              <w:rPr>
                <w:b/>
                <w:sz w:val="18"/>
              </w:rPr>
              <w:t xml:space="preserve">PREVISIÓN PRESUPUESTO </w:t>
            </w:r>
          </w:p>
          <w:p w:rsidR="00025683" w:rsidRDefault="007C2AAB">
            <w:pPr>
              <w:spacing w:after="0" w:line="259" w:lineRule="auto"/>
              <w:ind w:left="0" w:right="100" w:firstLine="0"/>
              <w:jc w:val="center"/>
            </w:pPr>
            <w:r>
              <w:rPr>
                <w:b/>
                <w:sz w:val="18"/>
              </w:rPr>
              <w:t>2029</w:t>
            </w:r>
            <w:r>
              <w:rPr>
                <w:rFonts w:ascii="Times New Roman" w:eastAsia="Times New Roman" w:hAnsi="Times New Roman" w:cs="Times New Roman"/>
                <w:sz w:val="24"/>
              </w:rPr>
              <w:t xml:space="preserve"> </w:t>
            </w:r>
          </w:p>
        </w:tc>
      </w:tr>
      <w:tr w:rsidR="00025683">
        <w:trPr>
          <w:trHeight w:val="516"/>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 xml:space="preserve">IMPUESTOS DIRECTOS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1" w:firstLine="0"/>
              <w:jc w:val="right"/>
            </w:pPr>
            <w:r>
              <w:rPr>
                <w:sz w:val="18"/>
              </w:rPr>
              <w:t>9.696.000,00</w:t>
            </w:r>
            <w:r>
              <w:rPr>
                <w:rFonts w:ascii="Times New Roman" w:eastAsia="Times New Roman" w:hAnsi="Times New Roman" w:cs="Times New Roman"/>
                <w:sz w:val="24"/>
              </w:rPr>
              <w:t xml:space="preserve">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9.849.926,03</w:t>
            </w:r>
            <w:r>
              <w:rPr>
                <w:rFonts w:ascii="Times New Roman" w:eastAsia="Times New Roman" w:hAnsi="Times New Roman" w:cs="Times New Roman"/>
                <w:sz w:val="24"/>
              </w:rPr>
              <w:t xml:space="preserve">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10.088.674,18</w:t>
            </w:r>
            <w:r>
              <w:rPr>
                <w:rFonts w:ascii="Times New Roman" w:eastAsia="Times New Roman" w:hAnsi="Times New Roman" w:cs="Times New Roman"/>
                <w:sz w:val="24"/>
              </w:rPr>
              <w:t xml:space="preserve">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10.233.391,03</w:t>
            </w:r>
            <w:r>
              <w:rPr>
                <w:rFonts w:ascii="Times New Roman" w:eastAsia="Times New Roman" w:hAnsi="Times New Roman" w:cs="Times New Roman"/>
                <w:sz w:val="24"/>
              </w:rPr>
              <w:t xml:space="preserve"> </w:t>
            </w:r>
          </w:p>
        </w:tc>
      </w:tr>
      <w:tr w:rsidR="00025683">
        <w:trPr>
          <w:trHeight w:val="516"/>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 xml:space="preserve">IMPUESTOS INDIRECTOS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3" w:firstLine="0"/>
              <w:jc w:val="right"/>
            </w:pPr>
            <w:r>
              <w:rPr>
                <w:sz w:val="18"/>
              </w:rPr>
              <w:t xml:space="preserve">7.420.895,00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 xml:space="preserve">7.623.958,00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7.800.490,90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8.090.939,58 </w:t>
            </w:r>
          </w:p>
        </w:tc>
      </w:tr>
      <w:tr w:rsidR="00025683">
        <w:trPr>
          <w:trHeight w:val="607"/>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 xml:space="preserve">TASAS Y OTROS INGRESOS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3" w:firstLine="0"/>
              <w:jc w:val="right"/>
            </w:pPr>
            <w:r>
              <w:rPr>
                <w:sz w:val="18"/>
              </w:rPr>
              <w:t>4.074.210,00</w:t>
            </w:r>
            <w:r>
              <w:rPr>
                <w:rFonts w:ascii="Times New Roman" w:eastAsia="Times New Roman" w:hAnsi="Times New Roman" w:cs="Times New Roman"/>
                <w:sz w:val="24"/>
              </w:rPr>
              <w:t xml:space="preserve">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 xml:space="preserve">4.120.491,55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4.092.098,65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4.181.465,36 </w:t>
            </w:r>
          </w:p>
        </w:tc>
      </w:tr>
      <w:tr w:rsidR="00025683">
        <w:trPr>
          <w:trHeight w:val="571"/>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 xml:space="preserve">TRANSFERENCIAS CORRIENTES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3" w:firstLine="0"/>
              <w:jc w:val="right"/>
            </w:pPr>
            <w:r>
              <w:rPr>
                <w:sz w:val="18"/>
              </w:rPr>
              <w:t>12.379.474,71</w:t>
            </w:r>
            <w:r>
              <w:rPr>
                <w:rFonts w:ascii="Times New Roman" w:eastAsia="Times New Roman" w:hAnsi="Times New Roman" w:cs="Times New Roman"/>
                <w:sz w:val="24"/>
              </w:rPr>
              <w:t xml:space="preserve">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 xml:space="preserve">14.741.278,21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4" w:firstLine="0"/>
              <w:jc w:val="right"/>
            </w:pPr>
            <w:r>
              <w:rPr>
                <w:sz w:val="18"/>
              </w:rPr>
              <w:t xml:space="preserve">15.058.943,71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15.270.838,58 </w:t>
            </w:r>
          </w:p>
        </w:tc>
      </w:tr>
      <w:tr w:rsidR="00025683">
        <w:trPr>
          <w:trHeight w:val="478"/>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INGRESOS PATRIMONIALES</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 xml:space="preserve">428.000,00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 xml:space="preserve">353.917,84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4" w:firstLine="0"/>
              <w:jc w:val="right"/>
            </w:pPr>
            <w:r>
              <w:rPr>
                <w:sz w:val="18"/>
              </w:rPr>
              <w:t xml:space="preserve">280.757,31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208.552,27 </w:t>
            </w:r>
          </w:p>
        </w:tc>
      </w:tr>
      <w:tr w:rsidR="00025683">
        <w:trPr>
          <w:trHeight w:val="516"/>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TRANSFERENCIAS DE CAPITAL</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3" w:firstLine="0"/>
              <w:jc w:val="right"/>
            </w:pPr>
            <w:r>
              <w:rPr>
                <w:sz w:val="18"/>
              </w:rPr>
              <w:t xml:space="preserve">2.573.500,57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 xml:space="preserve">2.733.999,46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2.920.649,84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3.110.384,97 </w:t>
            </w:r>
          </w:p>
        </w:tc>
      </w:tr>
      <w:tr w:rsidR="00025683">
        <w:trPr>
          <w:trHeight w:val="478"/>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ACTIVOS FINANCIEROS</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694"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0,00 </w:t>
            </w:r>
          </w:p>
        </w:tc>
        <w:tc>
          <w:tcPr>
            <w:tcW w:w="185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0,00 </w:t>
            </w:r>
          </w:p>
        </w:tc>
      </w:tr>
      <w:tr w:rsidR="00025683">
        <w:trPr>
          <w:trHeight w:val="518"/>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 xml:space="preserve">PASIVOS FINANCIEROS </w:t>
            </w:r>
          </w:p>
        </w:tc>
        <w:tc>
          <w:tcPr>
            <w:tcW w:w="158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694"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0,00 </w:t>
            </w:r>
          </w:p>
        </w:tc>
        <w:tc>
          <w:tcPr>
            <w:tcW w:w="185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0,00 </w:t>
            </w:r>
          </w:p>
        </w:tc>
      </w:tr>
      <w:tr w:rsidR="00025683">
        <w:trPr>
          <w:trHeight w:val="317"/>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48" w:firstLine="0"/>
              <w:jc w:val="center"/>
            </w:pPr>
            <w:r>
              <w:rPr>
                <w:sz w:val="18"/>
              </w:rPr>
              <w:t xml:space="preserve"> </w:t>
            </w:r>
          </w:p>
        </w:tc>
        <w:tc>
          <w:tcPr>
            <w:tcW w:w="158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2" w:firstLine="0"/>
              <w:jc w:val="right"/>
            </w:pPr>
            <w:r>
              <w:rPr>
                <w:sz w:val="18"/>
              </w:rPr>
              <w:t>36.572.080,28</w:t>
            </w:r>
            <w:r>
              <w:rPr>
                <w:rFonts w:ascii="Times New Roman" w:eastAsia="Times New Roman" w:hAnsi="Times New Roman" w:cs="Times New Roman"/>
                <w:sz w:val="24"/>
              </w:rPr>
              <w:t xml:space="preserve"> </w:t>
            </w:r>
          </w:p>
        </w:tc>
        <w:tc>
          <w:tcPr>
            <w:tcW w:w="1694"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2" w:firstLine="0"/>
              <w:jc w:val="right"/>
            </w:pPr>
            <w:r>
              <w:rPr>
                <w:sz w:val="18"/>
              </w:rPr>
              <w:t>39.423.571,09</w:t>
            </w:r>
            <w:r>
              <w:rPr>
                <w:rFonts w:ascii="Times New Roman" w:eastAsia="Times New Roman" w:hAnsi="Times New Roman" w:cs="Times New Roman"/>
                <w:sz w:val="24"/>
              </w:rPr>
              <w:t xml:space="preserve"> </w:t>
            </w:r>
          </w:p>
        </w:tc>
        <w:tc>
          <w:tcPr>
            <w:tcW w:w="170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5" w:firstLine="0"/>
              <w:jc w:val="right"/>
            </w:pPr>
            <w:r>
              <w:rPr>
                <w:sz w:val="18"/>
              </w:rPr>
              <w:t xml:space="preserve">40.241.614,59 </w:t>
            </w:r>
          </w:p>
        </w:tc>
        <w:tc>
          <w:tcPr>
            <w:tcW w:w="1851"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5" w:firstLine="0"/>
              <w:jc w:val="right"/>
            </w:pPr>
            <w:r>
              <w:rPr>
                <w:sz w:val="18"/>
              </w:rPr>
              <w:t xml:space="preserve">41.095.571,79 </w:t>
            </w:r>
          </w:p>
        </w:tc>
      </w:tr>
    </w:tbl>
    <w:p w:rsidR="00025683" w:rsidRDefault="007C2AAB">
      <w:pPr>
        <w:spacing w:after="43" w:line="259" w:lineRule="auto"/>
        <w:ind w:left="14" w:firstLine="0"/>
        <w:jc w:val="left"/>
      </w:pPr>
      <w:r>
        <w:rPr>
          <w:sz w:val="20"/>
        </w:rPr>
        <w:t xml:space="preserve"> </w:t>
      </w:r>
    </w:p>
    <w:p w:rsidR="00025683" w:rsidRDefault="007C2AAB">
      <w:pPr>
        <w:spacing w:after="0" w:line="259" w:lineRule="auto"/>
        <w:ind w:left="14" w:firstLine="0"/>
        <w:jc w:val="left"/>
      </w:pPr>
      <w:r>
        <w:rPr>
          <w:sz w:val="20"/>
        </w:rPr>
        <w:t xml:space="preserve"> </w:t>
      </w:r>
    </w:p>
    <w:tbl>
      <w:tblPr>
        <w:tblStyle w:val="TableGrid"/>
        <w:tblW w:w="8224" w:type="dxa"/>
        <w:tblInd w:w="72" w:type="dxa"/>
        <w:tblCellMar>
          <w:top w:w="54" w:type="dxa"/>
          <w:left w:w="58" w:type="dxa"/>
          <w:bottom w:w="57" w:type="dxa"/>
          <w:right w:w="0" w:type="dxa"/>
        </w:tblCellMar>
        <w:tblLook w:val="04A0" w:firstRow="1" w:lastRow="0" w:firstColumn="1" w:lastColumn="0" w:noHBand="0" w:noVBand="1"/>
      </w:tblPr>
      <w:tblGrid>
        <w:gridCol w:w="1701"/>
        <w:gridCol w:w="1561"/>
        <w:gridCol w:w="1560"/>
        <w:gridCol w:w="1700"/>
        <w:gridCol w:w="1702"/>
      </w:tblGrid>
      <w:tr w:rsidR="00025683">
        <w:trPr>
          <w:trHeight w:val="735"/>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b/>
                <w:sz w:val="18"/>
              </w:rPr>
              <w:t xml:space="preserve">GASTOS </w:t>
            </w:r>
          </w:p>
        </w:tc>
        <w:tc>
          <w:tcPr>
            <w:tcW w:w="1561"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43" w:firstLine="0"/>
            </w:pPr>
            <w:r>
              <w:rPr>
                <w:b/>
                <w:sz w:val="18"/>
              </w:rPr>
              <w:t xml:space="preserve">PRESUPUESTO </w:t>
            </w:r>
          </w:p>
          <w:p w:rsidR="00025683" w:rsidRDefault="007C2AAB">
            <w:pPr>
              <w:spacing w:after="0" w:line="259" w:lineRule="auto"/>
              <w:ind w:left="0" w:right="59" w:firstLine="0"/>
              <w:jc w:val="center"/>
            </w:pPr>
            <w:r>
              <w:rPr>
                <w:b/>
                <w:sz w:val="18"/>
              </w:rPr>
              <w:t xml:space="preserve">2026 </w:t>
            </w:r>
          </w:p>
        </w:tc>
        <w:tc>
          <w:tcPr>
            <w:tcW w:w="156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7" w:firstLine="0"/>
              <w:jc w:val="center"/>
            </w:pPr>
            <w:r>
              <w:rPr>
                <w:b/>
                <w:sz w:val="18"/>
              </w:rPr>
              <w:t xml:space="preserve">PREVISIÓN </w:t>
            </w:r>
          </w:p>
          <w:p w:rsidR="00025683" w:rsidRDefault="007C2AAB">
            <w:pPr>
              <w:spacing w:after="0" w:line="259" w:lineRule="auto"/>
              <w:ind w:left="43" w:firstLine="0"/>
            </w:pPr>
            <w:r>
              <w:rPr>
                <w:b/>
                <w:sz w:val="18"/>
              </w:rPr>
              <w:t xml:space="preserve">PRESUPUESTO </w:t>
            </w:r>
          </w:p>
          <w:p w:rsidR="00025683" w:rsidRDefault="007C2AAB">
            <w:pPr>
              <w:spacing w:after="0" w:line="259" w:lineRule="auto"/>
              <w:ind w:left="0" w:right="58" w:firstLine="0"/>
              <w:jc w:val="center"/>
            </w:pPr>
            <w:r>
              <w:rPr>
                <w:b/>
                <w:sz w:val="18"/>
              </w:rPr>
              <w:t xml:space="preserve">2027 </w:t>
            </w:r>
          </w:p>
        </w:tc>
        <w:tc>
          <w:tcPr>
            <w:tcW w:w="170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8" w:firstLine="0"/>
              <w:jc w:val="center"/>
            </w:pPr>
            <w:r>
              <w:rPr>
                <w:b/>
                <w:sz w:val="18"/>
              </w:rPr>
              <w:t xml:space="preserve">PREVISIÓN </w:t>
            </w:r>
          </w:p>
          <w:p w:rsidR="00025683" w:rsidRDefault="007C2AAB">
            <w:pPr>
              <w:spacing w:after="0" w:line="259" w:lineRule="auto"/>
              <w:ind w:left="113" w:firstLine="0"/>
              <w:jc w:val="left"/>
            </w:pPr>
            <w:r>
              <w:rPr>
                <w:b/>
                <w:sz w:val="18"/>
              </w:rPr>
              <w:t xml:space="preserve">PRESUPUESTO </w:t>
            </w:r>
          </w:p>
          <w:p w:rsidR="00025683" w:rsidRDefault="007C2AAB">
            <w:pPr>
              <w:spacing w:after="0" w:line="259" w:lineRule="auto"/>
              <w:ind w:left="0" w:right="53" w:firstLine="0"/>
              <w:jc w:val="center"/>
            </w:pPr>
            <w:r>
              <w:rPr>
                <w:b/>
                <w:sz w:val="18"/>
              </w:rPr>
              <w:t xml:space="preserve">2028 </w:t>
            </w:r>
          </w:p>
        </w:tc>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45" w:line="239" w:lineRule="auto"/>
              <w:ind w:left="0" w:firstLine="0"/>
              <w:jc w:val="center"/>
            </w:pPr>
            <w:r>
              <w:rPr>
                <w:b/>
                <w:sz w:val="18"/>
              </w:rPr>
              <w:t xml:space="preserve">PREVISIÓN PRESUPUESTO </w:t>
            </w:r>
          </w:p>
          <w:p w:rsidR="00025683" w:rsidRDefault="007C2AAB">
            <w:pPr>
              <w:spacing w:after="0" w:line="259" w:lineRule="auto"/>
              <w:ind w:left="0" w:right="52" w:firstLine="0"/>
              <w:jc w:val="center"/>
            </w:pPr>
            <w:r>
              <w:rPr>
                <w:b/>
                <w:sz w:val="18"/>
              </w:rPr>
              <w:t>2029</w:t>
            </w:r>
            <w:r>
              <w:rPr>
                <w:rFonts w:ascii="Times New Roman" w:eastAsia="Times New Roman" w:hAnsi="Times New Roman" w:cs="Times New Roman"/>
                <w:sz w:val="24"/>
              </w:rPr>
              <w:t xml:space="preserve"> </w:t>
            </w:r>
          </w:p>
        </w:tc>
      </w:tr>
      <w:tr w:rsidR="00025683">
        <w:trPr>
          <w:trHeight w:val="478"/>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tabs>
                <w:tab w:val="right" w:pos="1644"/>
              </w:tabs>
              <w:spacing w:after="0" w:line="259" w:lineRule="auto"/>
              <w:ind w:left="0" w:firstLine="0"/>
              <w:jc w:val="left"/>
            </w:pPr>
            <w:r>
              <w:rPr>
                <w:sz w:val="16"/>
              </w:rPr>
              <w:t xml:space="preserve">GASTOS </w:t>
            </w:r>
            <w:r>
              <w:rPr>
                <w:sz w:val="16"/>
              </w:rPr>
              <w:tab/>
              <w:t xml:space="preserve">DE </w:t>
            </w:r>
          </w:p>
          <w:p w:rsidR="00025683" w:rsidRDefault="007C2AAB">
            <w:pPr>
              <w:spacing w:after="0" w:line="259" w:lineRule="auto"/>
              <w:ind w:left="0" w:firstLine="0"/>
              <w:jc w:val="left"/>
            </w:pPr>
            <w:r>
              <w:rPr>
                <w:sz w:val="16"/>
              </w:rPr>
              <w:t xml:space="preserve">PERSONAL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16.861.564,55</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17.704.642,78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18.058.735,63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3" w:firstLine="0"/>
              <w:jc w:val="right"/>
            </w:pPr>
            <w:r>
              <w:rPr>
                <w:sz w:val="18"/>
              </w:rPr>
              <w:t>18.419.910,34</w:t>
            </w:r>
            <w:r>
              <w:rPr>
                <w:rFonts w:ascii="Times New Roman" w:eastAsia="Times New Roman" w:hAnsi="Times New Roman" w:cs="Times New Roman"/>
                <w:sz w:val="24"/>
              </w:rPr>
              <w:t xml:space="preserve"> </w:t>
            </w:r>
          </w:p>
        </w:tc>
      </w:tr>
      <w:tr w:rsidR="00025683">
        <w:trPr>
          <w:trHeight w:val="662"/>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40" w:lineRule="auto"/>
              <w:ind w:left="0" w:firstLine="0"/>
            </w:pPr>
            <w:r>
              <w:rPr>
                <w:sz w:val="16"/>
              </w:rPr>
              <w:t xml:space="preserve">GASTOS EN BIENES CORRIENTES Y </w:t>
            </w:r>
          </w:p>
          <w:p w:rsidR="00025683" w:rsidRDefault="007C2AAB">
            <w:pPr>
              <w:spacing w:after="0" w:line="259" w:lineRule="auto"/>
              <w:ind w:left="0" w:firstLine="0"/>
              <w:jc w:val="left"/>
            </w:pPr>
            <w:r>
              <w:rPr>
                <w:sz w:val="16"/>
              </w:rPr>
              <w:t xml:space="preserve">SERVICIOS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16.207.207,72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16.578.634,77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16.815.838,97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3" w:firstLine="0"/>
              <w:jc w:val="right"/>
            </w:pPr>
            <w:r>
              <w:rPr>
                <w:sz w:val="18"/>
              </w:rPr>
              <w:t xml:space="preserve">17.077.362,84 </w:t>
            </w:r>
          </w:p>
        </w:tc>
      </w:tr>
      <w:tr w:rsidR="00025683">
        <w:trPr>
          <w:trHeight w:val="478"/>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GASTOS </w:t>
            </w:r>
          </w:p>
          <w:p w:rsidR="00025683" w:rsidRDefault="007C2AAB">
            <w:pPr>
              <w:spacing w:after="0" w:line="259" w:lineRule="auto"/>
              <w:ind w:left="0" w:firstLine="0"/>
              <w:jc w:val="left"/>
            </w:pPr>
            <w:r>
              <w:rPr>
                <w:sz w:val="16"/>
              </w:rPr>
              <w:t xml:space="preserve">FINANCIEROS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80.000,00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80.000,00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80.000,00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3" w:firstLine="0"/>
              <w:jc w:val="right"/>
            </w:pPr>
            <w:r>
              <w:rPr>
                <w:sz w:val="18"/>
              </w:rPr>
              <w:t xml:space="preserve">80.000,00 </w:t>
            </w:r>
          </w:p>
        </w:tc>
      </w:tr>
      <w:tr w:rsidR="00025683">
        <w:trPr>
          <w:trHeight w:val="480"/>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TRANSFERENCIAS CORRIENTES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2.822.260,60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4.418.822,43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4.612.052,51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3" w:firstLine="0"/>
              <w:jc w:val="right"/>
            </w:pPr>
            <w:r>
              <w:rPr>
                <w:sz w:val="18"/>
              </w:rPr>
              <w:t xml:space="preserve">4.808.601,58 </w:t>
            </w:r>
          </w:p>
        </w:tc>
      </w:tr>
      <w:tr w:rsidR="00025683">
        <w:trPr>
          <w:trHeight w:val="478"/>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INVERSIONES REALES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600.254,34</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3" w:firstLine="0"/>
              <w:jc w:val="right"/>
            </w:pPr>
            <w:r>
              <w:rPr>
                <w:sz w:val="18"/>
              </w:rPr>
              <w:t xml:space="preserve">641.471,11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674.987,48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709.697,03 </w:t>
            </w:r>
          </w:p>
        </w:tc>
      </w:tr>
      <w:tr w:rsidR="00025683">
        <w:trPr>
          <w:trHeight w:val="478"/>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TRANSFERENCIAS DE CAPITAL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0,00 </w:t>
            </w:r>
          </w:p>
        </w:tc>
        <w:tc>
          <w:tcPr>
            <w:tcW w:w="156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4" w:firstLine="0"/>
              <w:jc w:val="right"/>
            </w:pPr>
            <w:r>
              <w:rPr>
                <w:sz w:val="18"/>
              </w:rPr>
              <w:t xml:space="preserve">0,00 </w:t>
            </w:r>
          </w:p>
        </w:tc>
        <w:tc>
          <w:tcPr>
            <w:tcW w:w="170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1" w:firstLine="0"/>
              <w:jc w:val="right"/>
            </w:pPr>
            <w:r>
              <w:rPr>
                <w:sz w:val="18"/>
              </w:rPr>
              <w:t xml:space="preserve">0,00 </w:t>
            </w:r>
          </w:p>
        </w:tc>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2" w:firstLine="0"/>
              <w:jc w:val="right"/>
            </w:pPr>
            <w:r>
              <w:rPr>
                <w:sz w:val="18"/>
              </w:rPr>
              <w:t xml:space="preserve">0,00 </w:t>
            </w:r>
          </w:p>
        </w:tc>
      </w:tr>
      <w:tr w:rsidR="00025683">
        <w:trPr>
          <w:trHeight w:val="478"/>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ACTIVOS </w:t>
            </w:r>
          </w:p>
          <w:p w:rsidR="00025683" w:rsidRDefault="007C2AAB">
            <w:pPr>
              <w:spacing w:after="0" w:line="259" w:lineRule="auto"/>
              <w:ind w:left="0" w:firstLine="0"/>
              <w:jc w:val="left"/>
            </w:pPr>
            <w:r>
              <w:rPr>
                <w:sz w:val="16"/>
              </w:rPr>
              <w:t xml:space="preserve">FINANCIEROS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0,00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0,00 </w:t>
            </w:r>
          </w:p>
        </w:tc>
      </w:tr>
      <w:tr w:rsidR="00025683">
        <w:trPr>
          <w:trHeight w:val="480"/>
        </w:trPr>
        <w:tc>
          <w:tcPr>
            <w:tcW w:w="1702" w:type="dxa"/>
            <w:tcBorders>
              <w:top w:val="nil"/>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PASIVOS </w:t>
            </w:r>
          </w:p>
          <w:p w:rsidR="00025683" w:rsidRDefault="007C2AAB">
            <w:pPr>
              <w:spacing w:after="0" w:line="259" w:lineRule="auto"/>
              <w:ind w:left="0" w:firstLine="0"/>
              <w:jc w:val="left"/>
            </w:pPr>
            <w:r>
              <w:rPr>
                <w:sz w:val="16"/>
              </w:rPr>
              <w:t xml:space="preserve">FINANCIEROS </w:t>
            </w:r>
          </w:p>
        </w:tc>
        <w:tc>
          <w:tcPr>
            <w:tcW w:w="1561" w:type="dxa"/>
            <w:tcBorders>
              <w:top w:val="nil"/>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560" w:type="dxa"/>
            <w:tcBorders>
              <w:top w:val="nil"/>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700" w:type="dxa"/>
            <w:tcBorders>
              <w:top w:val="nil"/>
              <w:left w:val="single" w:sz="2" w:space="0" w:color="000000"/>
              <w:bottom w:val="single" w:sz="2" w:space="0" w:color="000000"/>
              <w:right w:val="single" w:sz="2" w:space="0" w:color="000000"/>
            </w:tcBorders>
            <w:vAlign w:val="bottom"/>
          </w:tcPr>
          <w:p w:rsidR="00025683" w:rsidRDefault="007C2AAB">
            <w:pPr>
              <w:spacing w:after="0" w:line="259" w:lineRule="auto"/>
              <w:ind w:left="0" w:right="49" w:firstLine="0"/>
              <w:jc w:val="right"/>
            </w:pPr>
            <w:r>
              <w:rPr>
                <w:sz w:val="18"/>
              </w:rPr>
              <w:t xml:space="preserve">0,00 </w:t>
            </w:r>
          </w:p>
        </w:tc>
        <w:tc>
          <w:tcPr>
            <w:tcW w:w="1702" w:type="dxa"/>
            <w:tcBorders>
              <w:top w:val="nil"/>
              <w:left w:val="single" w:sz="2" w:space="0" w:color="000000"/>
              <w:bottom w:val="single" w:sz="2" w:space="0" w:color="000000"/>
              <w:right w:val="single" w:sz="2" w:space="0" w:color="000000"/>
            </w:tcBorders>
            <w:vAlign w:val="bottom"/>
          </w:tcPr>
          <w:p w:rsidR="00025683" w:rsidRDefault="007C2AAB">
            <w:pPr>
              <w:spacing w:after="0" w:line="259" w:lineRule="auto"/>
              <w:ind w:left="0" w:right="49" w:firstLine="0"/>
              <w:jc w:val="right"/>
            </w:pPr>
            <w:r>
              <w:rPr>
                <w:sz w:val="18"/>
              </w:rPr>
              <w:t xml:space="preserve">0,00 </w:t>
            </w:r>
          </w:p>
        </w:tc>
      </w:tr>
      <w:tr w:rsidR="00025683">
        <w:trPr>
          <w:trHeight w:val="322"/>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8"/>
              </w:rPr>
              <w:t xml:space="preserve"> </w:t>
            </w:r>
          </w:p>
        </w:tc>
        <w:tc>
          <w:tcPr>
            <w:tcW w:w="1561"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2" w:firstLine="0"/>
              <w:jc w:val="right"/>
            </w:pPr>
            <w:r>
              <w:rPr>
                <w:sz w:val="18"/>
              </w:rPr>
              <w:t xml:space="preserve">36.571.287,21 </w:t>
            </w:r>
          </w:p>
        </w:tc>
        <w:tc>
          <w:tcPr>
            <w:tcW w:w="156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2" w:firstLine="0"/>
              <w:jc w:val="right"/>
            </w:pPr>
            <w:r>
              <w:rPr>
                <w:sz w:val="18"/>
              </w:rPr>
              <w:t xml:space="preserve">39.423.571,09 </w:t>
            </w:r>
          </w:p>
        </w:tc>
        <w:tc>
          <w:tcPr>
            <w:tcW w:w="170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49" w:firstLine="0"/>
              <w:jc w:val="right"/>
            </w:pPr>
            <w:r>
              <w:rPr>
                <w:sz w:val="18"/>
              </w:rPr>
              <w:t xml:space="preserve">40.241.614,59 </w:t>
            </w:r>
          </w:p>
        </w:tc>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0" w:firstLine="0"/>
              <w:jc w:val="right"/>
            </w:pPr>
            <w:r>
              <w:rPr>
                <w:sz w:val="18"/>
              </w:rPr>
              <w:t xml:space="preserve">41.095.571,79 </w:t>
            </w:r>
          </w:p>
        </w:tc>
      </w:tr>
    </w:tbl>
    <w:p w:rsidR="00025683" w:rsidRDefault="007C2AAB">
      <w:pPr>
        <w:spacing w:after="0" w:line="259" w:lineRule="auto"/>
        <w:ind w:left="14" w:firstLine="0"/>
        <w:jc w:val="left"/>
      </w:pPr>
      <w:r>
        <w:rPr>
          <w:sz w:val="24"/>
        </w:rPr>
        <w:t xml:space="preserve"> </w:t>
      </w:r>
    </w:p>
    <w:p w:rsidR="00025683" w:rsidRDefault="007C2AAB">
      <w:pPr>
        <w:ind w:left="11" w:right="204"/>
      </w:pPr>
      <w:r>
        <w:rPr>
          <w:b/>
          <w:sz w:val="20"/>
        </w:rPr>
        <w:t xml:space="preserve">OCTAVO.- </w:t>
      </w:r>
      <w:r>
        <w:rPr>
          <w:sz w:val="20"/>
        </w:rPr>
        <w:t>Dar traslado de dicho acuerdo al Ministerio de Haciendas y Administraciones Públicas a través de la plataforma telemática que habilita el propio Ministerio.”.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ind w:left="14" w:right="200"/>
      </w:pPr>
      <w:r>
        <w:t>Se eleva a esta propuesta al Pleno del Ayuntamiento, que resolverá como mejor proceda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DICTAMEN FAVORABLE DE 22 DE DICIEMBRE DE 2025 DE LA COMISIÓN INFORMATIVA DE HACIENDA, RECURSOS HUMANOS Y SERVICIOS GENERALES.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Votos a favor: 4. </w:t>
      </w:r>
    </w:p>
    <w:p w:rsidR="00025683" w:rsidRDefault="007C2AAB">
      <w:pPr>
        <w:ind w:left="14" w:right="200"/>
      </w:pPr>
      <w:r>
        <w:t xml:space="preserve">4 concejales del Grupo Socialista: Don Airam Pérez Chinea, Reinaldo José Triviño Blanco, Mónica Monserrat Yanes Delgado y Doña Margarita Eva Tendero Barroso. </w:t>
      </w:r>
    </w:p>
    <w:p w:rsidR="00025683" w:rsidRDefault="007C2AAB">
      <w:pPr>
        <w:spacing w:after="0" w:line="259" w:lineRule="auto"/>
        <w:ind w:left="14" w:firstLine="0"/>
        <w:jc w:val="left"/>
      </w:pPr>
      <w:r>
        <w:t xml:space="preserve"> </w:t>
      </w:r>
    </w:p>
    <w:p w:rsidR="00025683" w:rsidRDefault="007C2AAB">
      <w:pPr>
        <w:ind w:left="14" w:right="200"/>
      </w:pPr>
      <w:r>
        <w:t xml:space="preserve">Votos en contra: 0. </w:t>
      </w:r>
    </w:p>
    <w:p w:rsidR="00025683" w:rsidRDefault="007C2AAB">
      <w:pPr>
        <w:spacing w:after="0" w:line="259" w:lineRule="auto"/>
        <w:ind w:left="14" w:firstLine="0"/>
        <w:jc w:val="left"/>
      </w:pPr>
      <w:r>
        <w:t xml:space="preserve"> </w:t>
      </w:r>
    </w:p>
    <w:p w:rsidR="00025683" w:rsidRDefault="007C2AAB">
      <w:pPr>
        <w:ind w:left="14" w:right="200"/>
      </w:pPr>
      <w:r>
        <w:t xml:space="preserve">Abstenciones: 3. </w:t>
      </w:r>
    </w:p>
    <w:p w:rsidR="00025683" w:rsidRDefault="007C2AAB">
      <w:pPr>
        <w:ind w:left="14" w:right="640"/>
      </w:pPr>
      <w:r>
        <w:t>2 concejales del Grupo Popular, Don Jacobo López Fariñ</w:t>
      </w:r>
      <w:r>
        <w:t>a y Dª Shaila Castellano Batista.</w:t>
      </w:r>
      <w:r>
        <w:rPr>
          <w:rFonts w:ascii="Times New Roman" w:eastAsia="Times New Roman" w:hAnsi="Times New Roman" w:cs="Times New Roman"/>
          <w:sz w:val="24"/>
        </w:rPr>
        <w:t xml:space="preserve"> </w:t>
      </w:r>
      <w:r>
        <w:t xml:space="preserve">1 de la concejal del Grupo Mixto (CC) Doña Ángela Cruz Perera.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12"/>
        <w:ind w:left="14" w:right="197"/>
      </w:pPr>
      <w:r>
        <w:rPr>
          <w:b/>
        </w:rPr>
        <w:t xml:space="preserve">JUNTA DE PORTAVOCES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5937" name="Group 37593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15" name="Rectangle 3315"/>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316" name="Rectangle 3316"/>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17" name="Rectangle 3317"/>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w:t>
                              </w:r>
                              <w:r>
                                <w:rPr>
                                  <w:sz w:val="12"/>
                                </w:rPr>
                                <w:t xml:space="preserve">mente desde la plataforma esPublico Gestiona | Página 14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5937" style="width:18.7031pt;height:260.874pt;position:absolute;mso-position-horizontal-relative:page;mso-position-horizontal:absolute;margin-left:662.928pt;mso-position-vertical-relative:page;margin-top:512.046pt;" coordsize="2375,33130">
                <v:rect id="Rectangle 3315"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31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1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350 </w:t>
                        </w:r>
                      </w:p>
                    </w:txbxContent>
                  </v:textbox>
                </v:rect>
                <w10:wrap type="square"/>
              </v:group>
            </w:pict>
          </mc:Fallback>
        </mc:AlternateContent>
      </w:r>
      <w:r>
        <w:rPr>
          <w:b/>
        </w:rPr>
        <w:t xml:space="preserve"> </w:t>
      </w:r>
    </w:p>
    <w:p w:rsidR="00025683" w:rsidRDefault="007C2AAB">
      <w:pPr>
        <w:ind w:left="14" w:right="200"/>
      </w:pPr>
      <w:r>
        <w:t xml:space="preserve">Quedó oída.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pStyle w:val="Ttulo4"/>
        <w:ind w:left="274"/>
      </w:pPr>
      <w:r>
        <w:t xml:space="preserve">ENMIENDAS  </w:t>
      </w:r>
    </w:p>
    <w:p w:rsidR="00025683" w:rsidRDefault="007C2AAB">
      <w:pPr>
        <w:spacing w:after="12"/>
        <w:ind w:left="14" w:right="197" w:firstLine="708"/>
      </w:pPr>
      <w:r>
        <w:rPr>
          <w:b/>
        </w:rPr>
        <w:t xml:space="preserve">Se han presentado por registro de entrada de 24 de diciembre de 2025 enmienda al presupuesto general por la concejal del Grupo Mixto (CC), Ángela Cruz Perera, que son las siguientes: </w:t>
      </w:r>
    </w:p>
    <w:p w:rsidR="00025683" w:rsidRDefault="007C2AAB">
      <w:pPr>
        <w:spacing w:after="0" w:line="259" w:lineRule="auto"/>
        <w:ind w:left="14" w:firstLine="0"/>
        <w:jc w:val="left"/>
      </w:pPr>
      <w:r>
        <w:rPr>
          <w:b/>
        </w:rPr>
        <w:t xml:space="preserve"> </w:t>
      </w:r>
    </w:p>
    <w:p w:rsidR="00025683" w:rsidRDefault="007C2AAB">
      <w:pPr>
        <w:spacing w:line="249" w:lineRule="auto"/>
        <w:ind w:left="732" w:right="198" w:hanging="10"/>
      </w:pPr>
      <w:r>
        <w:rPr>
          <w:b/>
          <w:sz w:val="23"/>
        </w:rPr>
        <w:t xml:space="preserve">ENMIENDAS QUE PRESENTA ANGELA CRUZ PERERA CON DNI Nº 42047869M, </w:t>
      </w:r>
    </w:p>
    <w:p w:rsidR="00025683" w:rsidRDefault="007C2AAB">
      <w:pPr>
        <w:spacing w:after="28" w:line="249" w:lineRule="auto"/>
        <w:ind w:left="17" w:right="198" w:hanging="10"/>
      </w:pPr>
      <w:r>
        <w:rPr>
          <w:b/>
          <w:sz w:val="23"/>
        </w:rPr>
        <w:t>AL PR</w:t>
      </w:r>
      <w:r>
        <w:rPr>
          <w:b/>
          <w:sz w:val="23"/>
        </w:rPr>
        <w:t xml:space="preserve">OYECTO DE PRESUPUESTO GENERAL 2026 DEL AYUNTAMIENTO DE CANDELARIA, EN CALIDAD DE CONCEJAL Y PORTAVOZ DE COALICIÓN CANARIA EN EL GRUPO MUNICIPAL MIXTO. </w:t>
      </w:r>
    </w:p>
    <w:p w:rsidR="00025683" w:rsidRDefault="007C2AAB">
      <w:pPr>
        <w:ind w:left="722" w:right="202"/>
      </w:pPr>
      <w:r>
        <w:rPr>
          <w:sz w:val="23"/>
        </w:rPr>
        <w:t xml:space="preserve">(…) </w:t>
      </w:r>
    </w:p>
    <w:p w:rsidR="00025683" w:rsidRDefault="007C2AAB">
      <w:pPr>
        <w:spacing w:after="0" w:line="259" w:lineRule="auto"/>
        <w:ind w:left="722" w:firstLine="0"/>
        <w:jc w:val="left"/>
      </w:pPr>
      <w:r>
        <w:rPr>
          <w:b/>
          <w:sz w:val="23"/>
        </w:rPr>
        <w:t xml:space="preserve"> </w:t>
      </w:r>
    </w:p>
    <w:p w:rsidR="00025683" w:rsidRDefault="007C2AAB">
      <w:pPr>
        <w:spacing w:line="249" w:lineRule="auto"/>
        <w:ind w:left="732" w:right="198" w:hanging="10"/>
      </w:pPr>
      <w:r>
        <w:rPr>
          <w:b/>
          <w:sz w:val="23"/>
        </w:rPr>
        <w:t xml:space="preserve">VOTACIÓN EN EL PLENO DE LA ENMIENDA PRESENTADA: </w:t>
      </w:r>
    </w:p>
    <w:p w:rsidR="00025683" w:rsidRDefault="007C2AAB">
      <w:pPr>
        <w:spacing w:after="0" w:line="259" w:lineRule="auto"/>
        <w:ind w:left="722" w:firstLine="0"/>
        <w:jc w:val="left"/>
      </w:pPr>
      <w:r>
        <w:rPr>
          <w:b/>
          <w:sz w:val="23"/>
        </w:rPr>
        <w:t xml:space="preserve"> </w:t>
      </w:r>
    </w:p>
    <w:p w:rsidR="00025683" w:rsidRDefault="007C2AAB">
      <w:pPr>
        <w:ind w:left="14" w:right="200"/>
      </w:pPr>
      <w:r>
        <w:t xml:space="preserve">Votos a favor: 8. </w:t>
      </w:r>
    </w:p>
    <w:p w:rsidR="00025683" w:rsidRDefault="007C2AAB">
      <w:pPr>
        <w:ind w:left="14" w:right="200"/>
      </w:pPr>
      <w:r>
        <w:t>5 concejales del Grupo Popu</w:t>
      </w:r>
      <w:r>
        <w:t xml:space="preserve">lar: D. Jacobo López Fariña, D. Miguel Eduardo Hernández Chitty, Dª. Raquel Martín Castro, Dª. María Carlota Díaz González y D. José Daniel Sosa González. </w:t>
      </w:r>
    </w:p>
    <w:p w:rsidR="00025683" w:rsidRDefault="007C2AAB">
      <w:pPr>
        <w:spacing w:after="0" w:line="259" w:lineRule="auto"/>
        <w:ind w:left="14" w:firstLine="0"/>
        <w:jc w:val="left"/>
      </w:pPr>
      <w:r>
        <w:t xml:space="preserve"> </w:t>
      </w:r>
    </w:p>
    <w:p w:rsidR="00025683" w:rsidRDefault="007C2AAB">
      <w:pPr>
        <w:ind w:left="14" w:right="200"/>
      </w:pPr>
      <w:r>
        <w:t xml:space="preserve">1 concejal del Grupo Mixto (CC), Dª. Ángela Cruz Perera. </w:t>
      </w:r>
    </w:p>
    <w:p w:rsidR="00025683" w:rsidRDefault="007C2AAB">
      <w:pPr>
        <w:spacing w:after="0" w:line="259" w:lineRule="auto"/>
        <w:ind w:left="14" w:firstLine="0"/>
        <w:jc w:val="left"/>
      </w:pPr>
      <w:r>
        <w:t xml:space="preserve"> </w:t>
      </w:r>
    </w:p>
    <w:p w:rsidR="00025683" w:rsidRDefault="007C2AAB">
      <w:pPr>
        <w:ind w:left="14" w:right="200"/>
      </w:pPr>
      <w:r>
        <w:t xml:space="preserve">1 de la concejal del Grupo Mixto (USP), Dª. Violeta López Jiménez. </w:t>
      </w:r>
    </w:p>
    <w:p w:rsidR="00025683" w:rsidRDefault="007C2AAB">
      <w:pPr>
        <w:spacing w:after="0" w:line="259" w:lineRule="auto"/>
        <w:ind w:left="14" w:firstLine="0"/>
        <w:jc w:val="left"/>
      </w:pPr>
      <w:r>
        <w:t xml:space="preserve"> </w:t>
      </w:r>
    </w:p>
    <w:p w:rsidR="00025683" w:rsidRDefault="007C2AAB">
      <w:pPr>
        <w:ind w:left="14" w:right="200"/>
      </w:pPr>
      <w:r>
        <w:t xml:space="preserve">1 del concejal del Grupo Mixto (Vox) D. José Tortosa Pallarés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Votos en contra: 11. </w:t>
      </w:r>
    </w:p>
    <w:p w:rsidR="00025683" w:rsidRDefault="007C2AAB">
      <w:pPr>
        <w:ind w:left="14" w:right="200"/>
      </w:pPr>
      <w:r>
        <w:t xml:space="preserve">11 concejales del Grupo Socialista: Dª. María Concepción Brito Núñez, D. Jorge Baute Delgado, </w:t>
      </w:r>
    </w:p>
    <w:p w:rsidR="00025683" w:rsidRDefault="007C2AAB">
      <w:pPr>
        <w:ind w:left="14" w:right="200"/>
      </w:pPr>
      <w:r>
        <w:t>D.</w:t>
      </w:r>
      <w:r>
        <w:t xml:space="preserve"> José Francisco Pinto Ramos, Dª. Olivia Concepción Pérez, D. Reinaldo José Triviño Blanco, </w:t>
      </w:r>
    </w:p>
    <w:p w:rsidR="00025683" w:rsidRDefault="007C2AAB">
      <w:pPr>
        <w:ind w:left="14" w:right="200"/>
      </w:pPr>
      <w:r>
        <w:t>D. Manuel Alberto González Pestano, Dª. Margarita Eva Tendero Barroso, D. Airam Pérez Chinea, Dª. María del Carmen Clemente Díaz, D. Olegario Francisco Alonso Bello</w:t>
      </w:r>
      <w:r>
        <w:t xml:space="preserve">, Dª. Mónica Monserrat Yanes Delgado.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722" w:firstLine="0"/>
        <w:jc w:val="left"/>
      </w:pPr>
      <w:r>
        <w:rPr>
          <w:b/>
          <w:sz w:val="23"/>
        </w:rPr>
        <w:t xml:space="preserve"> </w:t>
      </w:r>
    </w:p>
    <w:p w:rsidR="00025683" w:rsidRDefault="007C2AAB">
      <w:pPr>
        <w:spacing w:after="1" w:line="249" w:lineRule="auto"/>
        <w:ind w:left="1440" w:right="197" w:hanging="10"/>
      </w:pPr>
      <w:r>
        <w:rPr>
          <w:b/>
          <w:sz w:val="24"/>
        </w:rPr>
        <w:t xml:space="preserve">VOTACIÓN EN EL PLENO DEL PRESUPUESTO GENERAL </w:t>
      </w:r>
    </w:p>
    <w:p w:rsidR="00025683" w:rsidRDefault="007C2AAB">
      <w:pPr>
        <w:spacing w:after="0" w:line="259" w:lineRule="auto"/>
        <w:ind w:left="722" w:firstLine="0"/>
        <w:jc w:val="left"/>
      </w:pPr>
      <w:r>
        <w:rPr>
          <w:b/>
          <w:sz w:val="23"/>
        </w:rPr>
        <w:t xml:space="preserve"> </w:t>
      </w:r>
    </w:p>
    <w:p w:rsidR="00025683" w:rsidRDefault="007C2AAB">
      <w:pPr>
        <w:ind w:left="14" w:right="200"/>
      </w:pPr>
      <w:r>
        <w:t xml:space="preserve">Votos a favor: 11. </w:t>
      </w:r>
    </w:p>
    <w:p w:rsidR="00025683" w:rsidRDefault="007C2AAB">
      <w:pPr>
        <w:ind w:left="14" w:right="200"/>
      </w:pPr>
      <w:r>
        <w:t>11 concejales del Grupo Socialista: Dª. María Concepción Brito Núñez, D. Jorge Baute Delgado, D. José Francisco Pinto Ramos, Dª. Olivia Concep</w:t>
      </w:r>
      <w:r>
        <w:t xml:space="preserve">ción Pérez, D. Reinaldo José Triviño Blanco,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6150" name="Group 37615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439" name="Rectangle 3439"/>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440" name="Rectangle 3440"/>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41" name="Rectangle 3441"/>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6150" style="width:18.7031pt;height:260.874pt;position:absolute;mso-position-horizontal-relative:page;mso-position-horizontal:absolute;margin-left:662.928pt;mso-position-vertical-relative:page;margin-top:512.046pt;" coordsize="2375,33130">
                <v:rect id="Rectangle 3439"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44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4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350 </w:t>
                        </w:r>
                      </w:p>
                    </w:txbxContent>
                  </v:textbox>
                </v:rect>
                <w10:wrap type="square"/>
              </v:group>
            </w:pict>
          </mc:Fallback>
        </mc:AlternateContent>
      </w:r>
      <w:r>
        <w:t xml:space="preserve">D. Manuel Alberto González Pestano, Dª. Margarita Eva Tendero Barroso, D. Airam Pérez Chinea, Dª. María del Carmen Clemente Díaz, D. Olegario Francisco Alonso Bello, Dª. Mónica Monserrat Yanes Delgado.  </w:t>
      </w:r>
    </w:p>
    <w:p w:rsidR="00025683" w:rsidRDefault="007C2AAB">
      <w:pPr>
        <w:spacing w:after="0" w:line="259" w:lineRule="auto"/>
        <w:ind w:left="14" w:firstLine="0"/>
        <w:jc w:val="left"/>
      </w:pPr>
      <w:r>
        <w:t xml:space="preserve"> </w:t>
      </w:r>
    </w:p>
    <w:p w:rsidR="00025683" w:rsidRDefault="007C2AAB">
      <w:pPr>
        <w:ind w:left="14" w:right="200"/>
      </w:pPr>
      <w:r>
        <w:t xml:space="preserve">Votos en contra: 1. </w:t>
      </w:r>
    </w:p>
    <w:p w:rsidR="00025683" w:rsidRDefault="007C2AAB">
      <w:pPr>
        <w:ind w:left="14" w:right="200"/>
      </w:pPr>
      <w:r>
        <w:t>1 de la concejal del Grupo Mi</w:t>
      </w:r>
      <w:r>
        <w:t xml:space="preserve">xto (USP), Dª. Violeta López Jiménez. </w:t>
      </w:r>
    </w:p>
    <w:p w:rsidR="00025683" w:rsidRDefault="007C2AAB">
      <w:pPr>
        <w:spacing w:after="0" w:line="259" w:lineRule="auto"/>
        <w:ind w:left="14" w:firstLine="0"/>
        <w:jc w:val="left"/>
      </w:pPr>
      <w:r>
        <w:t xml:space="preserve"> </w:t>
      </w:r>
    </w:p>
    <w:p w:rsidR="00025683" w:rsidRDefault="007C2AAB">
      <w:pPr>
        <w:ind w:left="14" w:right="200"/>
      </w:pPr>
      <w:r>
        <w:t xml:space="preserve">Abstenciones: 7. </w:t>
      </w:r>
    </w:p>
    <w:p w:rsidR="00025683" w:rsidRDefault="007C2AAB">
      <w:pPr>
        <w:spacing w:after="0" w:line="259" w:lineRule="auto"/>
        <w:ind w:left="14" w:firstLine="0"/>
        <w:jc w:val="left"/>
      </w:pPr>
      <w:r>
        <w:t xml:space="preserve"> </w:t>
      </w:r>
    </w:p>
    <w:p w:rsidR="00025683" w:rsidRDefault="007C2AAB">
      <w:pPr>
        <w:ind w:left="14" w:right="200"/>
      </w:pPr>
      <w:r>
        <w:t xml:space="preserve">5 concejales del Grupo Popular: D. Jacobo López Fariña, D. Miguel Eduardo Hernández Chitty, Dª. Raquel Martín Castro, Dª. María Carlota Díaz González, D. José Daniel Sosa González.  </w:t>
      </w:r>
    </w:p>
    <w:p w:rsidR="00025683" w:rsidRDefault="007C2AAB">
      <w:pPr>
        <w:spacing w:after="0" w:line="259" w:lineRule="auto"/>
        <w:ind w:left="14" w:firstLine="0"/>
        <w:jc w:val="left"/>
      </w:pPr>
      <w:r>
        <w:t xml:space="preserve"> </w:t>
      </w:r>
    </w:p>
    <w:p w:rsidR="00025683" w:rsidRDefault="007C2AAB">
      <w:pPr>
        <w:ind w:left="14" w:right="200"/>
      </w:pPr>
      <w:r>
        <w:t>1 de la co</w:t>
      </w:r>
      <w:r>
        <w:t xml:space="preserve">ncejal del Grupo Mixto (CC), Dª. Ángela Cruz Perera. </w:t>
      </w:r>
    </w:p>
    <w:p w:rsidR="00025683" w:rsidRDefault="007C2AAB">
      <w:pPr>
        <w:spacing w:after="0" w:line="259" w:lineRule="auto"/>
        <w:ind w:left="14" w:firstLine="0"/>
        <w:jc w:val="left"/>
      </w:pPr>
      <w:r>
        <w:t xml:space="preserve"> </w:t>
      </w:r>
    </w:p>
    <w:p w:rsidR="00025683" w:rsidRDefault="007C2AAB">
      <w:pPr>
        <w:ind w:left="14" w:right="200"/>
      </w:pPr>
      <w:r>
        <w:t xml:space="preserve">1 del concejal del Grupo Mixto (Vox) D. José Tortosa Pallarés.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33"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12"/>
        <w:ind w:left="1433" w:right="197"/>
      </w:pPr>
      <w:r>
        <w:rPr>
          <w:b/>
        </w:rPr>
        <w:t xml:space="preserve">ACUERDO DEL PLENO DE 29 DE DICIEMBRE DE 2025. </w:t>
      </w:r>
    </w:p>
    <w:p w:rsidR="00025683" w:rsidRDefault="007C2AAB">
      <w:pPr>
        <w:spacing w:after="54" w:line="259" w:lineRule="auto"/>
        <w:ind w:left="14" w:firstLine="0"/>
        <w:jc w:val="left"/>
      </w:pPr>
      <w:r>
        <w:rPr>
          <w:b/>
        </w:rPr>
        <w:t xml:space="preserve"> </w:t>
      </w:r>
    </w:p>
    <w:p w:rsidR="00025683" w:rsidRDefault="007C2AAB">
      <w:pPr>
        <w:spacing w:after="51"/>
        <w:ind w:left="11" w:right="204"/>
      </w:pPr>
      <w:r>
        <w:rPr>
          <w:b/>
          <w:sz w:val="20"/>
        </w:rPr>
        <w:t>PRIMERO.-</w:t>
      </w:r>
      <w:r>
        <w:rPr>
          <w:sz w:val="20"/>
        </w:rPr>
        <w:t xml:space="preserve"> </w:t>
      </w:r>
      <w:r>
        <w:rPr>
          <w:sz w:val="20"/>
        </w:rPr>
        <w:t>Aprobar el Presupuesto General del ejercicio 2026, con el siguiente resumen por capítulos:</w:t>
      </w:r>
      <w:r>
        <w:rPr>
          <w:rFonts w:ascii="Times New Roman" w:eastAsia="Times New Roman" w:hAnsi="Times New Roman" w:cs="Times New Roman"/>
          <w:sz w:val="24"/>
        </w:rPr>
        <w:t xml:space="preserve"> </w:t>
      </w:r>
    </w:p>
    <w:p w:rsidR="00025683" w:rsidRDefault="007C2AAB">
      <w:pPr>
        <w:pStyle w:val="Ttulo5"/>
        <w:shd w:val="clear" w:color="auto" w:fill="BFBFBF"/>
        <w:spacing w:after="13"/>
        <w:ind w:left="1452" w:hanging="10"/>
      </w:pPr>
      <w:r>
        <w:rPr>
          <w:rFonts w:ascii="Arial" w:eastAsia="Arial" w:hAnsi="Arial" w:cs="Arial"/>
        </w:rPr>
        <w:t xml:space="preserve">      PRE</w:t>
      </w:r>
      <w:r>
        <w:rPr>
          <w:rFonts w:ascii="Arial" w:eastAsia="Arial" w:hAnsi="Arial" w:cs="Arial"/>
          <w:u w:val="single" w:color="000000"/>
        </w:rPr>
        <w:t xml:space="preserve">SUPUESTO CONSOLIDADO EJERCICIO 2026 </w:t>
      </w:r>
    </w:p>
    <w:p w:rsidR="00025683" w:rsidRDefault="007C2AAB">
      <w:pPr>
        <w:spacing w:after="0" w:line="259" w:lineRule="auto"/>
        <w:ind w:left="497" w:firstLine="0"/>
        <w:jc w:val="left"/>
      </w:pPr>
      <w:r>
        <w:rPr>
          <w:b/>
        </w:rPr>
        <w:t xml:space="preserve"> </w:t>
      </w:r>
      <w:r>
        <w:rPr>
          <w:b/>
        </w:rPr>
        <w:tab/>
      </w:r>
      <w:r>
        <w:rPr>
          <w:rFonts w:ascii="Times New Roman" w:eastAsia="Times New Roman" w:hAnsi="Times New Roman" w:cs="Times New Roman"/>
          <w:sz w:val="12"/>
        </w:rPr>
        <w:t xml:space="preserve"> </w:t>
      </w:r>
      <w:r>
        <w:rPr>
          <w:rFonts w:ascii="Times New Roman" w:eastAsia="Times New Roman" w:hAnsi="Times New Roman" w:cs="Times New Roman"/>
          <w:sz w:val="12"/>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418" w:type="dxa"/>
        <w:tblInd w:w="17" w:type="dxa"/>
        <w:tblCellMar>
          <w:top w:w="25" w:type="dxa"/>
          <w:left w:w="107" w:type="dxa"/>
          <w:bottom w:w="0" w:type="dxa"/>
          <w:right w:w="21" w:type="dxa"/>
        </w:tblCellMar>
        <w:tblLook w:val="04A0" w:firstRow="1" w:lastRow="0" w:firstColumn="1" w:lastColumn="0" w:noHBand="0" w:noVBand="1"/>
      </w:tblPr>
      <w:tblGrid>
        <w:gridCol w:w="957"/>
        <w:gridCol w:w="1274"/>
        <w:gridCol w:w="1190"/>
        <w:gridCol w:w="1274"/>
        <w:gridCol w:w="1253"/>
        <w:gridCol w:w="1172"/>
        <w:gridCol w:w="1298"/>
      </w:tblGrid>
      <w:tr w:rsidR="00025683">
        <w:trPr>
          <w:trHeight w:val="287"/>
        </w:trPr>
        <w:tc>
          <w:tcPr>
            <w:tcW w:w="958" w:type="dxa"/>
            <w:tcBorders>
              <w:top w:val="nil"/>
              <w:left w:val="nil"/>
              <w:bottom w:val="single" w:sz="4" w:space="0" w:color="000000"/>
              <w:right w:val="nil"/>
            </w:tcBorders>
            <w:shd w:val="clear" w:color="auto" w:fill="BFBFBF"/>
          </w:tcPr>
          <w:p w:rsidR="00025683" w:rsidRDefault="00025683">
            <w:pPr>
              <w:spacing w:after="160" w:line="259" w:lineRule="auto"/>
              <w:ind w:left="0" w:firstLine="0"/>
              <w:jc w:val="left"/>
            </w:pPr>
          </w:p>
        </w:tc>
        <w:tc>
          <w:tcPr>
            <w:tcW w:w="1274" w:type="dxa"/>
            <w:tcBorders>
              <w:top w:val="nil"/>
              <w:left w:val="nil"/>
              <w:bottom w:val="single" w:sz="4" w:space="0" w:color="000000"/>
              <w:right w:val="nil"/>
            </w:tcBorders>
            <w:shd w:val="clear" w:color="auto" w:fill="BFBFBF"/>
          </w:tcPr>
          <w:p w:rsidR="00025683" w:rsidRDefault="00025683">
            <w:pPr>
              <w:spacing w:after="160" w:line="259" w:lineRule="auto"/>
              <w:ind w:left="0" w:firstLine="0"/>
              <w:jc w:val="left"/>
            </w:pPr>
          </w:p>
        </w:tc>
        <w:tc>
          <w:tcPr>
            <w:tcW w:w="4889" w:type="dxa"/>
            <w:gridSpan w:val="4"/>
            <w:tcBorders>
              <w:top w:val="nil"/>
              <w:left w:val="nil"/>
              <w:bottom w:val="single" w:sz="4" w:space="0" w:color="000000"/>
              <w:right w:val="nil"/>
            </w:tcBorders>
            <w:shd w:val="clear" w:color="auto" w:fill="BFBFBF"/>
          </w:tcPr>
          <w:p w:rsidR="00025683" w:rsidRDefault="007C2AAB">
            <w:pPr>
              <w:spacing w:after="0" w:line="259" w:lineRule="auto"/>
              <w:ind w:left="208" w:firstLine="0"/>
              <w:jc w:val="left"/>
            </w:pPr>
            <w:r>
              <w:rPr>
                <w:b/>
                <w:sz w:val="16"/>
              </w:rPr>
              <w:t xml:space="preserve">ESTADO DE CONSOLIDACION DE GASTOS  </w:t>
            </w:r>
          </w:p>
        </w:tc>
        <w:tc>
          <w:tcPr>
            <w:tcW w:w="1298" w:type="dxa"/>
            <w:tcBorders>
              <w:top w:val="nil"/>
              <w:left w:val="nil"/>
              <w:bottom w:val="single" w:sz="4" w:space="0" w:color="000000"/>
              <w:right w:val="nil"/>
            </w:tcBorders>
            <w:shd w:val="clear" w:color="auto" w:fill="BFBFBF"/>
          </w:tcPr>
          <w:p w:rsidR="00025683" w:rsidRDefault="00025683">
            <w:pPr>
              <w:spacing w:after="160" w:line="259" w:lineRule="auto"/>
              <w:ind w:left="0" w:firstLine="0"/>
              <w:jc w:val="left"/>
            </w:pPr>
          </w:p>
        </w:tc>
      </w:tr>
      <w:tr w:rsidR="00025683">
        <w:trPr>
          <w:trHeight w:val="551"/>
        </w:trPr>
        <w:tc>
          <w:tcPr>
            <w:tcW w:w="958"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5" w:firstLine="0"/>
              <w:jc w:val="center"/>
            </w:pPr>
            <w:r>
              <w:rPr>
                <w:b/>
                <w:sz w:val="14"/>
              </w:rPr>
              <w:t xml:space="preserve">Capítulos </w:t>
            </w:r>
          </w:p>
        </w:tc>
        <w:tc>
          <w:tcPr>
            <w:tcW w:w="1274"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8" w:firstLine="0"/>
              <w:jc w:val="center"/>
            </w:pPr>
            <w:r>
              <w:rPr>
                <w:b/>
                <w:sz w:val="14"/>
              </w:rPr>
              <w:t xml:space="preserve">Ayuntamiento </w:t>
            </w:r>
          </w:p>
        </w:tc>
        <w:tc>
          <w:tcPr>
            <w:tcW w:w="1190"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6" w:firstLine="0"/>
              <w:jc w:val="center"/>
            </w:pPr>
            <w:r>
              <w:rPr>
                <w:b/>
                <w:sz w:val="14"/>
              </w:rPr>
              <w:t xml:space="preserve">EPELCAN </w:t>
            </w:r>
          </w:p>
        </w:tc>
        <w:tc>
          <w:tcPr>
            <w:tcW w:w="1274"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firstLine="0"/>
              <w:jc w:val="center"/>
            </w:pPr>
            <w:r>
              <w:rPr>
                <w:b/>
                <w:sz w:val="14"/>
              </w:rPr>
              <w:t xml:space="preserve">Sdad. Municipal Viviendas </w:t>
            </w:r>
          </w:p>
        </w:tc>
        <w:tc>
          <w:tcPr>
            <w:tcW w:w="1253"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3" w:firstLine="0"/>
              <w:jc w:val="center"/>
            </w:pPr>
            <w:r>
              <w:rPr>
                <w:b/>
                <w:sz w:val="14"/>
              </w:rPr>
              <w:t xml:space="preserve">Total </w:t>
            </w:r>
          </w:p>
        </w:tc>
        <w:tc>
          <w:tcPr>
            <w:tcW w:w="1171"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9" w:firstLine="0"/>
              <w:jc w:val="left"/>
            </w:pPr>
            <w:r>
              <w:rPr>
                <w:b/>
                <w:sz w:val="14"/>
              </w:rPr>
              <w:t xml:space="preserve">Eliminaciones </w:t>
            </w:r>
          </w:p>
        </w:tc>
        <w:tc>
          <w:tcPr>
            <w:tcW w:w="1298"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26" w:firstLine="0"/>
              <w:jc w:val="left"/>
            </w:pPr>
            <w:r>
              <w:rPr>
                <w:b/>
                <w:sz w:val="14"/>
              </w:rPr>
              <w:t xml:space="preserve">Pº Consolidado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14.559.885,59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720.182,22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1.581.496,74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16.861.564,55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16.861.564,55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15.939.241,21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192.109,08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7" w:firstLine="0"/>
              <w:jc w:val="right"/>
            </w:pPr>
            <w:r>
              <w:rPr>
                <w:sz w:val="16"/>
              </w:rPr>
              <w:t xml:space="preserve">75.857,43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16.207.207,72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16.207.207,72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3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80.000,00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80.000,00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9" w:firstLine="0"/>
              <w:jc w:val="right"/>
            </w:pPr>
            <w:r>
              <w:rPr>
                <w:sz w:val="16"/>
              </w:rPr>
              <w:t xml:space="preserve">80.000,00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4.366.123,23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4.366.123,23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1.543.862,63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2.822.260,60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6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600.254,34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600.254,34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9" w:firstLine="0"/>
              <w:jc w:val="right"/>
            </w:pPr>
            <w:r>
              <w:rPr>
                <w:sz w:val="16"/>
              </w:rPr>
              <w:t xml:space="preserve">600.254,34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34"/>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9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62"/>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86" w:firstLine="0"/>
              <w:jc w:val="center"/>
            </w:pPr>
            <w:r>
              <w:rPr>
                <w:b/>
                <w:sz w:val="16"/>
              </w:rPr>
              <w:t xml:space="preserve">TOTAL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6" w:firstLine="0"/>
              <w:jc w:val="right"/>
            </w:pPr>
            <w:r>
              <w:rPr>
                <w:b/>
                <w:sz w:val="16"/>
              </w:rPr>
              <w:t xml:space="preserve">35.545.504,37 </w:t>
            </w:r>
          </w:p>
        </w:tc>
        <w:tc>
          <w:tcPr>
            <w:tcW w:w="1190"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5" w:firstLine="0"/>
              <w:jc w:val="right"/>
            </w:pPr>
            <w:r>
              <w:rPr>
                <w:b/>
                <w:sz w:val="16"/>
              </w:rPr>
              <w:t xml:space="preserve">912.291,30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5" w:firstLine="0"/>
              <w:jc w:val="right"/>
            </w:pPr>
            <w:r>
              <w:rPr>
                <w:b/>
                <w:sz w:val="16"/>
              </w:rPr>
              <w:t xml:space="preserve">1.657.354,17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3" w:firstLine="0"/>
              <w:jc w:val="right"/>
            </w:pPr>
            <w:r>
              <w:rPr>
                <w:b/>
                <w:sz w:val="16"/>
              </w:rPr>
              <w:t xml:space="preserve">38.115.149,84 </w:t>
            </w:r>
          </w:p>
        </w:tc>
        <w:tc>
          <w:tcPr>
            <w:tcW w:w="1171"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5" w:firstLine="0"/>
              <w:jc w:val="right"/>
            </w:pPr>
            <w:r>
              <w:rPr>
                <w:b/>
                <w:sz w:val="16"/>
              </w:rPr>
              <w:t xml:space="preserve">1.543.862,63 </w:t>
            </w:r>
          </w:p>
        </w:tc>
        <w:tc>
          <w:tcPr>
            <w:tcW w:w="129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6" w:firstLine="0"/>
              <w:jc w:val="right"/>
            </w:pPr>
            <w:r>
              <w:rPr>
                <w:b/>
                <w:sz w:val="16"/>
              </w:rPr>
              <w:t xml:space="preserve">36.571.287,21 </w:t>
            </w:r>
          </w:p>
        </w:tc>
      </w:tr>
    </w:tbl>
    <w:p w:rsidR="00025683" w:rsidRDefault="007C2AAB">
      <w:pPr>
        <w:spacing w:after="0" w:line="259" w:lineRule="auto"/>
        <w:ind w:left="907"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6146" name="Group 3861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503" name="Rectangle 4503"/>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504" name="Rectangle 4504"/>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505" name="Rectangle 4505"/>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6146" style="width:18.7031pt;height:260.874pt;position:absolute;mso-position-horizontal-relative:page;mso-position-horizontal:absolute;margin-left:662.928pt;mso-position-vertical-relative:page;margin-top:512.046pt;" coordsize="2375,33130">
                <v:rect id="Rectangle 4503"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50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50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350 </w:t>
                        </w:r>
                      </w:p>
                    </w:txbxContent>
                  </v:textbox>
                </v:rect>
                <w10:wrap type="square"/>
              </v:group>
            </w:pict>
          </mc:Fallback>
        </mc:AlternateContent>
      </w:r>
      <w:r>
        <w:rPr>
          <w:b/>
          <w:sz w:val="16"/>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418" w:type="dxa"/>
        <w:tblInd w:w="17" w:type="dxa"/>
        <w:tblCellMar>
          <w:top w:w="25" w:type="dxa"/>
          <w:left w:w="107" w:type="dxa"/>
          <w:bottom w:w="0" w:type="dxa"/>
          <w:right w:w="21" w:type="dxa"/>
        </w:tblCellMar>
        <w:tblLook w:val="04A0" w:firstRow="1" w:lastRow="0" w:firstColumn="1" w:lastColumn="0" w:noHBand="0" w:noVBand="1"/>
      </w:tblPr>
      <w:tblGrid>
        <w:gridCol w:w="957"/>
        <w:gridCol w:w="1274"/>
        <w:gridCol w:w="1190"/>
        <w:gridCol w:w="1274"/>
        <w:gridCol w:w="1253"/>
        <w:gridCol w:w="1172"/>
        <w:gridCol w:w="1298"/>
      </w:tblGrid>
      <w:tr w:rsidR="00025683">
        <w:trPr>
          <w:trHeight w:val="289"/>
        </w:trPr>
        <w:tc>
          <w:tcPr>
            <w:tcW w:w="7121" w:type="dxa"/>
            <w:gridSpan w:val="6"/>
            <w:tcBorders>
              <w:top w:val="nil"/>
              <w:left w:val="nil"/>
              <w:bottom w:val="single" w:sz="4" w:space="0" w:color="000000"/>
              <w:right w:val="nil"/>
            </w:tcBorders>
            <w:shd w:val="clear" w:color="auto" w:fill="BFBFBF"/>
          </w:tcPr>
          <w:p w:rsidR="00025683" w:rsidRDefault="007C2AAB">
            <w:pPr>
              <w:spacing w:after="0" w:line="259" w:lineRule="auto"/>
              <w:ind w:left="2355" w:firstLine="0"/>
              <w:jc w:val="left"/>
            </w:pPr>
            <w:r>
              <w:rPr>
                <w:b/>
                <w:sz w:val="16"/>
              </w:rPr>
              <w:t xml:space="preserve">ESTADO DE CONSOLIDACION DE INGRESOS </w:t>
            </w:r>
          </w:p>
        </w:tc>
        <w:tc>
          <w:tcPr>
            <w:tcW w:w="1298" w:type="dxa"/>
            <w:tcBorders>
              <w:top w:val="nil"/>
              <w:left w:val="nil"/>
              <w:bottom w:val="single" w:sz="4" w:space="0" w:color="000000"/>
              <w:right w:val="nil"/>
            </w:tcBorders>
            <w:shd w:val="clear" w:color="auto" w:fill="BFBFBF"/>
          </w:tcPr>
          <w:p w:rsidR="00025683" w:rsidRDefault="00025683">
            <w:pPr>
              <w:spacing w:after="160" w:line="259" w:lineRule="auto"/>
              <w:ind w:left="0" w:firstLine="0"/>
              <w:jc w:val="left"/>
            </w:pPr>
          </w:p>
        </w:tc>
      </w:tr>
      <w:tr w:rsidR="00025683">
        <w:trPr>
          <w:trHeight w:val="548"/>
        </w:trPr>
        <w:tc>
          <w:tcPr>
            <w:tcW w:w="958"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5" w:firstLine="0"/>
              <w:jc w:val="center"/>
            </w:pPr>
            <w:r>
              <w:rPr>
                <w:b/>
                <w:sz w:val="14"/>
              </w:rPr>
              <w:t xml:space="preserve">Capítulos </w:t>
            </w:r>
          </w:p>
        </w:tc>
        <w:tc>
          <w:tcPr>
            <w:tcW w:w="1274"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8" w:firstLine="0"/>
              <w:jc w:val="center"/>
            </w:pPr>
            <w:r>
              <w:rPr>
                <w:b/>
                <w:sz w:val="14"/>
              </w:rPr>
              <w:t xml:space="preserve">Ayuntamiento </w:t>
            </w:r>
          </w:p>
        </w:tc>
        <w:tc>
          <w:tcPr>
            <w:tcW w:w="1190"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6" w:firstLine="0"/>
              <w:jc w:val="center"/>
            </w:pPr>
            <w:r>
              <w:rPr>
                <w:b/>
                <w:sz w:val="14"/>
              </w:rPr>
              <w:t xml:space="preserve">EPELCAN </w:t>
            </w:r>
          </w:p>
        </w:tc>
        <w:tc>
          <w:tcPr>
            <w:tcW w:w="1274"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firstLine="0"/>
              <w:jc w:val="center"/>
            </w:pPr>
            <w:r>
              <w:rPr>
                <w:b/>
                <w:sz w:val="14"/>
              </w:rPr>
              <w:t xml:space="preserve">Sdad. Municipal Viviendas </w:t>
            </w:r>
          </w:p>
        </w:tc>
        <w:tc>
          <w:tcPr>
            <w:tcW w:w="1253"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0" w:right="83" w:firstLine="0"/>
              <w:jc w:val="center"/>
            </w:pPr>
            <w:r>
              <w:rPr>
                <w:b/>
                <w:sz w:val="14"/>
              </w:rPr>
              <w:t xml:space="preserve">Total </w:t>
            </w:r>
          </w:p>
        </w:tc>
        <w:tc>
          <w:tcPr>
            <w:tcW w:w="1171"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9" w:firstLine="0"/>
              <w:jc w:val="left"/>
            </w:pPr>
            <w:r>
              <w:rPr>
                <w:b/>
                <w:sz w:val="14"/>
              </w:rPr>
              <w:t xml:space="preserve">Eliminaciones </w:t>
            </w:r>
          </w:p>
        </w:tc>
        <w:tc>
          <w:tcPr>
            <w:tcW w:w="1298" w:type="dxa"/>
            <w:tcBorders>
              <w:top w:val="single" w:sz="4" w:space="0" w:color="000000"/>
              <w:left w:val="single" w:sz="4" w:space="0" w:color="000000"/>
              <w:bottom w:val="single" w:sz="4" w:space="0" w:color="000000"/>
              <w:right w:val="single" w:sz="4" w:space="0" w:color="000000"/>
            </w:tcBorders>
            <w:vAlign w:val="center"/>
          </w:tcPr>
          <w:p w:rsidR="00025683" w:rsidRDefault="007C2AAB">
            <w:pPr>
              <w:spacing w:after="0" w:line="259" w:lineRule="auto"/>
              <w:ind w:left="26" w:firstLine="0"/>
              <w:jc w:val="left"/>
            </w:pPr>
            <w:r>
              <w:rPr>
                <w:b/>
                <w:sz w:val="14"/>
              </w:rPr>
              <w:t xml:space="preserve">Pº Consolidado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1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9.696.000,00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9.696.000,00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9.696.000,00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2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7.420.895,00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7.420.895,00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7.420.895,00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3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3.808.420,00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258.790,00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7" w:firstLine="0"/>
              <w:jc w:val="right"/>
            </w:pPr>
            <w:r>
              <w:rPr>
                <w:sz w:val="16"/>
              </w:rPr>
              <w:t xml:space="preserve">7.000,00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4.074.210,00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4.074.210,00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4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11.618.688,80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654.294,37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1.650.354,17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13.923.337,34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1.543.862,63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12.379.474,71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428.000,00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5" w:firstLine="0"/>
              <w:jc w:val="right"/>
            </w:pPr>
            <w:r>
              <w:rPr>
                <w:sz w:val="16"/>
              </w:rPr>
              <w:t xml:space="preserve">428.000,00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428.000,00 </w:t>
            </w:r>
          </w:p>
        </w:tc>
      </w:tr>
      <w:tr w:rsidR="00025683">
        <w:trPr>
          <w:trHeight w:val="233"/>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2.573.500,57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3" w:firstLine="0"/>
              <w:jc w:val="right"/>
            </w:pPr>
            <w:r>
              <w:rPr>
                <w:sz w:val="16"/>
              </w:rPr>
              <w:t xml:space="preserve">2.573.500,57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6" w:firstLine="0"/>
              <w:jc w:val="right"/>
            </w:pPr>
            <w:r>
              <w:rPr>
                <w:sz w:val="16"/>
              </w:rPr>
              <w:t xml:space="preserve">2.573.500,57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8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35"/>
        </w:trPr>
        <w:tc>
          <w:tcPr>
            <w:tcW w:w="95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85" w:firstLine="0"/>
              <w:jc w:val="center"/>
            </w:pPr>
            <w:r>
              <w:rPr>
                <w:sz w:val="16"/>
              </w:rPr>
              <w:t xml:space="preserve">9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 w:firstLine="0"/>
              <w:jc w:val="right"/>
            </w:pPr>
            <w:r>
              <w:rPr>
                <w:sz w:val="16"/>
              </w:rPr>
              <w:t xml:space="preserve">  </w:t>
            </w:r>
          </w:p>
        </w:tc>
        <w:tc>
          <w:tcPr>
            <w:tcW w:w="119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right"/>
            </w:pPr>
            <w:r>
              <w:rPr>
                <w:sz w:val="16"/>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5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4" w:firstLine="0"/>
              <w:jc w:val="right"/>
            </w:pPr>
            <w:r>
              <w:rPr>
                <w:sz w:val="16"/>
              </w:rPr>
              <w:t xml:space="preserve">0,00 </w:t>
            </w:r>
          </w:p>
        </w:tc>
        <w:tc>
          <w:tcPr>
            <w:tcW w:w="1171"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2" w:firstLine="0"/>
              <w:jc w:val="right"/>
            </w:pPr>
            <w:r>
              <w:rPr>
                <w:sz w:val="16"/>
              </w:rPr>
              <w:t xml:space="preserve">  </w:t>
            </w:r>
          </w:p>
        </w:tc>
        <w:tc>
          <w:tcPr>
            <w:tcW w:w="1298"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right="48" w:firstLine="0"/>
              <w:jc w:val="right"/>
            </w:pPr>
            <w:r>
              <w:rPr>
                <w:sz w:val="16"/>
              </w:rPr>
              <w:t xml:space="preserve">0,00 </w:t>
            </w:r>
          </w:p>
        </w:tc>
      </w:tr>
      <w:tr w:rsidR="00025683">
        <w:trPr>
          <w:trHeight w:val="262"/>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86" w:firstLine="0"/>
              <w:jc w:val="center"/>
            </w:pPr>
            <w:r>
              <w:rPr>
                <w:b/>
                <w:sz w:val="16"/>
              </w:rPr>
              <w:t xml:space="preserve">TOTAL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6" w:firstLine="0"/>
              <w:jc w:val="right"/>
            </w:pPr>
            <w:r>
              <w:rPr>
                <w:b/>
                <w:sz w:val="16"/>
              </w:rPr>
              <w:t xml:space="preserve">35.545.504,37 </w:t>
            </w:r>
          </w:p>
        </w:tc>
        <w:tc>
          <w:tcPr>
            <w:tcW w:w="1190"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5" w:firstLine="0"/>
              <w:jc w:val="right"/>
            </w:pPr>
            <w:r>
              <w:rPr>
                <w:b/>
                <w:sz w:val="16"/>
              </w:rPr>
              <w:t xml:space="preserve">913.084,37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5" w:firstLine="0"/>
              <w:jc w:val="right"/>
            </w:pPr>
            <w:r>
              <w:rPr>
                <w:b/>
                <w:sz w:val="16"/>
              </w:rPr>
              <w:t xml:space="preserve">1.657.354,17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3" w:firstLine="0"/>
              <w:jc w:val="right"/>
            </w:pPr>
            <w:r>
              <w:rPr>
                <w:b/>
                <w:sz w:val="16"/>
              </w:rPr>
              <w:t xml:space="preserve">38.115.942,91 </w:t>
            </w:r>
          </w:p>
        </w:tc>
        <w:tc>
          <w:tcPr>
            <w:tcW w:w="1171"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5" w:firstLine="0"/>
              <w:jc w:val="right"/>
            </w:pPr>
            <w:r>
              <w:rPr>
                <w:b/>
                <w:sz w:val="16"/>
              </w:rPr>
              <w:t xml:space="preserve">1.543.862,63 </w:t>
            </w:r>
          </w:p>
        </w:tc>
        <w:tc>
          <w:tcPr>
            <w:tcW w:w="129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6" w:firstLine="0"/>
              <w:jc w:val="right"/>
            </w:pPr>
            <w:r>
              <w:rPr>
                <w:b/>
                <w:sz w:val="16"/>
              </w:rPr>
              <w:t xml:space="preserve">36.572.080,28 </w:t>
            </w:r>
          </w:p>
        </w:tc>
      </w:tr>
    </w:tbl>
    <w:p w:rsidR="00025683" w:rsidRDefault="007C2AAB">
      <w:pPr>
        <w:spacing w:after="0" w:line="259" w:lineRule="auto"/>
        <w:ind w:left="907" w:firstLine="0"/>
        <w:jc w:val="left"/>
      </w:pPr>
      <w:r>
        <w:rPr>
          <w:b/>
          <w:sz w:val="16"/>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418" w:type="dxa"/>
        <w:tblInd w:w="17" w:type="dxa"/>
        <w:tblCellMar>
          <w:top w:w="14" w:type="dxa"/>
          <w:left w:w="115" w:type="dxa"/>
          <w:bottom w:w="0" w:type="dxa"/>
          <w:right w:w="21" w:type="dxa"/>
        </w:tblCellMar>
        <w:tblLook w:val="04A0" w:firstRow="1" w:lastRow="0" w:firstColumn="1" w:lastColumn="0" w:noHBand="0" w:noVBand="1"/>
      </w:tblPr>
      <w:tblGrid>
        <w:gridCol w:w="958"/>
        <w:gridCol w:w="1274"/>
        <w:gridCol w:w="1190"/>
        <w:gridCol w:w="1274"/>
        <w:gridCol w:w="1253"/>
        <w:gridCol w:w="1171"/>
        <w:gridCol w:w="1298"/>
      </w:tblGrid>
      <w:tr w:rsidR="00025683">
        <w:trPr>
          <w:trHeight w:val="214"/>
        </w:trPr>
        <w:tc>
          <w:tcPr>
            <w:tcW w:w="95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firstLine="0"/>
              <w:jc w:val="left"/>
            </w:pPr>
            <w:r>
              <w:rPr>
                <w:b/>
                <w:sz w:val="16"/>
              </w:rPr>
              <w:t xml:space="preserve">Superávit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8" w:firstLine="0"/>
              <w:jc w:val="right"/>
            </w:pPr>
            <w:r>
              <w:rPr>
                <w:b/>
                <w:sz w:val="16"/>
              </w:rPr>
              <w:t xml:space="preserve">0,00 </w:t>
            </w:r>
          </w:p>
        </w:tc>
        <w:tc>
          <w:tcPr>
            <w:tcW w:w="1190"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4" w:firstLine="0"/>
              <w:jc w:val="right"/>
            </w:pPr>
            <w:r>
              <w:rPr>
                <w:b/>
                <w:sz w:val="16"/>
              </w:rPr>
              <w:t xml:space="preserve">793,07 </w:t>
            </w:r>
          </w:p>
        </w:tc>
        <w:tc>
          <w:tcPr>
            <w:tcW w:w="1274"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7" w:firstLine="0"/>
              <w:jc w:val="right"/>
            </w:pPr>
            <w:r>
              <w:rPr>
                <w:b/>
                <w:sz w:val="16"/>
              </w:rPr>
              <w:t xml:space="preserve">0,00 </w:t>
            </w:r>
          </w:p>
        </w:tc>
        <w:tc>
          <w:tcPr>
            <w:tcW w:w="1253"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4" w:firstLine="0"/>
              <w:jc w:val="right"/>
            </w:pPr>
            <w:r>
              <w:rPr>
                <w:b/>
                <w:sz w:val="16"/>
              </w:rPr>
              <w:t xml:space="preserve">793,07 </w:t>
            </w:r>
          </w:p>
        </w:tc>
        <w:tc>
          <w:tcPr>
            <w:tcW w:w="1171"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7" w:firstLine="0"/>
              <w:jc w:val="right"/>
            </w:pPr>
            <w:r>
              <w:rPr>
                <w:b/>
                <w:sz w:val="16"/>
              </w:rPr>
              <w:t xml:space="preserve">0,00 </w:t>
            </w:r>
          </w:p>
        </w:tc>
        <w:tc>
          <w:tcPr>
            <w:tcW w:w="1298" w:type="dxa"/>
            <w:tcBorders>
              <w:top w:val="single" w:sz="4" w:space="0" w:color="000000"/>
              <w:left w:val="single" w:sz="4" w:space="0" w:color="000000"/>
              <w:bottom w:val="single" w:sz="4" w:space="0" w:color="000000"/>
              <w:right w:val="single" w:sz="4" w:space="0" w:color="000000"/>
            </w:tcBorders>
            <w:shd w:val="clear" w:color="auto" w:fill="BFBFBF"/>
          </w:tcPr>
          <w:p w:rsidR="00025683" w:rsidRDefault="007C2AAB">
            <w:pPr>
              <w:spacing w:after="0" w:line="259" w:lineRule="auto"/>
              <w:ind w:left="0" w:right="48" w:firstLine="0"/>
              <w:jc w:val="right"/>
            </w:pPr>
            <w:r>
              <w:rPr>
                <w:b/>
                <w:sz w:val="16"/>
              </w:rPr>
              <w:t xml:space="preserve">793,07 </w:t>
            </w:r>
          </w:p>
        </w:tc>
      </w:tr>
    </w:tbl>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SEGUNDO: </w:t>
      </w:r>
      <w:r>
        <w:t>Exponer el expediente de Presupuesto General del ejercicio 2026, integrado por la documentación anteriormente mencionada, a Información pública por espacio de quince días hábiles, en el Boletín Oficial de la Provincia, plazo durante el cual los interesados</w:t>
      </w:r>
      <w:r>
        <w:t xml:space="preserve"> podrán examinarlos y presentar reclamaciones ante el Pleno. El Pleno dispondrá del plazo de un mes para resolverlas.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TERCERO: </w:t>
      </w:r>
      <w:r>
        <w:t>El Presupuesto General se considerará definitivamente aprobado si al término de exposición al público no se hubiera presentado</w:t>
      </w:r>
      <w:r>
        <w:t xml:space="preserve"> reclamaciones; en caso contrario, se requerirá acuerdo expreso por el que se resuelven las formuladas y se apruebe definitivamente.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CUARTO</w:t>
      </w:r>
      <w:r>
        <w:t>: El Presupuesto General definitivamente aprobados será insertado en el Boletín Oficial de la Provincia resumido p</w:t>
      </w:r>
      <w:r>
        <w:t>or capítulos, además de la Plantilla Orgánica.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QUINTO: </w:t>
      </w:r>
      <w:r>
        <w:t>Del Presupuesto General definitivamente aprobado se remitirá copia a la Administración del Estado y a la Comunidad Autónoma. La remisión será simultánea al envío al Boletín Oficial de la Provincia.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SEXTO:  </w:t>
      </w:r>
      <w:r>
        <w:t>Dar traslado de dicho acuerdo al Ministerio de Haciendas y Administraciones Públicas a través de la plataforma telemática que habilita el propio Ministerio.</w:t>
      </w:r>
      <w:r>
        <w:rPr>
          <w:rFonts w:ascii="Times New Roman" w:eastAsia="Times New Roman" w:hAnsi="Times New Roman" w:cs="Times New Roman"/>
          <w:sz w:val="24"/>
        </w:rPr>
        <w:t xml:space="preserve"> </w:t>
      </w:r>
    </w:p>
    <w:p w:rsidR="00025683" w:rsidRDefault="007C2AAB">
      <w:pPr>
        <w:spacing w:after="52" w:line="259" w:lineRule="auto"/>
        <w:ind w:left="14" w:firstLine="0"/>
        <w:jc w:val="left"/>
      </w:pPr>
      <w:r>
        <w:rPr>
          <w:b/>
        </w:rPr>
        <w:t xml:space="preserve"> </w:t>
      </w:r>
    </w:p>
    <w:p w:rsidR="00025683" w:rsidRDefault="007C2AAB">
      <w:pPr>
        <w:ind w:left="14" w:right="200"/>
      </w:pPr>
      <w:r>
        <w:rPr>
          <w:b/>
        </w:rPr>
        <w:t>SÉPTIMO.-</w:t>
      </w:r>
      <w:r>
        <w:t xml:space="preserve"> Aprobar el </w:t>
      </w:r>
      <w:r>
        <w:rPr>
          <w:b/>
        </w:rPr>
        <w:t>Plan Presupuestario</w:t>
      </w:r>
      <w:r>
        <w:t xml:space="preserve"> correspondiente al periodo 2027-2029</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89079" name="Group 3890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109" name="Rectangle 5109"/>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110" name="Rectangle 5110"/>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11" name="Rectangle 5111"/>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9079" style="width:18.7031pt;height:260.874pt;position:absolute;mso-position-horizontal-relative:page;mso-position-horizontal:absolute;margin-left:662.928pt;mso-position-vertical-relative:page;margin-top:512.046pt;" coordsize="2375,33130">
                <v:rect id="Rectangle 5109"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11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1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350 </w:t>
                        </w:r>
                      </w:p>
                    </w:txbxContent>
                  </v:textbox>
                </v:rect>
                <w10:wrap type="topAndBottom"/>
              </v:group>
            </w:pict>
          </mc:Fallback>
        </mc:AlternateContent>
      </w:r>
      <w:r>
        <w:rPr>
          <w:sz w:val="20"/>
        </w:rPr>
        <w:t xml:space="preserve"> </w:t>
      </w:r>
    </w:p>
    <w:tbl>
      <w:tblPr>
        <w:tblStyle w:val="TableGrid"/>
        <w:tblW w:w="8486" w:type="dxa"/>
        <w:tblInd w:w="72" w:type="dxa"/>
        <w:tblCellMar>
          <w:top w:w="54" w:type="dxa"/>
          <w:left w:w="101" w:type="dxa"/>
          <w:bottom w:w="58" w:type="dxa"/>
          <w:right w:w="0" w:type="dxa"/>
        </w:tblCellMar>
        <w:tblLook w:val="04A0" w:firstRow="1" w:lastRow="0" w:firstColumn="1" w:lastColumn="0" w:noHBand="0" w:noVBand="1"/>
      </w:tblPr>
      <w:tblGrid>
        <w:gridCol w:w="1659"/>
        <w:gridCol w:w="1582"/>
        <w:gridCol w:w="1694"/>
        <w:gridCol w:w="1700"/>
        <w:gridCol w:w="1851"/>
      </w:tblGrid>
      <w:tr w:rsidR="00025683">
        <w:trPr>
          <w:trHeight w:val="737"/>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101" w:firstLine="0"/>
              <w:jc w:val="center"/>
            </w:pPr>
            <w:r>
              <w:rPr>
                <w:b/>
                <w:sz w:val="18"/>
              </w:rPr>
              <w:t xml:space="preserve">INGRESOS </w:t>
            </w:r>
          </w:p>
        </w:tc>
        <w:tc>
          <w:tcPr>
            <w:tcW w:w="158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12" w:firstLine="0"/>
            </w:pPr>
            <w:r>
              <w:rPr>
                <w:b/>
                <w:sz w:val="18"/>
              </w:rPr>
              <w:t xml:space="preserve">PRESUPUESTO </w:t>
            </w:r>
          </w:p>
          <w:p w:rsidR="00025683" w:rsidRDefault="007C2AAB">
            <w:pPr>
              <w:spacing w:after="0" w:line="259" w:lineRule="auto"/>
              <w:ind w:left="0" w:right="95" w:firstLine="0"/>
              <w:jc w:val="center"/>
            </w:pPr>
            <w:r>
              <w:rPr>
                <w:b/>
                <w:sz w:val="18"/>
              </w:rPr>
              <w:t xml:space="preserve">2026 </w:t>
            </w:r>
          </w:p>
        </w:tc>
        <w:tc>
          <w:tcPr>
            <w:tcW w:w="1694"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100" w:firstLine="0"/>
              <w:jc w:val="center"/>
            </w:pPr>
            <w:r>
              <w:rPr>
                <w:b/>
                <w:sz w:val="18"/>
              </w:rPr>
              <w:t xml:space="preserve">PREVISIÓN </w:t>
            </w:r>
          </w:p>
          <w:p w:rsidR="00025683" w:rsidRDefault="007C2AAB">
            <w:pPr>
              <w:spacing w:after="0" w:line="259" w:lineRule="auto"/>
              <w:ind w:left="67" w:firstLine="0"/>
              <w:jc w:val="left"/>
            </w:pPr>
            <w:r>
              <w:rPr>
                <w:b/>
                <w:sz w:val="18"/>
              </w:rPr>
              <w:t xml:space="preserve">PRESUPUESTO </w:t>
            </w:r>
          </w:p>
          <w:p w:rsidR="00025683" w:rsidRDefault="007C2AAB">
            <w:pPr>
              <w:spacing w:after="0" w:line="259" w:lineRule="auto"/>
              <w:ind w:left="0" w:right="97" w:firstLine="0"/>
              <w:jc w:val="center"/>
            </w:pPr>
            <w:r>
              <w:rPr>
                <w:b/>
                <w:sz w:val="18"/>
              </w:rPr>
              <w:t xml:space="preserve">2027 </w:t>
            </w:r>
          </w:p>
        </w:tc>
        <w:tc>
          <w:tcPr>
            <w:tcW w:w="170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100" w:firstLine="0"/>
              <w:jc w:val="center"/>
            </w:pPr>
            <w:r>
              <w:rPr>
                <w:b/>
                <w:sz w:val="18"/>
              </w:rPr>
              <w:t xml:space="preserve">PREVISIÓN </w:t>
            </w:r>
          </w:p>
          <w:p w:rsidR="00025683" w:rsidRDefault="007C2AAB">
            <w:pPr>
              <w:spacing w:after="0" w:line="259" w:lineRule="auto"/>
              <w:ind w:left="70" w:firstLine="0"/>
              <w:jc w:val="left"/>
            </w:pPr>
            <w:r>
              <w:rPr>
                <w:b/>
                <w:sz w:val="18"/>
              </w:rPr>
              <w:t xml:space="preserve">PRESUPUESTO </w:t>
            </w:r>
          </w:p>
          <w:p w:rsidR="00025683" w:rsidRDefault="007C2AAB">
            <w:pPr>
              <w:spacing w:after="0" w:line="259" w:lineRule="auto"/>
              <w:ind w:left="0" w:right="96" w:firstLine="0"/>
              <w:jc w:val="center"/>
            </w:pPr>
            <w:r>
              <w:rPr>
                <w:b/>
                <w:sz w:val="18"/>
              </w:rPr>
              <w:t xml:space="preserve">2028 </w:t>
            </w:r>
          </w:p>
        </w:tc>
        <w:tc>
          <w:tcPr>
            <w:tcW w:w="1851" w:type="dxa"/>
            <w:tcBorders>
              <w:top w:val="single" w:sz="2" w:space="0" w:color="000000"/>
              <w:left w:val="single" w:sz="2" w:space="0" w:color="000000"/>
              <w:bottom w:val="single" w:sz="2" w:space="0" w:color="000000"/>
              <w:right w:val="single" w:sz="2" w:space="0" w:color="000000"/>
            </w:tcBorders>
          </w:tcPr>
          <w:p w:rsidR="00025683" w:rsidRDefault="007C2AAB">
            <w:pPr>
              <w:spacing w:after="47" w:line="239" w:lineRule="auto"/>
              <w:ind w:left="0" w:firstLine="0"/>
              <w:jc w:val="center"/>
            </w:pPr>
            <w:r>
              <w:rPr>
                <w:b/>
                <w:sz w:val="18"/>
              </w:rPr>
              <w:t xml:space="preserve">PREVISIÓN PRESUPUESTO </w:t>
            </w:r>
          </w:p>
          <w:p w:rsidR="00025683" w:rsidRDefault="007C2AAB">
            <w:pPr>
              <w:spacing w:after="0" w:line="259" w:lineRule="auto"/>
              <w:ind w:left="0" w:right="100" w:firstLine="0"/>
              <w:jc w:val="center"/>
            </w:pPr>
            <w:r>
              <w:rPr>
                <w:b/>
                <w:sz w:val="18"/>
              </w:rPr>
              <w:t>2029</w:t>
            </w:r>
            <w:r>
              <w:rPr>
                <w:rFonts w:ascii="Times New Roman" w:eastAsia="Times New Roman" w:hAnsi="Times New Roman" w:cs="Times New Roman"/>
                <w:sz w:val="24"/>
              </w:rPr>
              <w:t xml:space="preserve"> </w:t>
            </w:r>
          </w:p>
        </w:tc>
      </w:tr>
      <w:tr w:rsidR="00025683">
        <w:trPr>
          <w:trHeight w:val="516"/>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 xml:space="preserve">IMPUESTOS DIRECTOS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3" w:firstLine="0"/>
              <w:jc w:val="right"/>
            </w:pPr>
            <w:r>
              <w:rPr>
                <w:sz w:val="18"/>
              </w:rPr>
              <w:t>9.696.000,00</w:t>
            </w:r>
            <w:r>
              <w:rPr>
                <w:rFonts w:ascii="Times New Roman" w:eastAsia="Times New Roman" w:hAnsi="Times New Roman" w:cs="Times New Roman"/>
                <w:sz w:val="24"/>
              </w:rPr>
              <w:t xml:space="preserve">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9.849.926,03</w:t>
            </w:r>
            <w:r>
              <w:rPr>
                <w:rFonts w:ascii="Times New Roman" w:eastAsia="Times New Roman" w:hAnsi="Times New Roman" w:cs="Times New Roman"/>
                <w:sz w:val="24"/>
              </w:rPr>
              <w:t xml:space="preserve">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10.088.674,18</w:t>
            </w:r>
            <w:r>
              <w:rPr>
                <w:rFonts w:ascii="Times New Roman" w:eastAsia="Times New Roman" w:hAnsi="Times New Roman" w:cs="Times New Roman"/>
                <w:sz w:val="24"/>
              </w:rPr>
              <w:t xml:space="preserve">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10.233.391,03</w:t>
            </w:r>
            <w:r>
              <w:rPr>
                <w:rFonts w:ascii="Times New Roman" w:eastAsia="Times New Roman" w:hAnsi="Times New Roman" w:cs="Times New Roman"/>
                <w:sz w:val="24"/>
              </w:rPr>
              <w:t xml:space="preserve"> </w:t>
            </w:r>
          </w:p>
        </w:tc>
      </w:tr>
      <w:tr w:rsidR="00025683">
        <w:trPr>
          <w:trHeight w:val="516"/>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 xml:space="preserve">IMPUESTOS INDIRECTOS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3" w:firstLine="0"/>
              <w:jc w:val="right"/>
            </w:pPr>
            <w:r>
              <w:rPr>
                <w:sz w:val="18"/>
              </w:rPr>
              <w:t xml:space="preserve">7.420.895,00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 xml:space="preserve">7.623.958,00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7.800.490,90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8.090.939,58 </w:t>
            </w:r>
          </w:p>
        </w:tc>
      </w:tr>
      <w:tr w:rsidR="00025683">
        <w:trPr>
          <w:trHeight w:val="605"/>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 xml:space="preserve">TASAS Y OTROS INGRESOS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3" w:firstLine="0"/>
              <w:jc w:val="right"/>
            </w:pPr>
            <w:r>
              <w:rPr>
                <w:sz w:val="18"/>
              </w:rPr>
              <w:t>4.074.210,00</w:t>
            </w:r>
            <w:r>
              <w:rPr>
                <w:rFonts w:ascii="Times New Roman" w:eastAsia="Times New Roman" w:hAnsi="Times New Roman" w:cs="Times New Roman"/>
                <w:sz w:val="24"/>
              </w:rPr>
              <w:t xml:space="preserve">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 xml:space="preserve">4.120.491,55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4.092.098,65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4.181.465,36 </w:t>
            </w:r>
          </w:p>
        </w:tc>
      </w:tr>
      <w:tr w:rsidR="00025683">
        <w:trPr>
          <w:trHeight w:val="574"/>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 xml:space="preserve">TRANSFERENCIAS CORRIENTES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3" w:firstLine="0"/>
              <w:jc w:val="right"/>
            </w:pPr>
            <w:r>
              <w:rPr>
                <w:sz w:val="18"/>
              </w:rPr>
              <w:t>12.379.474,71</w:t>
            </w:r>
            <w:r>
              <w:rPr>
                <w:rFonts w:ascii="Times New Roman" w:eastAsia="Times New Roman" w:hAnsi="Times New Roman" w:cs="Times New Roman"/>
                <w:sz w:val="24"/>
              </w:rPr>
              <w:t xml:space="preserve">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 xml:space="preserve">14.741.278,21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15.058.943,71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15.270.838,58 </w:t>
            </w:r>
          </w:p>
        </w:tc>
      </w:tr>
      <w:tr w:rsidR="00025683">
        <w:trPr>
          <w:trHeight w:val="478"/>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INGRESOS PATRIMONIALES</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 xml:space="preserve">428.000,00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2" w:firstLine="0"/>
              <w:jc w:val="right"/>
            </w:pPr>
            <w:r>
              <w:rPr>
                <w:sz w:val="18"/>
              </w:rPr>
              <w:t xml:space="preserve">353.917,84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4" w:firstLine="0"/>
              <w:jc w:val="right"/>
            </w:pPr>
            <w:r>
              <w:rPr>
                <w:sz w:val="18"/>
              </w:rPr>
              <w:t xml:space="preserve">280.757,31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208.552,27 </w:t>
            </w:r>
          </w:p>
        </w:tc>
      </w:tr>
      <w:tr w:rsidR="00025683">
        <w:trPr>
          <w:trHeight w:val="516"/>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TRANSFERENCIAS DE CAPITAL</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3" w:firstLine="0"/>
              <w:jc w:val="right"/>
            </w:pPr>
            <w:r>
              <w:rPr>
                <w:sz w:val="18"/>
              </w:rPr>
              <w:t xml:space="preserve">2.573.500,57 </w:t>
            </w:r>
          </w:p>
        </w:tc>
        <w:tc>
          <w:tcPr>
            <w:tcW w:w="1694"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1" w:firstLine="0"/>
              <w:jc w:val="right"/>
            </w:pPr>
            <w:r>
              <w:rPr>
                <w:sz w:val="18"/>
              </w:rPr>
              <w:t xml:space="preserve">2.733.999,46 </w:t>
            </w:r>
          </w:p>
        </w:tc>
        <w:tc>
          <w:tcPr>
            <w:tcW w:w="1700"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2.920.649,84 </w:t>
            </w:r>
          </w:p>
        </w:tc>
        <w:tc>
          <w:tcPr>
            <w:tcW w:w="1851" w:type="dxa"/>
            <w:tcBorders>
              <w:top w:val="single" w:sz="2" w:space="0" w:color="000000"/>
              <w:left w:val="single" w:sz="2" w:space="0" w:color="000000"/>
              <w:bottom w:val="single" w:sz="2" w:space="0" w:color="000000"/>
              <w:right w:val="single" w:sz="2" w:space="0" w:color="000000"/>
            </w:tcBorders>
            <w:vAlign w:val="center"/>
          </w:tcPr>
          <w:p w:rsidR="00025683" w:rsidRDefault="007C2AAB">
            <w:pPr>
              <w:spacing w:after="0" w:line="259" w:lineRule="auto"/>
              <w:ind w:left="0" w:right="55" w:firstLine="0"/>
              <w:jc w:val="right"/>
            </w:pPr>
            <w:r>
              <w:rPr>
                <w:sz w:val="18"/>
              </w:rPr>
              <w:t xml:space="preserve">3.110.384,97 </w:t>
            </w:r>
          </w:p>
        </w:tc>
      </w:tr>
      <w:tr w:rsidR="00025683">
        <w:trPr>
          <w:trHeight w:val="478"/>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ACTIVOS FINANCIEROS</w:t>
            </w:r>
            <w:r>
              <w:rPr>
                <w:rFonts w:ascii="Times New Roman" w:eastAsia="Times New Roman" w:hAnsi="Times New Roman" w:cs="Times New Roman"/>
                <w:sz w:val="24"/>
              </w:rPr>
              <w:t xml:space="preserve"> </w:t>
            </w:r>
          </w:p>
        </w:tc>
        <w:tc>
          <w:tcPr>
            <w:tcW w:w="158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694"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0,00 </w:t>
            </w:r>
          </w:p>
        </w:tc>
        <w:tc>
          <w:tcPr>
            <w:tcW w:w="185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0,00 </w:t>
            </w:r>
          </w:p>
        </w:tc>
      </w:tr>
      <w:tr w:rsidR="00025683">
        <w:trPr>
          <w:trHeight w:val="516"/>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center"/>
            </w:pPr>
            <w:r>
              <w:rPr>
                <w:sz w:val="16"/>
              </w:rPr>
              <w:t xml:space="preserve">PASIVOS FINANCIEROS </w:t>
            </w:r>
          </w:p>
        </w:tc>
        <w:tc>
          <w:tcPr>
            <w:tcW w:w="158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694"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0,00 </w:t>
            </w:r>
          </w:p>
        </w:tc>
        <w:tc>
          <w:tcPr>
            <w:tcW w:w="185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0,00 </w:t>
            </w:r>
          </w:p>
        </w:tc>
      </w:tr>
      <w:tr w:rsidR="00025683">
        <w:trPr>
          <w:trHeight w:val="320"/>
        </w:trPr>
        <w:tc>
          <w:tcPr>
            <w:tcW w:w="1658"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48" w:firstLine="0"/>
              <w:jc w:val="center"/>
            </w:pPr>
            <w:r>
              <w:rPr>
                <w:sz w:val="18"/>
              </w:rPr>
              <w:t xml:space="preserve"> </w:t>
            </w:r>
          </w:p>
        </w:tc>
        <w:tc>
          <w:tcPr>
            <w:tcW w:w="158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3" w:firstLine="0"/>
              <w:jc w:val="right"/>
            </w:pPr>
            <w:r>
              <w:rPr>
                <w:sz w:val="18"/>
              </w:rPr>
              <w:t>36.572.080,28</w:t>
            </w:r>
            <w:r>
              <w:rPr>
                <w:rFonts w:ascii="Times New Roman" w:eastAsia="Times New Roman" w:hAnsi="Times New Roman" w:cs="Times New Roman"/>
                <w:sz w:val="24"/>
              </w:rPr>
              <w:t xml:space="preserve"> </w:t>
            </w:r>
          </w:p>
        </w:tc>
        <w:tc>
          <w:tcPr>
            <w:tcW w:w="1694"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2" w:firstLine="0"/>
              <w:jc w:val="right"/>
            </w:pPr>
            <w:r>
              <w:rPr>
                <w:sz w:val="18"/>
              </w:rPr>
              <w:t>39.423.571,09</w:t>
            </w:r>
            <w:r>
              <w:rPr>
                <w:rFonts w:ascii="Times New Roman" w:eastAsia="Times New Roman" w:hAnsi="Times New Roman" w:cs="Times New Roman"/>
                <w:sz w:val="24"/>
              </w:rPr>
              <w:t xml:space="preserve"> </w:t>
            </w:r>
          </w:p>
        </w:tc>
        <w:tc>
          <w:tcPr>
            <w:tcW w:w="170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5" w:firstLine="0"/>
              <w:jc w:val="right"/>
            </w:pPr>
            <w:r>
              <w:rPr>
                <w:sz w:val="18"/>
              </w:rPr>
              <w:t xml:space="preserve">40.241.614,59 </w:t>
            </w:r>
          </w:p>
        </w:tc>
        <w:tc>
          <w:tcPr>
            <w:tcW w:w="1851"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5" w:firstLine="0"/>
              <w:jc w:val="right"/>
            </w:pPr>
            <w:r>
              <w:rPr>
                <w:sz w:val="18"/>
              </w:rPr>
              <w:t xml:space="preserve">41.095.571,79 </w:t>
            </w:r>
          </w:p>
        </w:tc>
      </w:tr>
    </w:tbl>
    <w:p w:rsidR="00025683" w:rsidRDefault="007C2AAB">
      <w:pPr>
        <w:spacing w:after="0" w:line="259" w:lineRule="auto"/>
        <w:ind w:left="14" w:firstLine="0"/>
        <w:jc w:val="left"/>
      </w:pPr>
      <w:r>
        <w:rPr>
          <w:sz w:val="20"/>
        </w:rPr>
        <w:t xml:space="preserve"> </w:t>
      </w:r>
    </w:p>
    <w:tbl>
      <w:tblPr>
        <w:tblStyle w:val="TableGrid"/>
        <w:tblW w:w="8224" w:type="dxa"/>
        <w:tblInd w:w="72" w:type="dxa"/>
        <w:tblCellMar>
          <w:top w:w="51" w:type="dxa"/>
          <w:left w:w="58" w:type="dxa"/>
          <w:bottom w:w="58" w:type="dxa"/>
          <w:right w:w="0" w:type="dxa"/>
        </w:tblCellMar>
        <w:tblLook w:val="04A0" w:firstRow="1" w:lastRow="0" w:firstColumn="1" w:lastColumn="0" w:noHBand="0" w:noVBand="1"/>
      </w:tblPr>
      <w:tblGrid>
        <w:gridCol w:w="1701"/>
        <w:gridCol w:w="1561"/>
        <w:gridCol w:w="1560"/>
        <w:gridCol w:w="1700"/>
        <w:gridCol w:w="1702"/>
      </w:tblGrid>
      <w:tr w:rsidR="00025683">
        <w:trPr>
          <w:trHeight w:val="737"/>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b/>
                <w:sz w:val="18"/>
              </w:rPr>
              <w:t xml:space="preserve">GASTOS </w:t>
            </w:r>
          </w:p>
        </w:tc>
        <w:tc>
          <w:tcPr>
            <w:tcW w:w="1561"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43" w:firstLine="0"/>
            </w:pPr>
            <w:r>
              <w:rPr>
                <w:b/>
                <w:sz w:val="18"/>
              </w:rPr>
              <w:t xml:space="preserve">PRESUPUESTO </w:t>
            </w:r>
          </w:p>
          <w:p w:rsidR="00025683" w:rsidRDefault="007C2AAB">
            <w:pPr>
              <w:spacing w:after="0" w:line="259" w:lineRule="auto"/>
              <w:ind w:left="0" w:right="59" w:firstLine="0"/>
              <w:jc w:val="center"/>
            </w:pPr>
            <w:r>
              <w:rPr>
                <w:b/>
                <w:sz w:val="18"/>
              </w:rPr>
              <w:t xml:space="preserve">2026 </w:t>
            </w:r>
          </w:p>
        </w:tc>
        <w:tc>
          <w:tcPr>
            <w:tcW w:w="156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7" w:firstLine="0"/>
              <w:jc w:val="center"/>
            </w:pPr>
            <w:r>
              <w:rPr>
                <w:b/>
                <w:sz w:val="18"/>
              </w:rPr>
              <w:t xml:space="preserve">PREVISIÓN </w:t>
            </w:r>
          </w:p>
          <w:p w:rsidR="00025683" w:rsidRDefault="007C2AAB">
            <w:pPr>
              <w:spacing w:after="0" w:line="259" w:lineRule="auto"/>
              <w:ind w:left="43" w:firstLine="0"/>
            </w:pPr>
            <w:r>
              <w:rPr>
                <w:b/>
                <w:sz w:val="18"/>
              </w:rPr>
              <w:t xml:space="preserve">PRESUPUESTO </w:t>
            </w:r>
          </w:p>
          <w:p w:rsidR="00025683" w:rsidRDefault="007C2AAB">
            <w:pPr>
              <w:spacing w:after="0" w:line="259" w:lineRule="auto"/>
              <w:ind w:left="0" w:right="58" w:firstLine="0"/>
              <w:jc w:val="center"/>
            </w:pPr>
            <w:r>
              <w:rPr>
                <w:b/>
                <w:sz w:val="18"/>
              </w:rPr>
              <w:t xml:space="preserve">2027 </w:t>
            </w:r>
          </w:p>
        </w:tc>
        <w:tc>
          <w:tcPr>
            <w:tcW w:w="170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8" w:firstLine="0"/>
              <w:jc w:val="center"/>
            </w:pPr>
            <w:r>
              <w:rPr>
                <w:b/>
                <w:sz w:val="18"/>
              </w:rPr>
              <w:t xml:space="preserve">PREVISIÓN </w:t>
            </w:r>
          </w:p>
          <w:p w:rsidR="00025683" w:rsidRDefault="007C2AAB">
            <w:pPr>
              <w:spacing w:after="0" w:line="259" w:lineRule="auto"/>
              <w:ind w:left="113" w:firstLine="0"/>
              <w:jc w:val="left"/>
            </w:pPr>
            <w:r>
              <w:rPr>
                <w:b/>
                <w:sz w:val="18"/>
              </w:rPr>
              <w:t xml:space="preserve">PRESUPUESTO </w:t>
            </w:r>
          </w:p>
          <w:p w:rsidR="00025683" w:rsidRDefault="007C2AAB">
            <w:pPr>
              <w:spacing w:after="0" w:line="259" w:lineRule="auto"/>
              <w:ind w:left="0" w:right="53" w:firstLine="0"/>
              <w:jc w:val="center"/>
            </w:pPr>
            <w:r>
              <w:rPr>
                <w:b/>
                <w:sz w:val="18"/>
              </w:rPr>
              <w:t xml:space="preserve">2028 </w:t>
            </w:r>
          </w:p>
        </w:tc>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42" w:line="242" w:lineRule="auto"/>
              <w:ind w:left="0" w:firstLine="0"/>
              <w:jc w:val="center"/>
            </w:pPr>
            <w:r>
              <w:rPr>
                <w:b/>
                <w:sz w:val="18"/>
              </w:rPr>
              <w:t xml:space="preserve">PREVISIÓN PRESUPUESTO </w:t>
            </w:r>
          </w:p>
          <w:p w:rsidR="00025683" w:rsidRDefault="007C2AAB">
            <w:pPr>
              <w:spacing w:after="0" w:line="259" w:lineRule="auto"/>
              <w:ind w:left="0" w:right="52" w:firstLine="0"/>
              <w:jc w:val="center"/>
            </w:pPr>
            <w:r>
              <w:rPr>
                <w:b/>
                <w:sz w:val="18"/>
              </w:rPr>
              <w:t>2029</w:t>
            </w:r>
            <w:r>
              <w:rPr>
                <w:rFonts w:ascii="Times New Roman" w:eastAsia="Times New Roman" w:hAnsi="Times New Roman" w:cs="Times New Roman"/>
                <w:sz w:val="24"/>
              </w:rPr>
              <w:t xml:space="preserve"> </w:t>
            </w:r>
          </w:p>
        </w:tc>
      </w:tr>
      <w:tr w:rsidR="00025683">
        <w:trPr>
          <w:trHeight w:val="478"/>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tabs>
                <w:tab w:val="right" w:pos="1644"/>
              </w:tabs>
              <w:spacing w:after="0" w:line="259" w:lineRule="auto"/>
              <w:ind w:left="0" w:firstLine="0"/>
              <w:jc w:val="left"/>
            </w:pPr>
            <w:r>
              <w:rPr>
                <w:sz w:val="16"/>
              </w:rPr>
              <w:t xml:space="preserve">GASTOS </w:t>
            </w:r>
            <w:r>
              <w:rPr>
                <w:sz w:val="16"/>
              </w:rPr>
              <w:tab/>
              <w:t xml:space="preserve">DE </w:t>
            </w:r>
          </w:p>
          <w:p w:rsidR="00025683" w:rsidRDefault="007C2AAB">
            <w:pPr>
              <w:spacing w:after="0" w:line="259" w:lineRule="auto"/>
              <w:ind w:left="0" w:firstLine="0"/>
              <w:jc w:val="left"/>
            </w:pPr>
            <w:r>
              <w:rPr>
                <w:sz w:val="16"/>
              </w:rPr>
              <w:t xml:space="preserve">PERSONAL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16.861.564,55</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17.704.642,78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18.058.735,63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3" w:firstLine="0"/>
              <w:jc w:val="right"/>
            </w:pPr>
            <w:r>
              <w:rPr>
                <w:sz w:val="18"/>
              </w:rPr>
              <w:t>18.419.910,34</w:t>
            </w:r>
            <w:r>
              <w:rPr>
                <w:rFonts w:ascii="Times New Roman" w:eastAsia="Times New Roman" w:hAnsi="Times New Roman" w:cs="Times New Roman"/>
                <w:sz w:val="24"/>
              </w:rPr>
              <w:t xml:space="preserve"> </w:t>
            </w:r>
          </w:p>
        </w:tc>
      </w:tr>
      <w:tr w:rsidR="00025683">
        <w:trPr>
          <w:trHeight w:val="662"/>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40" w:lineRule="auto"/>
              <w:ind w:left="0" w:firstLine="0"/>
            </w:pPr>
            <w:r>
              <w:rPr>
                <w:sz w:val="16"/>
              </w:rPr>
              <w:t xml:space="preserve">GASTOS EN BIENES CORRIENTES Y </w:t>
            </w:r>
          </w:p>
          <w:p w:rsidR="00025683" w:rsidRDefault="007C2AAB">
            <w:pPr>
              <w:spacing w:after="0" w:line="259" w:lineRule="auto"/>
              <w:ind w:left="0" w:firstLine="0"/>
              <w:jc w:val="left"/>
            </w:pPr>
            <w:r>
              <w:rPr>
                <w:sz w:val="16"/>
              </w:rPr>
              <w:t xml:space="preserve">SERVICIOS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16.207.207,72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16.578.634,77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16.815.838,97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3" w:firstLine="0"/>
              <w:jc w:val="right"/>
            </w:pPr>
            <w:r>
              <w:rPr>
                <w:sz w:val="18"/>
              </w:rPr>
              <w:t xml:space="preserve">17.077.362,84 </w:t>
            </w:r>
          </w:p>
        </w:tc>
      </w:tr>
      <w:tr w:rsidR="00025683">
        <w:trPr>
          <w:trHeight w:val="478"/>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GASTOS </w:t>
            </w:r>
          </w:p>
          <w:p w:rsidR="00025683" w:rsidRDefault="007C2AAB">
            <w:pPr>
              <w:spacing w:after="0" w:line="259" w:lineRule="auto"/>
              <w:ind w:left="0" w:firstLine="0"/>
              <w:jc w:val="left"/>
            </w:pPr>
            <w:r>
              <w:rPr>
                <w:sz w:val="16"/>
              </w:rPr>
              <w:t xml:space="preserve">FINANCIEROS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80.000,00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80.000,00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80.000,00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3" w:firstLine="0"/>
              <w:jc w:val="right"/>
            </w:pPr>
            <w:r>
              <w:rPr>
                <w:sz w:val="18"/>
              </w:rPr>
              <w:t xml:space="preserve">80.000,00 </w:t>
            </w:r>
          </w:p>
        </w:tc>
      </w:tr>
      <w:tr w:rsidR="00025683">
        <w:trPr>
          <w:trHeight w:val="478"/>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TRANSFERENCIAS CORRIENTES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2.822.260,60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 xml:space="preserve">4.418.822,43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4.612.052,51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3" w:firstLine="0"/>
              <w:jc w:val="right"/>
            </w:pPr>
            <w:r>
              <w:rPr>
                <w:sz w:val="18"/>
              </w:rPr>
              <w:t xml:space="preserve">4.808.601,58 </w:t>
            </w:r>
          </w:p>
        </w:tc>
      </w:tr>
      <w:tr w:rsidR="00025683">
        <w:trPr>
          <w:trHeight w:val="480"/>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INVERSIONES REALES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5" w:firstLine="0"/>
              <w:jc w:val="right"/>
            </w:pPr>
            <w:r>
              <w:rPr>
                <w:sz w:val="18"/>
              </w:rPr>
              <w:t>600.254,34</w:t>
            </w:r>
            <w:r>
              <w:rPr>
                <w:rFonts w:ascii="Times New Roman" w:eastAsia="Times New Roman" w:hAnsi="Times New Roman" w:cs="Times New Roman"/>
                <w:sz w:val="24"/>
              </w:rPr>
              <w:t xml:space="preserve">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4" w:firstLine="0"/>
              <w:jc w:val="right"/>
            </w:pPr>
            <w:r>
              <w:rPr>
                <w:sz w:val="18"/>
              </w:rPr>
              <w:t xml:space="preserve">641.471,11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674.987,48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2" w:firstLine="0"/>
              <w:jc w:val="right"/>
            </w:pPr>
            <w:r>
              <w:rPr>
                <w:sz w:val="18"/>
              </w:rPr>
              <w:t xml:space="preserve">709.697,03 </w:t>
            </w:r>
          </w:p>
        </w:tc>
      </w:tr>
      <w:tr w:rsidR="00025683">
        <w:trPr>
          <w:trHeight w:val="480"/>
        </w:trPr>
        <w:tc>
          <w:tcPr>
            <w:tcW w:w="1702" w:type="dxa"/>
            <w:tcBorders>
              <w:top w:val="nil"/>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TRANSFERENCIAS DE CAPITAL </w:t>
            </w:r>
          </w:p>
        </w:tc>
        <w:tc>
          <w:tcPr>
            <w:tcW w:w="1561" w:type="dxa"/>
            <w:tcBorders>
              <w:top w:val="nil"/>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560" w:type="dxa"/>
            <w:tcBorders>
              <w:top w:val="nil"/>
              <w:left w:val="single" w:sz="2" w:space="0" w:color="000000"/>
              <w:bottom w:val="single" w:sz="2" w:space="0" w:color="000000"/>
              <w:right w:val="single" w:sz="2" w:space="0" w:color="000000"/>
            </w:tcBorders>
          </w:tcPr>
          <w:p w:rsidR="00025683" w:rsidRDefault="007C2AAB">
            <w:pPr>
              <w:spacing w:after="0" w:line="259" w:lineRule="auto"/>
              <w:ind w:left="0" w:right="51" w:firstLine="0"/>
              <w:jc w:val="right"/>
            </w:pPr>
            <w:r>
              <w:rPr>
                <w:sz w:val="18"/>
              </w:rPr>
              <w:t xml:space="preserve">0,00 </w:t>
            </w:r>
          </w:p>
        </w:tc>
        <w:tc>
          <w:tcPr>
            <w:tcW w:w="1700" w:type="dxa"/>
            <w:tcBorders>
              <w:top w:val="nil"/>
              <w:left w:val="single" w:sz="2" w:space="0" w:color="000000"/>
              <w:bottom w:val="single" w:sz="2" w:space="0" w:color="000000"/>
              <w:right w:val="single" w:sz="2" w:space="0" w:color="000000"/>
            </w:tcBorders>
          </w:tcPr>
          <w:p w:rsidR="00025683" w:rsidRDefault="007C2AAB">
            <w:pPr>
              <w:spacing w:after="0" w:line="259" w:lineRule="auto"/>
              <w:ind w:left="0" w:right="49" w:firstLine="0"/>
              <w:jc w:val="right"/>
            </w:pPr>
            <w:r>
              <w:rPr>
                <w:sz w:val="18"/>
              </w:rPr>
              <w:t xml:space="preserve">0,00 </w:t>
            </w:r>
          </w:p>
        </w:tc>
        <w:tc>
          <w:tcPr>
            <w:tcW w:w="1702" w:type="dxa"/>
            <w:tcBorders>
              <w:top w:val="nil"/>
              <w:left w:val="single" w:sz="2" w:space="0" w:color="000000"/>
              <w:bottom w:val="single" w:sz="2" w:space="0" w:color="000000"/>
              <w:right w:val="single" w:sz="2" w:space="0" w:color="000000"/>
            </w:tcBorders>
          </w:tcPr>
          <w:p w:rsidR="00025683" w:rsidRDefault="007C2AAB">
            <w:pPr>
              <w:spacing w:after="0" w:line="259" w:lineRule="auto"/>
              <w:ind w:left="0" w:right="49" w:firstLine="0"/>
              <w:jc w:val="right"/>
            </w:pPr>
            <w:r>
              <w:rPr>
                <w:sz w:val="18"/>
              </w:rPr>
              <w:t xml:space="preserve">0,00 </w:t>
            </w:r>
          </w:p>
        </w:tc>
      </w:tr>
      <w:tr w:rsidR="00025683">
        <w:trPr>
          <w:trHeight w:val="480"/>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ACTIVOS </w:t>
            </w:r>
          </w:p>
          <w:p w:rsidR="00025683" w:rsidRDefault="007C2AAB">
            <w:pPr>
              <w:spacing w:after="0" w:line="259" w:lineRule="auto"/>
              <w:ind w:left="0" w:firstLine="0"/>
              <w:jc w:val="left"/>
            </w:pPr>
            <w:r>
              <w:rPr>
                <w:sz w:val="16"/>
              </w:rPr>
              <w:t xml:space="preserve">FINANCIEROS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49" w:firstLine="0"/>
              <w:jc w:val="right"/>
            </w:pPr>
            <w:r>
              <w:rPr>
                <w:sz w:val="18"/>
              </w:rPr>
              <w:t xml:space="preserve">0,00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49" w:firstLine="0"/>
              <w:jc w:val="right"/>
            </w:pPr>
            <w:r>
              <w:rPr>
                <w:sz w:val="18"/>
              </w:rPr>
              <w:t xml:space="preserve">0,00 </w:t>
            </w:r>
          </w:p>
        </w:tc>
      </w:tr>
      <w:tr w:rsidR="00025683">
        <w:trPr>
          <w:trHeight w:val="478"/>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6"/>
              </w:rPr>
              <w:t xml:space="preserve">PASIVOS </w:t>
            </w:r>
          </w:p>
          <w:p w:rsidR="00025683" w:rsidRDefault="007C2AAB">
            <w:pPr>
              <w:spacing w:after="0" w:line="259" w:lineRule="auto"/>
              <w:ind w:left="0" w:firstLine="0"/>
              <w:jc w:val="left"/>
            </w:pPr>
            <w:r>
              <w:rPr>
                <w:sz w:val="16"/>
              </w:rPr>
              <w:t xml:space="preserve">FINANCIEROS </w:t>
            </w:r>
          </w:p>
        </w:tc>
        <w:tc>
          <w:tcPr>
            <w:tcW w:w="1561"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56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51" w:firstLine="0"/>
              <w:jc w:val="right"/>
            </w:pPr>
            <w:r>
              <w:rPr>
                <w:sz w:val="18"/>
              </w:rPr>
              <w:t xml:space="preserve">0,00 </w:t>
            </w:r>
          </w:p>
        </w:tc>
        <w:tc>
          <w:tcPr>
            <w:tcW w:w="1700"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49" w:firstLine="0"/>
              <w:jc w:val="right"/>
            </w:pPr>
            <w:r>
              <w:rPr>
                <w:sz w:val="18"/>
              </w:rPr>
              <w:t xml:space="preserve">0,00 </w:t>
            </w:r>
          </w:p>
        </w:tc>
        <w:tc>
          <w:tcPr>
            <w:tcW w:w="1702" w:type="dxa"/>
            <w:tcBorders>
              <w:top w:val="single" w:sz="2" w:space="0" w:color="000000"/>
              <w:left w:val="single" w:sz="2" w:space="0" w:color="000000"/>
              <w:bottom w:val="single" w:sz="2" w:space="0" w:color="000000"/>
              <w:right w:val="single" w:sz="2" w:space="0" w:color="000000"/>
            </w:tcBorders>
            <w:vAlign w:val="bottom"/>
          </w:tcPr>
          <w:p w:rsidR="00025683" w:rsidRDefault="007C2AAB">
            <w:pPr>
              <w:spacing w:after="0" w:line="259" w:lineRule="auto"/>
              <w:ind w:left="0" w:right="49" w:firstLine="0"/>
              <w:jc w:val="right"/>
            </w:pPr>
            <w:r>
              <w:rPr>
                <w:sz w:val="18"/>
              </w:rPr>
              <w:t xml:space="preserve">0,00 </w:t>
            </w:r>
          </w:p>
        </w:tc>
      </w:tr>
      <w:tr w:rsidR="00025683">
        <w:trPr>
          <w:trHeight w:val="322"/>
        </w:trPr>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firstLine="0"/>
              <w:jc w:val="left"/>
            </w:pPr>
            <w:r>
              <w:rPr>
                <w:sz w:val="18"/>
              </w:rPr>
              <w:t xml:space="preserve"> </w:t>
            </w:r>
          </w:p>
        </w:tc>
        <w:tc>
          <w:tcPr>
            <w:tcW w:w="1561"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2" w:firstLine="0"/>
              <w:jc w:val="right"/>
            </w:pPr>
            <w:r>
              <w:rPr>
                <w:sz w:val="18"/>
              </w:rPr>
              <w:t xml:space="preserve">36.571.287,21 </w:t>
            </w:r>
          </w:p>
        </w:tc>
        <w:tc>
          <w:tcPr>
            <w:tcW w:w="156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2" w:firstLine="0"/>
              <w:jc w:val="right"/>
            </w:pPr>
            <w:r>
              <w:rPr>
                <w:sz w:val="18"/>
              </w:rPr>
              <w:t xml:space="preserve">39.423.571,09 </w:t>
            </w:r>
          </w:p>
        </w:tc>
        <w:tc>
          <w:tcPr>
            <w:tcW w:w="1700"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49" w:firstLine="0"/>
              <w:jc w:val="right"/>
            </w:pPr>
            <w:r>
              <w:rPr>
                <w:sz w:val="18"/>
              </w:rPr>
              <w:t xml:space="preserve">40.241.614,59 </w:t>
            </w:r>
          </w:p>
        </w:tc>
        <w:tc>
          <w:tcPr>
            <w:tcW w:w="1702" w:type="dxa"/>
            <w:tcBorders>
              <w:top w:val="single" w:sz="2" w:space="0" w:color="000000"/>
              <w:left w:val="single" w:sz="2" w:space="0" w:color="000000"/>
              <w:bottom w:val="single" w:sz="2" w:space="0" w:color="000000"/>
              <w:right w:val="single" w:sz="2" w:space="0" w:color="000000"/>
            </w:tcBorders>
          </w:tcPr>
          <w:p w:rsidR="00025683" w:rsidRDefault="007C2AAB">
            <w:pPr>
              <w:spacing w:after="0" w:line="259" w:lineRule="auto"/>
              <w:ind w:left="0" w:right="50" w:firstLine="0"/>
              <w:jc w:val="right"/>
            </w:pPr>
            <w:r>
              <w:rPr>
                <w:sz w:val="18"/>
              </w:rPr>
              <w:t xml:space="preserve">41.095.571,79 </w:t>
            </w:r>
          </w:p>
        </w:tc>
      </w:tr>
    </w:tbl>
    <w:p w:rsidR="00025683" w:rsidRDefault="007C2AAB">
      <w:pPr>
        <w:spacing w:after="0" w:line="259" w:lineRule="auto"/>
        <w:ind w:left="722" w:firstLine="0"/>
        <w:jc w:val="left"/>
      </w:pPr>
      <w:r>
        <w:rPr>
          <w:b/>
        </w:rPr>
        <w:t xml:space="preserve"> </w:t>
      </w:r>
    </w:p>
    <w:p w:rsidR="00025683" w:rsidRDefault="007C2AAB">
      <w:pPr>
        <w:ind w:left="14" w:right="200"/>
      </w:pPr>
      <w:r>
        <w:rPr>
          <w:b/>
        </w:rPr>
        <w:t xml:space="preserve">OCTAVO: </w:t>
      </w:r>
      <w:r>
        <w:t>Dar traslado de dicho acuerdo al Ministerio de Haciendas y Administraciones Públicas a través de la plataforma telemática que habilita el propio Ministerio.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Times New Roman" w:eastAsia="Times New Roman" w:hAnsi="Times New Roman" w:cs="Times New Roman"/>
          <w:b/>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sz w:val="24"/>
        </w:rPr>
        <w:t xml:space="preserve"> </w:t>
      </w:r>
    </w:p>
    <w:tbl>
      <w:tblPr>
        <w:tblStyle w:val="TableGrid"/>
        <w:tblW w:w="9357" w:type="dxa"/>
        <w:tblInd w:w="14" w:type="dxa"/>
        <w:tblCellMar>
          <w:top w:w="10" w:type="dxa"/>
          <w:left w:w="0" w:type="dxa"/>
          <w:bottom w:w="0" w:type="dxa"/>
          <w:right w:w="0" w:type="dxa"/>
        </w:tblCellMar>
        <w:tblLook w:val="04A0" w:firstRow="1" w:lastRow="0" w:firstColumn="1" w:lastColumn="0" w:noHBand="0" w:noVBand="1"/>
      </w:tblPr>
      <w:tblGrid>
        <w:gridCol w:w="4824"/>
        <w:gridCol w:w="4533"/>
      </w:tblGrid>
      <w:tr w:rsidR="00025683">
        <w:trPr>
          <w:trHeight w:val="326"/>
        </w:trPr>
        <w:tc>
          <w:tcPr>
            <w:tcW w:w="9357" w:type="dxa"/>
            <w:gridSpan w:val="2"/>
            <w:tcBorders>
              <w:top w:val="nil"/>
              <w:left w:val="nil"/>
              <w:bottom w:val="nil"/>
              <w:right w:val="nil"/>
            </w:tcBorders>
            <w:shd w:val="clear" w:color="auto" w:fill="F5F7F9"/>
          </w:tcPr>
          <w:p w:rsidR="00025683" w:rsidRDefault="007C2AAB">
            <w:pPr>
              <w:spacing w:after="0" w:line="259" w:lineRule="auto"/>
              <w:ind w:left="0" w:firstLine="0"/>
            </w:pPr>
            <w:r>
              <w:rPr>
                <w:b/>
                <w:sz w:val="28"/>
              </w:rPr>
              <w:t xml:space="preserve">2. </w:t>
            </w:r>
            <w:r>
              <w:rPr>
                <w:b/>
                <w:sz w:val="28"/>
                <w:u w:val="single" w:color="000000"/>
              </w:rPr>
              <w:t>Expediente 11933/2025</w:t>
            </w:r>
            <w:r>
              <w:rPr>
                <w:b/>
                <w:sz w:val="28"/>
              </w:rPr>
              <w:t xml:space="preserve">. Aprobación de la revocación a EPELCAN de </w:t>
            </w:r>
          </w:p>
        </w:tc>
      </w:tr>
      <w:tr w:rsidR="00025683">
        <w:trPr>
          <w:trHeight w:val="322"/>
        </w:trPr>
        <w:tc>
          <w:tcPr>
            <w:tcW w:w="9357" w:type="dxa"/>
            <w:gridSpan w:val="2"/>
            <w:tcBorders>
              <w:top w:val="nil"/>
              <w:left w:val="nil"/>
              <w:bottom w:val="nil"/>
              <w:right w:val="nil"/>
            </w:tcBorders>
            <w:shd w:val="clear" w:color="auto" w:fill="F5F7F9"/>
          </w:tcPr>
          <w:p w:rsidR="00025683" w:rsidRDefault="007C2AAB">
            <w:pPr>
              <w:spacing w:after="0" w:line="259" w:lineRule="auto"/>
              <w:ind w:left="0" w:firstLine="0"/>
            </w:pPr>
            <w:r>
              <w:rPr>
                <w:b/>
                <w:sz w:val="28"/>
              </w:rPr>
              <w:t xml:space="preserve">la encomienda de gestión de la conserjería en edificios municipales, </w:t>
            </w:r>
          </w:p>
        </w:tc>
      </w:tr>
      <w:tr w:rsidR="00025683">
        <w:trPr>
          <w:trHeight w:val="326"/>
        </w:trPr>
        <w:tc>
          <w:tcPr>
            <w:tcW w:w="4824" w:type="dxa"/>
            <w:tcBorders>
              <w:top w:val="nil"/>
              <w:left w:val="nil"/>
              <w:bottom w:val="nil"/>
              <w:right w:val="nil"/>
            </w:tcBorders>
            <w:shd w:val="clear" w:color="auto" w:fill="F5F7F9"/>
          </w:tcPr>
          <w:p w:rsidR="00025683" w:rsidRDefault="007C2AAB">
            <w:pPr>
              <w:spacing w:after="0" w:line="259" w:lineRule="auto"/>
              <w:ind w:left="0" w:right="-1" w:firstLine="0"/>
            </w:pPr>
            <w:r>
              <w:rPr>
                <w:b/>
                <w:sz w:val="28"/>
              </w:rPr>
              <w:t>en favor de la Concejalía</w:t>
            </w:r>
            <w:r>
              <w:rPr>
                <w:b/>
                <w:color w:val="2F3E4D"/>
                <w:sz w:val="28"/>
              </w:rPr>
              <w:t xml:space="preserve"> de Cultura.</w:t>
            </w:r>
          </w:p>
        </w:tc>
        <w:tc>
          <w:tcPr>
            <w:tcW w:w="4532" w:type="dxa"/>
            <w:tcBorders>
              <w:top w:val="nil"/>
              <w:left w:val="nil"/>
              <w:bottom w:val="nil"/>
              <w:right w:val="nil"/>
            </w:tcBorders>
          </w:tcPr>
          <w:p w:rsidR="00025683" w:rsidRDefault="007C2AAB">
            <w:pPr>
              <w:spacing w:after="0" w:line="259" w:lineRule="auto"/>
              <w:ind w:left="0" w:firstLine="0"/>
              <w:jc w:val="left"/>
            </w:pPr>
            <w:r>
              <w:rPr>
                <w:rFonts w:ascii="Times New Roman" w:eastAsia="Times New Roman" w:hAnsi="Times New Roman" w:cs="Times New Roman"/>
                <w:sz w:val="28"/>
              </w:rPr>
              <w:t xml:space="preserve"> </w:t>
            </w:r>
          </w:p>
        </w:tc>
      </w:tr>
    </w:tbl>
    <w:p w:rsidR="00025683" w:rsidRDefault="007C2AAB">
      <w:pPr>
        <w:spacing w:after="98" w:line="259" w:lineRule="auto"/>
        <w:ind w:left="14" w:firstLine="0"/>
        <w:jc w:val="left"/>
      </w:pPr>
      <w:r>
        <w:rPr>
          <w:b/>
          <w:color w:val="FF0000"/>
        </w:rPr>
        <w:t xml:space="preserve"> </w:t>
      </w:r>
    </w:p>
    <w:p w:rsidR="00025683" w:rsidRDefault="007C2AAB">
      <w:pPr>
        <w:spacing w:after="12"/>
        <w:ind w:left="14" w:right="197"/>
      </w:pPr>
      <w:r>
        <w:rPr>
          <w:b/>
          <w:color w:val="FF0000"/>
        </w:rPr>
        <w:t xml:space="preserve">      </w:t>
      </w:r>
      <w:r>
        <w:rPr>
          <w:b/>
        </w:rPr>
        <w:t>Consta en el expediente propuesta del Concejal delegado de Cultura, Identidad Canaria, Patrimonio Histórico, Fiestas y Deportes, de fecha 01 de diciembre de 2025, que transcrito literalmente dice: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34" w:line="259" w:lineRule="auto"/>
        <w:ind w:left="14" w:firstLine="0"/>
        <w:jc w:val="left"/>
      </w:pPr>
      <w:r>
        <w:t xml:space="preserve"> </w:t>
      </w:r>
    </w:p>
    <w:p w:rsidR="00025683" w:rsidRDefault="007C2AAB">
      <w:pPr>
        <w:spacing w:after="103" w:line="259" w:lineRule="auto"/>
        <w:ind w:left="0" w:right="197" w:firstLine="0"/>
        <w:jc w:val="center"/>
      </w:pPr>
      <w:r>
        <w:rPr>
          <w:b/>
          <w:u w:val="single" w:color="000000"/>
        </w:rPr>
        <w:t>“PROPUESTA DEL CONCEJAL DELEGADO DE CULTURA</w:t>
      </w:r>
      <w:r>
        <w:rPr>
          <w:b/>
        </w:rPr>
        <w:t xml:space="preserve"> </w:t>
      </w:r>
    </w:p>
    <w:p w:rsidR="00025683" w:rsidRDefault="007C2AAB">
      <w:pPr>
        <w:spacing w:after="98" w:line="259" w:lineRule="auto"/>
        <w:ind w:left="0" w:right="133" w:firstLine="0"/>
        <w:jc w:val="center"/>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8937" name="Group 37893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53" name="Rectangle 5353"/>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354" name="Rectangle 5354"/>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355" name="Rectangle 5355"/>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8937" style="width:18.7031pt;height:260.874pt;position:absolute;mso-position-horizontal-relative:page;mso-position-horizontal:absolute;margin-left:662.928pt;mso-position-vertical-relative:page;margin-top:512.046pt;" coordsize="2375,33130">
                <v:rect id="Rectangle 5353"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35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35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350 </w:t>
                        </w:r>
                      </w:p>
                    </w:txbxContent>
                  </v:textbox>
                </v:rect>
                <w10:wrap type="square"/>
              </v:group>
            </w:pict>
          </mc:Fallback>
        </mc:AlternateContent>
      </w:r>
      <w:r>
        <w:t xml:space="preserve"> </w:t>
      </w:r>
    </w:p>
    <w:p w:rsidR="00025683" w:rsidRDefault="007C2AAB">
      <w:pPr>
        <w:ind w:left="14" w:right="200"/>
      </w:pPr>
      <w:r>
        <w:t>D. Manuel Alberto González Pestano que es Concejal delegado</w:t>
      </w:r>
      <w:r>
        <w:t xml:space="preserve"> de Cultura, Identidad Canaria, Patrimonio Histórico, Fiestas y Deportes según Decreto 1779/2023, de 20 de junio y ostenta según dicha resolución en la tramitación y resolución de los expedientes sobre los espectáculos públicos, en atribución a su delegaci</w:t>
      </w:r>
      <w:r>
        <w:t xml:space="preserve">ón expone: </w:t>
      </w:r>
    </w:p>
    <w:p w:rsidR="00025683" w:rsidRDefault="007C2AAB">
      <w:pPr>
        <w:spacing w:after="0" w:line="259" w:lineRule="auto"/>
        <w:ind w:left="14" w:firstLine="0"/>
        <w:jc w:val="left"/>
      </w:pPr>
      <w:r>
        <w:rPr>
          <w:sz w:val="24"/>
        </w:rPr>
        <w:t xml:space="preserve"> </w:t>
      </w:r>
    </w:p>
    <w:p w:rsidR="00025683" w:rsidRDefault="007C2AAB">
      <w:pPr>
        <w:ind w:left="14" w:right="200"/>
      </w:pPr>
      <w:r>
        <w:t xml:space="preserve">Resultando que desde la Concejalía de Cultura se realiza toda la preparación, gestión y los procedimientos administrativos de la red de espacios culturales municipales. </w:t>
      </w:r>
    </w:p>
    <w:p w:rsidR="00025683" w:rsidRDefault="007C2AAB">
      <w:pPr>
        <w:spacing w:after="0" w:line="259" w:lineRule="auto"/>
        <w:ind w:left="14" w:firstLine="0"/>
        <w:jc w:val="left"/>
      </w:pPr>
      <w:r>
        <w:t xml:space="preserve"> </w:t>
      </w:r>
    </w:p>
    <w:p w:rsidR="00025683" w:rsidRDefault="007C2AAB">
      <w:pPr>
        <w:ind w:left="14" w:right="200"/>
      </w:pPr>
      <w:r>
        <w:t xml:space="preserve">Resultando que la figura del conserje de las instalaciones forma parte de la estructura de personal de la Concejalía de Cultura y que ésta realiza toda la gestión de la conserjería de los espacios culturales por lo que tener al personal en la misma unidad </w:t>
      </w:r>
      <w:r>
        <w:t xml:space="preserve">administrativa mejoraría la eficiencia de los recursos, al optimizar los procesos y favorecer la coordinación interna para brindar un mejor servicio a la ciudadanía. </w:t>
      </w:r>
    </w:p>
    <w:p w:rsidR="00025683" w:rsidRDefault="007C2AAB">
      <w:pPr>
        <w:spacing w:after="0" w:line="259" w:lineRule="auto"/>
        <w:ind w:left="14" w:firstLine="0"/>
        <w:jc w:val="left"/>
      </w:pPr>
      <w:r>
        <w:t xml:space="preserve"> </w:t>
      </w:r>
    </w:p>
    <w:p w:rsidR="00025683" w:rsidRDefault="007C2AAB">
      <w:pPr>
        <w:ind w:left="14" w:right="200"/>
      </w:pPr>
      <w:r>
        <w:t>Resultando que, en la actualidad, el único empleado objeto, de la entidad pública empre</w:t>
      </w:r>
      <w:r>
        <w:t>sarial de gestión de empresas y servicio públicos de la Villa de Candelaria (EPELCAN), de la presente encomienda es Ana Belén Perera Núñez, quien, habiendo superado el correspondiente proceso de estabilización, anunciado en BOP del día 13 de noviembre de 2</w:t>
      </w:r>
      <w:r>
        <w:t xml:space="preserve">024, se le asigna la plaza laboral de Conserje-Recepcionista </w:t>
      </w:r>
      <w:r>
        <w:rPr>
          <w:rFonts w:ascii="Times New Roman" w:eastAsia="Times New Roman" w:hAnsi="Times New Roman" w:cs="Times New Roman"/>
          <w:sz w:val="24"/>
        </w:rPr>
        <w:t xml:space="preserve"> </w:t>
      </w:r>
    </w:p>
    <w:p w:rsidR="00025683" w:rsidRDefault="007C2AAB">
      <w:pPr>
        <w:spacing w:after="179" w:line="259" w:lineRule="auto"/>
        <w:ind w:left="722" w:firstLine="0"/>
        <w:jc w:val="left"/>
      </w:pPr>
      <w:r>
        <w:t xml:space="preserve"> </w:t>
      </w:r>
    </w:p>
    <w:p w:rsidR="00025683" w:rsidRDefault="007C2AAB">
      <w:pPr>
        <w:spacing w:after="205"/>
        <w:ind w:left="14" w:right="200"/>
      </w:pPr>
      <w:r>
        <w:t xml:space="preserve">Resultando que, la relación de puestos de trabajo del Ayuntamiento de Candelaria recoge, la plaza laboral de Conserje-Ordenanza (ficha nº 60). </w:t>
      </w:r>
    </w:p>
    <w:p w:rsidR="00025683" w:rsidRDefault="007C2AAB">
      <w:pPr>
        <w:spacing w:after="12"/>
        <w:ind w:left="14" w:right="197"/>
      </w:pPr>
      <w:r>
        <w:rPr>
          <w:b/>
        </w:rPr>
        <w:t xml:space="preserve">Considerando lo anterior, se propone por parte </w:t>
      </w:r>
      <w:r>
        <w:rPr>
          <w:b/>
        </w:rPr>
        <w:t>de la Concejalía de Cultura</w:t>
      </w:r>
      <w:r>
        <w:t>:</w:t>
      </w:r>
      <w:r>
        <w:rPr>
          <w:rFonts w:ascii="Times New Roman" w:eastAsia="Times New Roman" w:hAnsi="Times New Roman" w:cs="Times New Roman"/>
          <w:sz w:val="24"/>
        </w:rPr>
        <w:t xml:space="preserve"> </w:t>
      </w:r>
    </w:p>
    <w:p w:rsidR="00025683" w:rsidRDefault="007C2AAB">
      <w:pPr>
        <w:spacing w:after="12" w:line="259" w:lineRule="auto"/>
        <w:ind w:left="14" w:firstLine="0"/>
        <w:jc w:val="left"/>
      </w:pPr>
      <w:r>
        <w:t xml:space="preserve"> </w:t>
      </w:r>
    </w:p>
    <w:p w:rsidR="00025683" w:rsidRDefault="007C2AAB">
      <w:pPr>
        <w:numPr>
          <w:ilvl w:val="0"/>
          <w:numId w:val="5"/>
        </w:numPr>
        <w:spacing w:after="95"/>
        <w:ind w:right="200" w:hanging="360"/>
      </w:pPr>
      <w:r>
        <w:t xml:space="preserve">Se convoque a la Junta de Gobierno Local para que, en virtud de la cláusula novena del convenio regulador, se apruebe la extinción en EPELCAN de la encomienda de gestión de la conserjería en edificios municipales, en favor de la Concejalía de Cultura. </w:t>
      </w:r>
      <w:r>
        <w:rPr>
          <w:rFonts w:ascii="Times New Roman" w:eastAsia="Times New Roman" w:hAnsi="Times New Roman" w:cs="Times New Roman"/>
          <w:sz w:val="24"/>
        </w:rPr>
        <w:t xml:space="preserve"> </w:t>
      </w:r>
    </w:p>
    <w:p w:rsidR="00025683" w:rsidRDefault="007C2AAB">
      <w:pPr>
        <w:spacing w:after="177" w:line="259" w:lineRule="auto"/>
        <w:ind w:left="734" w:firstLine="0"/>
        <w:jc w:val="left"/>
      </w:pPr>
      <w:r>
        <w:t xml:space="preserve"> </w:t>
      </w:r>
    </w:p>
    <w:p w:rsidR="00025683" w:rsidRDefault="007C2AAB">
      <w:pPr>
        <w:numPr>
          <w:ilvl w:val="0"/>
          <w:numId w:val="5"/>
        </w:numPr>
        <w:spacing w:after="190"/>
        <w:ind w:right="200" w:hanging="360"/>
      </w:pPr>
      <w:r>
        <w:t>Se dé traslado a la Concejalía de Personal para que realice la subrogación, desde el 1 de enero de 2026, como alta laboral en el Ayuntamiento de Candelaria de Ana Belén Perera Núñez, único empleado objeto del personal de la encomienda a extinguir en el pue</w:t>
      </w:r>
      <w:r>
        <w:t>sto que, por su titulación, desempeño y condición de laboral le correspondería al puesto de la ficha 60 Conserje-ordenanza de la RPT. Si la Junta de Gobierno Local no pudiera celebrarse anterior a la fecha, el alta laboral se realizaría tras su celebración</w:t>
      </w:r>
      <w:r>
        <w:t xml:space="preserve">, cuanto antes sea posible. </w:t>
      </w:r>
    </w:p>
    <w:p w:rsidR="00025683" w:rsidRDefault="007C2AAB">
      <w:pPr>
        <w:spacing w:after="214" w:line="259" w:lineRule="auto"/>
        <w:ind w:left="14" w:firstLine="0"/>
        <w:jc w:val="left"/>
      </w:pPr>
      <w:r>
        <w:t xml:space="preserve"> </w:t>
      </w:r>
    </w:p>
    <w:p w:rsidR="00025683" w:rsidRDefault="007C2AAB">
      <w:pPr>
        <w:numPr>
          <w:ilvl w:val="0"/>
          <w:numId w:val="5"/>
        </w:numPr>
        <w:spacing w:after="175"/>
        <w:ind w:right="200" w:hanging="360"/>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4154" name="Group 3741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92" name="Rectangle 5492"/>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493" name="Rectangle 5493"/>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494" name="Rectangle 5494"/>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4154" style="width:18.7031pt;height:260.874pt;position:absolute;mso-position-horizontal-relative:page;mso-position-horizontal:absolute;margin-left:662.928pt;mso-position-vertical-relative:page;margin-top:512.046pt;" coordsize="2375,33130">
                <v:rect id="Rectangle 5492"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49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49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350 </w:t>
                        </w:r>
                      </w:p>
                    </w:txbxContent>
                  </v:textbox>
                </v:rect>
                <w10:wrap type="square"/>
              </v:group>
            </w:pict>
          </mc:Fallback>
        </mc:AlternateContent>
      </w:r>
      <w:r>
        <w:t>Comunicar a la Intervención</w:t>
      </w:r>
      <w:r>
        <w:t xml:space="preserve"> Municipal la resolución del acuerdo al objeto de dejar sin efecto, la correspondiente aportación económica de la aplicación presupuestaria objeto de esta encomienda.</w:t>
      </w:r>
      <w:r>
        <w:rPr>
          <w:rFonts w:ascii="Times New Roman" w:eastAsia="Times New Roman" w:hAnsi="Times New Roman" w:cs="Times New Roman"/>
          <w:sz w:val="24"/>
        </w:rPr>
        <w:t xml:space="preserve"> </w:t>
      </w:r>
    </w:p>
    <w:p w:rsidR="00025683" w:rsidRDefault="007C2AAB">
      <w:pPr>
        <w:spacing w:after="213" w:line="259" w:lineRule="auto"/>
        <w:ind w:left="734" w:firstLine="0"/>
        <w:jc w:val="left"/>
      </w:pPr>
      <w:r>
        <w:t xml:space="preserve"> </w:t>
      </w:r>
    </w:p>
    <w:p w:rsidR="00025683" w:rsidRDefault="007C2AAB">
      <w:pPr>
        <w:numPr>
          <w:ilvl w:val="0"/>
          <w:numId w:val="5"/>
        </w:numPr>
        <w:spacing w:after="171"/>
        <w:ind w:right="200" w:hanging="360"/>
      </w:pPr>
      <w:r>
        <w:t xml:space="preserve">Se notifique a EPELCAN el resultado de dicho acuerdo al objeto de que se coordine con el área de personal del Ayuntamiento de Candelaria para tramitar   la baja del contrato del empleado con la entidad, en el momento de realizar el alta de la contratación </w:t>
      </w:r>
      <w:r>
        <w:t>con el Ayuntamiento. “.</w:t>
      </w:r>
      <w:r>
        <w:rPr>
          <w:rFonts w:ascii="Times New Roman" w:eastAsia="Times New Roman" w:hAnsi="Times New Roman" w:cs="Times New Roman"/>
          <w:sz w:val="24"/>
        </w:rPr>
        <w:t xml:space="preserve"> </w:t>
      </w:r>
    </w:p>
    <w:p w:rsidR="00025683" w:rsidRDefault="007C2AAB">
      <w:pPr>
        <w:spacing w:after="11" w:line="230" w:lineRule="auto"/>
        <w:ind w:left="14" w:right="9144" w:firstLine="0"/>
        <w:jc w:val="left"/>
      </w:pPr>
      <w:r>
        <w:rPr>
          <w:color w:val="FF0000"/>
        </w:rPr>
        <w:t xml:space="preserve"> </w:t>
      </w:r>
      <w:r>
        <w:rPr>
          <w:rFonts w:ascii="Times New Roman" w:eastAsia="Times New Roman" w:hAnsi="Times New Roman" w:cs="Times New Roman"/>
          <w:sz w:val="24"/>
        </w:rPr>
        <w:t xml:space="preserve"> </w:t>
      </w:r>
    </w:p>
    <w:p w:rsidR="00025683" w:rsidRDefault="007C2AAB">
      <w:pPr>
        <w:ind w:left="14" w:right="200"/>
      </w:pPr>
      <w:r>
        <w:t>Se eleva a esta propuesta al Pleno del Ayuntamiento, que resolverá como mejor proceda.</w:t>
      </w:r>
      <w:r>
        <w:rPr>
          <w:rFonts w:ascii="Times New Roman" w:eastAsia="Times New Roman" w:hAnsi="Times New Roman" w:cs="Times New Roman"/>
          <w:sz w:val="24"/>
        </w:rPr>
        <w:t xml:space="preserve"> </w:t>
      </w:r>
    </w:p>
    <w:p w:rsidR="00025683" w:rsidRDefault="007C2AAB">
      <w:pPr>
        <w:spacing w:after="95" w:line="259" w:lineRule="auto"/>
        <w:ind w:left="0" w:right="133" w:firstLine="0"/>
        <w:jc w:val="center"/>
      </w:pPr>
      <w:r>
        <w:t xml:space="preserve"> </w:t>
      </w:r>
    </w:p>
    <w:p w:rsidR="00025683" w:rsidRDefault="007C2AAB">
      <w:pPr>
        <w:spacing w:after="7" w:line="259" w:lineRule="auto"/>
        <w:ind w:left="722" w:firstLine="0"/>
        <w:jc w:val="left"/>
      </w:pPr>
      <w:r>
        <w:rPr>
          <w:b/>
        </w:rPr>
        <w:t xml:space="preserve"> </w:t>
      </w:r>
    </w:p>
    <w:p w:rsidR="00025683" w:rsidRDefault="007C2AAB">
      <w:pPr>
        <w:spacing w:after="20" w:line="259" w:lineRule="auto"/>
        <w:ind w:left="14" w:firstLine="0"/>
        <w:jc w:val="left"/>
      </w:pPr>
      <w:r>
        <w:rPr>
          <w:b/>
        </w:rPr>
        <w:t xml:space="preserve"> </w:t>
      </w:r>
      <w:r>
        <w:rPr>
          <w:b/>
          <w:sz w:val="24"/>
        </w:rPr>
        <w:t xml:space="preserve">  </w:t>
      </w:r>
    </w:p>
    <w:p w:rsidR="00025683" w:rsidRDefault="007C2AAB">
      <w:pPr>
        <w:spacing w:after="19" w:line="259" w:lineRule="auto"/>
        <w:ind w:left="14" w:firstLine="0"/>
        <w:jc w:val="left"/>
      </w:pPr>
      <w:r>
        <w:rPr>
          <w:b/>
          <w:sz w:val="24"/>
        </w:rPr>
        <w:t xml:space="preserve"> </w:t>
      </w:r>
    </w:p>
    <w:p w:rsidR="00025683" w:rsidRDefault="007C2AAB">
      <w:pPr>
        <w:spacing w:after="19" w:line="259" w:lineRule="auto"/>
        <w:ind w:left="14" w:firstLine="0"/>
        <w:jc w:val="left"/>
      </w:pPr>
      <w:r>
        <w:rPr>
          <w:b/>
          <w:sz w:val="24"/>
        </w:rPr>
        <w:t xml:space="preserve"> </w:t>
      </w:r>
    </w:p>
    <w:p w:rsidR="00025683" w:rsidRDefault="007C2AAB">
      <w:pPr>
        <w:spacing w:after="21" w:line="259" w:lineRule="auto"/>
        <w:ind w:left="14" w:firstLine="0"/>
        <w:jc w:val="left"/>
      </w:pPr>
      <w:r>
        <w:rPr>
          <w:b/>
          <w:sz w:val="24"/>
        </w:rPr>
        <w:t xml:space="preserve"> </w:t>
      </w:r>
    </w:p>
    <w:p w:rsidR="00025683" w:rsidRDefault="007C2AAB">
      <w:pPr>
        <w:spacing w:after="19" w:line="259" w:lineRule="auto"/>
        <w:ind w:left="14" w:firstLine="0"/>
        <w:jc w:val="left"/>
      </w:pPr>
      <w:r>
        <w:rPr>
          <w:b/>
          <w:sz w:val="24"/>
        </w:rPr>
        <w:t xml:space="preserve"> </w:t>
      </w:r>
    </w:p>
    <w:p w:rsidR="00025683" w:rsidRDefault="007C2AAB">
      <w:pPr>
        <w:spacing w:after="19" w:line="259" w:lineRule="auto"/>
        <w:ind w:left="14" w:firstLine="0"/>
        <w:jc w:val="left"/>
      </w:pPr>
      <w:r>
        <w:rPr>
          <w:b/>
          <w:sz w:val="24"/>
        </w:rPr>
        <w:t xml:space="preserve"> </w:t>
      </w:r>
    </w:p>
    <w:p w:rsidR="00025683" w:rsidRDefault="007C2AAB">
      <w:pPr>
        <w:spacing w:after="19" w:line="259" w:lineRule="auto"/>
        <w:ind w:left="14" w:firstLine="0"/>
        <w:jc w:val="left"/>
      </w:pPr>
      <w:r>
        <w:rPr>
          <w:b/>
          <w:sz w:val="24"/>
        </w:rPr>
        <w:t xml:space="preserve"> </w:t>
      </w:r>
    </w:p>
    <w:p w:rsidR="00025683" w:rsidRDefault="007C2AAB">
      <w:pPr>
        <w:spacing w:after="21"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19" w:line="259" w:lineRule="auto"/>
        <w:ind w:left="14" w:firstLine="0"/>
        <w:jc w:val="left"/>
      </w:pPr>
      <w:r>
        <w:rPr>
          <w:b/>
          <w:sz w:val="24"/>
        </w:rPr>
        <w:t xml:space="preserve"> </w:t>
      </w:r>
    </w:p>
    <w:p w:rsidR="00025683" w:rsidRDefault="007C2AAB">
      <w:pPr>
        <w:spacing w:after="21" w:line="259" w:lineRule="auto"/>
        <w:ind w:left="14" w:firstLine="0"/>
        <w:jc w:val="left"/>
      </w:pPr>
      <w:r>
        <w:rPr>
          <w:b/>
          <w:sz w:val="24"/>
        </w:rPr>
        <w:t xml:space="preserve"> </w:t>
      </w:r>
    </w:p>
    <w:p w:rsidR="00025683" w:rsidRDefault="007C2AAB">
      <w:pPr>
        <w:spacing w:after="26" w:line="249" w:lineRule="auto"/>
        <w:ind w:left="17" w:right="197" w:hanging="10"/>
      </w:pPr>
      <w:r>
        <w:rPr>
          <w:b/>
          <w:sz w:val="24"/>
        </w:rPr>
        <w:t xml:space="preserve">Consta </w:t>
      </w:r>
      <w:r>
        <w:rPr>
          <w:b/>
          <w:sz w:val="24"/>
        </w:rPr>
        <w:t>en el expediente Informe jurídico con propuesta de resolución emitido por Dña. Helena Larrinaga Doval, Técnico de la Administración General, fiscalizado favorablemente por el Interventor Municipal, D. Nicolás Rojo Garnica, de fecha 05 de diciembre de 2025,</w:t>
      </w:r>
      <w:r>
        <w:rPr>
          <w:b/>
          <w:sz w:val="24"/>
        </w:rPr>
        <w:t xml:space="preserve"> del siguiente tenor literal:</w:t>
      </w:r>
      <w:r>
        <w:rPr>
          <w:rFonts w:ascii="Times New Roman" w:eastAsia="Times New Roman" w:hAnsi="Times New Roman" w:cs="Times New Roman"/>
          <w:sz w:val="24"/>
        </w:rPr>
        <w:t xml:space="preserve"> </w:t>
      </w:r>
    </w:p>
    <w:p w:rsidR="00025683" w:rsidRDefault="007C2AAB">
      <w:pPr>
        <w:spacing w:after="16" w:line="259" w:lineRule="auto"/>
        <w:ind w:left="14" w:firstLine="0"/>
        <w:jc w:val="left"/>
      </w:pPr>
      <w:r>
        <w:rPr>
          <w:b/>
        </w:rPr>
        <w:t xml:space="preserve"> </w:t>
      </w:r>
    </w:p>
    <w:p w:rsidR="00025683" w:rsidRDefault="007C2AAB">
      <w:pPr>
        <w:spacing w:after="16" w:line="259" w:lineRule="auto"/>
        <w:ind w:left="722" w:firstLine="0"/>
        <w:jc w:val="left"/>
      </w:pPr>
      <w:r>
        <w:rPr>
          <w:b/>
        </w:rPr>
        <w:t xml:space="preserve"> </w:t>
      </w:r>
    </w:p>
    <w:p w:rsidR="00025683" w:rsidRDefault="007C2AAB">
      <w:pPr>
        <w:pStyle w:val="Ttulo4"/>
        <w:spacing w:after="100"/>
        <w:ind w:left="274" w:right="458"/>
      </w:pPr>
      <w:r>
        <w:t xml:space="preserve">“INFORME JURÍDICO </w:t>
      </w:r>
    </w:p>
    <w:p w:rsidR="00025683" w:rsidRDefault="007C2AAB">
      <w:pPr>
        <w:spacing w:after="94"/>
        <w:ind w:left="14" w:right="197"/>
      </w:pPr>
      <w:r>
        <w:rPr>
          <w:b/>
        </w:rPr>
        <w:t>Visto el expediente referenciado, la funcionaria Dña. Helena Larrinaga Doval, Técnica de la Administración General, emite el siguiente informe, fiscalizado favorablemente por el Interventor Municipal, D</w:t>
      </w:r>
      <w:r>
        <w:rPr>
          <w:b/>
        </w:rPr>
        <w:t>. Nicolás Rojo Garnica:</w:t>
      </w:r>
      <w:r>
        <w:rPr>
          <w:rFonts w:ascii="Times New Roman" w:eastAsia="Times New Roman" w:hAnsi="Times New Roman" w:cs="Times New Roman"/>
          <w:sz w:val="24"/>
        </w:rPr>
        <w:t xml:space="preserve"> </w:t>
      </w:r>
    </w:p>
    <w:p w:rsidR="00025683" w:rsidRDefault="007C2AAB">
      <w:pPr>
        <w:spacing w:after="112" w:line="259" w:lineRule="auto"/>
        <w:ind w:left="14" w:firstLine="0"/>
        <w:jc w:val="left"/>
      </w:pPr>
      <w:r>
        <w:rPr>
          <w:b/>
        </w:rPr>
        <w:t xml:space="preserve"> </w:t>
      </w:r>
    </w:p>
    <w:p w:rsidR="00025683" w:rsidRDefault="007C2AAB">
      <w:pPr>
        <w:spacing w:after="81" w:line="259" w:lineRule="auto"/>
        <w:ind w:left="14" w:firstLine="0"/>
        <w:jc w:val="left"/>
      </w:pPr>
      <w:r>
        <w:rPr>
          <w:rFonts w:ascii="Times New Roman" w:eastAsia="Times New Roman" w:hAnsi="Times New Roman" w:cs="Times New Roman"/>
          <w:sz w:val="24"/>
        </w:rPr>
        <w:t xml:space="preserve"> </w:t>
      </w:r>
    </w:p>
    <w:p w:rsidR="00025683" w:rsidRDefault="007C2AAB">
      <w:pPr>
        <w:pStyle w:val="Ttulo4"/>
        <w:spacing w:after="103"/>
        <w:ind w:left="274" w:right="461"/>
      </w:pPr>
      <w:r>
        <w:t xml:space="preserve">Antecedentes de hecho </w:t>
      </w:r>
    </w:p>
    <w:p w:rsidR="00025683" w:rsidRDefault="007C2AAB">
      <w:pPr>
        <w:spacing w:after="111"/>
        <w:ind w:left="14" w:right="200"/>
      </w:pPr>
      <w:r>
        <w:t xml:space="preserve">Primero.- </w:t>
      </w:r>
      <w:r>
        <w:t xml:space="preserve">Visto certificado del acuerdo plenario, de fecha 27 de marzo de 2008, sobre las encomiendas de gestión, a la empresa municipal, entre las que se encuentra la de conserjería en edificios municipales. </w:t>
      </w:r>
    </w:p>
    <w:p w:rsidR="00025683" w:rsidRDefault="007C2AAB">
      <w:pPr>
        <w:spacing w:after="134"/>
        <w:ind w:left="14" w:right="200"/>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6544" name="Group 3765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614" name="Rectangle 5614"/>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615" name="Rectangle 5615"/>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Verific</w:t>
                              </w:r>
                              <w:r>
                                <w:rPr>
                                  <w:sz w:val="12"/>
                                </w:rPr>
                                <w:t xml:space="preserve">ación: https://candelaria.sedelectronica.es/ </w:t>
                              </w:r>
                            </w:p>
                          </w:txbxContent>
                        </wps:txbx>
                        <wps:bodyPr horzOverflow="overflow" vert="horz" lIns="0" tIns="0" rIns="0" bIns="0" rtlCol="0">
                          <a:noAutofit/>
                        </wps:bodyPr>
                      </wps:wsp>
                      <wps:wsp>
                        <wps:cNvPr id="5616" name="Rectangle 5616"/>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6544" style="width:18.7031pt;height:260.874pt;position:absolute;mso-position-horizontal-relative:page;mso-position-horizontal:absolute;margin-left:662.928pt;mso-position-vertical-relative:page;margin-top:512.046pt;" coordsize="2375,33130">
                <v:rect id="Rectangle 5614"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61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61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350 </w:t>
                        </w:r>
                      </w:p>
                    </w:txbxContent>
                  </v:textbox>
                </v:rect>
                <w10:wrap type="square"/>
              </v:group>
            </w:pict>
          </mc:Fallback>
        </mc:AlternateContent>
      </w:r>
      <w:r>
        <w:t xml:space="preserve">Segundo.- Visto el convenio marco regulador, de 7 de mayo de 2008, de las relaciones derivadas de las encomiendas </w:t>
      </w:r>
      <w:r>
        <w:t xml:space="preserve">de gestión efectuadas por el Ayuntamiento de Candelaria a la empresa pública. </w:t>
      </w:r>
      <w:r>
        <w:rPr>
          <w:rFonts w:ascii="Times New Roman" w:eastAsia="Times New Roman" w:hAnsi="Times New Roman" w:cs="Times New Roman"/>
          <w:sz w:val="24"/>
        </w:rPr>
        <w:t xml:space="preserve"> </w:t>
      </w:r>
    </w:p>
    <w:p w:rsidR="00025683" w:rsidRDefault="007C2AAB">
      <w:pPr>
        <w:spacing w:after="152"/>
        <w:ind w:left="14" w:right="200"/>
      </w:pPr>
      <w:r>
        <w:t>Tercero.- Visto los estatutos de constitución de la entidad EPELCAN, los cuales se aprueban definitivamente tras su publicación en el Boletín Oficial de la Provincia el 23 de m</w:t>
      </w:r>
      <w:r>
        <w:t xml:space="preserve">arzo de 2009. </w:t>
      </w:r>
    </w:p>
    <w:p w:rsidR="00025683" w:rsidRDefault="007C2AAB">
      <w:pPr>
        <w:spacing w:after="152"/>
        <w:ind w:left="14" w:right="200"/>
      </w:pPr>
      <w:r>
        <w:t xml:space="preserve">Cuarto. - Visto el contrato programa, de 24 de septiembre de 2010, sobre el marco de relaciones entre el Ayuntamiento, su entidad pública empresarial y sus sociedades mercantiles. </w:t>
      </w:r>
    </w:p>
    <w:p w:rsidR="00025683" w:rsidRDefault="007C2AAB">
      <w:pPr>
        <w:spacing w:after="152"/>
        <w:ind w:left="14" w:right="200"/>
      </w:pPr>
      <w:r>
        <w:t>Quinto.- Visto publicación en el Boletín Oficial de la Provi</w:t>
      </w:r>
      <w:r>
        <w:t xml:space="preserve">ncia de 13 de noviembre de 2024 que anuncia, en su página 32668, la resolución de aprobación del proceso de estabilización como laboral de Conserje-Recepcionista, por parte del personal que actualmente es objeto de dicha encomienda. </w:t>
      </w:r>
    </w:p>
    <w:p w:rsidR="00025683" w:rsidRDefault="007C2AAB">
      <w:pPr>
        <w:spacing w:after="152"/>
        <w:ind w:left="14" w:right="200"/>
      </w:pPr>
      <w:r>
        <w:t>Sexto.- Visto certific</w:t>
      </w:r>
      <w:r>
        <w:t xml:space="preserve">ado de acuerdo plenario, de 25 de septiembre de 2025, de aprobación del contrato programa sobre el marco de relaciones entre el Ayuntamiento de Candelaria y la Empresa municipal Viviendas y Servicios Municipales de Candelaria S.L para el 2025. </w:t>
      </w:r>
    </w:p>
    <w:p w:rsidR="00025683" w:rsidRDefault="007C2AAB">
      <w:pPr>
        <w:spacing w:after="134"/>
        <w:ind w:left="14" w:right="200"/>
      </w:pPr>
      <w:r>
        <w:t>Séptimo.- V</w:t>
      </w:r>
      <w:r>
        <w:t>ista propuesta del Concejal de Cultura, de fecha 1 de diciembre de 2025  relativa a la necesidad de la extinción de la encomienda de gestión a EPELCAN de la gestión de la conserjería en edificios municipales en favor de la Concejalía de Cultura.</w:t>
      </w:r>
      <w:r>
        <w:rPr>
          <w:rFonts w:ascii="Times New Roman" w:eastAsia="Times New Roman" w:hAnsi="Times New Roman" w:cs="Times New Roman"/>
          <w:sz w:val="24"/>
        </w:rPr>
        <w:t xml:space="preserve"> </w:t>
      </w:r>
    </w:p>
    <w:p w:rsidR="00025683" w:rsidRDefault="007C2AAB">
      <w:pPr>
        <w:spacing w:after="136" w:line="259" w:lineRule="auto"/>
        <w:ind w:left="14" w:firstLine="0"/>
        <w:jc w:val="left"/>
      </w:pPr>
      <w:r>
        <w:t xml:space="preserve"> </w:t>
      </w:r>
    </w:p>
    <w:p w:rsidR="00025683" w:rsidRDefault="007C2AAB">
      <w:pPr>
        <w:pStyle w:val="Ttulo4"/>
        <w:spacing w:after="141"/>
        <w:ind w:left="274" w:right="458"/>
      </w:pPr>
      <w:r>
        <w:t xml:space="preserve">Fundamentos de derecho </w:t>
      </w:r>
    </w:p>
    <w:p w:rsidR="00025683" w:rsidRDefault="007C2AAB">
      <w:pPr>
        <w:spacing w:after="112"/>
        <w:ind w:left="14" w:right="200"/>
      </w:pPr>
      <w:r>
        <w:t>Primero: El convenio marco regulador de las relaciones derivadas de las encomiendas de gestión efectuadas por el  Ayuntamiento de la Villa de Candelaria y la Empresa Pública Sociedad de viviendas y servicios municipales de Candelari</w:t>
      </w:r>
      <w:r>
        <w:t xml:space="preserve">a de fecha 7 de mayo de 2008, establece en su cláusula </w:t>
      </w:r>
      <w:r>
        <w:rPr>
          <w:i/>
        </w:rPr>
        <w:t>novena “Será causa de resolución del presente convenio el mutuo acuerdo entre las partes, así como el incumplimiento del mismo previa denuncia realizada por la parte cumplidora y remitida de forma feha</w:t>
      </w:r>
      <w:r>
        <w:rPr>
          <w:i/>
        </w:rPr>
        <w:t xml:space="preserve">ciente a la incumplidora”.  </w:t>
      </w:r>
      <w:r>
        <w:rPr>
          <w:rFonts w:ascii="Times New Roman" w:eastAsia="Times New Roman" w:hAnsi="Times New Roman" w:cs="Times New Roman"/>
          <w:sz w:val="24"/>
        </w:rPr>
        <w:t xml:space="preserve"> </w:t>
      </w:r>
    </w:p>
    <w:p w:rsidR="00025683" w:rsidRDefault="007C2AAB">
      <w:pPr>
        <w:spacing w:after="156" w:line="238" w:lineRule="auto"/>
        <w:ind w:left="21" w:right="206"/>
      </w:pPr>
      <w:r>
        <w:t xml:space="preserve">Segundo: La Ley 7/1985 de 2 de abril, Reguladora de las Bases del Régimen Local señala, en su artículo 25.2 </w:t>
      </w:r>
      <w:r>
        <w:rPr>
          <w:i/>
        </w:rPr>
        <w:t>“El Municipio ejercerá en todo caso como competencias propias, en los términos de la legislación del Estado y de las C</w:t>
      </w:r>
      <w:r>
        <w:rPr>
          <w:i/>
        </w:rPr>
        <w:t>omunidades Autónomas, en las siguientes materias: …m) Promoción de la cultura y equipamientos culturales”.</w:t>
      </w:r>
      <w:r>
        <w:rPr>
          <w:rFonts w:ascii="Times New Roman" w:eastAsia="Times New Roman" w:hAnsi="Times New Roman" w:cs="Times New Roman"/>
          <w:sz w:val="24"/>
        </w:rPr>
        <w:t xml:space="preserve"> </w:t>
      </w:r>
    </w:p>
    <w:p w:rsidR="00025683" w:rsidRDefault="007C2AAB">
      <w:pPr>
        <w:spacing w:after="103" w:line="238" w:lineRule="auto"/>
        <w:ind w:left="21" w:right="205"/>
      </w:pPr>
      <w:r>
        <w:t xml:space="preserve">Así mismo, el artículo 85.2 de la citada establece que </w:t>
      </w:r>
      <w:r>
        <w:rPr>
          <w:i/>
        </w:rPr>
        <w:t>“Los servicios públicos de competencia local habrán de gestionarse de la forma más sostenible</w:t>
      </w:r>
      <w:r>
        <w:rPr>
          <w:i/>
        </w:rPr>
        <w:t xml:space="preserve"> y eficiente de entre las enumeradas a continuación:  A) Gestión directa: a) Gestión por la propia entidad local.</w:t>
      </w:r>
      <w:r>
        <w:rPr>
          <w:rFonts w:ascii="Times New Roman" w:eastAsia="Times New Roman" w:hAnsi="Times New Roman" w:cs="Times New Roman"/>
          <w:sz w:val="24"/>
        </w:rPr>
        <w:t xml:space="preserve"> </w:t>
      </w:r>
    </w:p>
    <w:p w:rsidR="00025683" w:rsidRDefault="007C2AAB">
      <w:pPr>
        <w:spacing w:after="114"/>
        <w:ind w:left="14" w:right="200"/>
      </w:pPr>
      <w:r>
        <w:t xml:space="preserve">Tercero: Además resulta de aplicación la Ley 40/2015, de 1 de octubre de Régimen jurídico del sector público. </w:t>
      </w:r>
    </w:p>
    <w:p w:rsidR="00025683" w:rsidRDefault="007C2AAB">
      <w:pPr>
        <w:ind w:left="14" w:right="200"/>
      </w:pPr>
      <w:r>
        <w:t>Cuarto: En cuanto al órgano co</w:t>
      </w:r>
      <w:r>
        <w:t xml:space="preserve">mpetente reside en la Junta de Gobierno Local por Acuerdo Plenario de fecha 27 de junio de 2023. </w:t>
      </w:r>
      <w:r>
        <w:rPr>
          <w:rFonts w:ascii="Times New Roman" w:eastAsia="Times New Roman" w:hAnsi="Times New Roman" w:cs="Times New Roman"/>
          <w:sz w:val="24"/>
        </w:rPr>
        <w:t xml:space="preserve"> </w:t>
      </w:r>
    </w:p>
    <w:p w:rsidR="00025683" w:rsidRDefault="007C2AAB">
      <w:pPr>
        <w:ind w:left="14" w:right="200"/>
      </w:pPr>
      <w:r>
        <w:t xml:space="preserve">Por todo lo anteriormente expuesto, se propone a la Junta de Gobierno Local la adopción del siguiente acuerdo: </w:t>
      </w:r>
    </w:p>
    <w:p w:rsidR="00025683" w:rsidRDefault="007C2AAB">
      <w:pPr>
        <w:spacing w:after="0" w:line="259" w:lineRule="auto"/>
        <w:ind w:left="14" w:firstLine="0"/>
        <w:jc w:val="left"/>
      </w:pPr>
      <w:r>
        <w:t xml:space="preserve"> </w:t>
      </w:r>
    </w:p>
    <w:p w:rsidR="00025683" w:rsidRDefault="007C2AAB">
      <w:pPr>
        <w:pStyle w:val="Ttulo4"/>
        <w:ind w:left="274" w:right="458"/>
      </w:pPr>
      <w:r>
        <w:t xml:space="preserve">Propuesta de Resolución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7025" name="Group 3770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31" name="Rectangle 5731"/>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732" name="Rectangle 5732"/>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733" name="Rectangle 5733"/>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7025" style="width:18.7031pt;height:260.874pt;position:absolute;mso-position-horizontal-relative:page;mso-position-horizontal:absolute;margin-left:662.928pt;mso-position-vertical-relative:page;margin-top:512.046pt;" coordsize="2375,33130">
                <v:rect id="Rectangle 5731"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73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73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350 </w:t>
                        </w:r>
                      </w:p>
                    </w:txbxContent>
                  </v:textbox>
                </v:rect>
                <w10:wrap type="square"/>
              </v:group>
            </w:pict>
          </mc:Fallback>
        </mc:AlternateContent>
      </w:r>
      <w:r>
        <w:t>PRIMERO: Extinguir la encomienda de gestión a EPELCAN de la c</w:t>
      </w:r>
      <w:r>
        <w:t>onserjería en edificios municipales, en favor de la Concejalía de Cultura.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175"/>
        <w:ind w:left="14" w:right="200"/>
      </w:pPr>
      <w:r>
        <w:t>SEGUNDO: Comunicar a la Intervención Municipal la resolución del acuerdo al objeto de dejar sin efecto, la correspondiente aportación económica de la aplicación presupuestaria ob</w:t>
      </w:r>
      <w:r>
        <w:t>jeto de esta encomienda.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192"/>
        <w:ind w:left="14" w:right="200"/>
      </w:pPr>
      <w:r>
        <w:t>TERCERO: Dar traslado a la Concejalía de Personal para que realice, desde el 1 de enero de 2026, o con la inmediatez que le sea posible tras la celebración de la Junta de Gobierno Local, el alta laboral en el Ayuntamiento de Can</w:t>
      </w:r>
      <w:r>
        <w:t>delaria a de Ana Belén Perera Núñez, único empleado objeto del personal de la encomienda a extinguir en el puesto que, por su titulación, desempeño y condición de laboral le correspondería al puesto de la ficha 60 de la R.P.T. del Ayuntamiento denominada “</w:t>
      </w:r>
      <w:r>
        <w:t xml:space="preserve">Conserje-ordenanza” </w:t>
      </w:r>
    </w:p>
    <w:p w:rsidR="00025683" w:rsidRDefault="007C2AAB">
      <w:pPr>
        <w:spacing w:after="0" w:line="259" w:lineRule="auto"/>
        <w:ind w:left="14" w:firstLine="0"/>
        <w:jc w:val="left"/>
      </w:pPr>
      <w:r>
        <w:rPr>
          <w:color w:val="EE0000"/>
        </w:rPr>
        <w:t xml:space="preserve"> </w:t>
      </w:r>
    </w:p>
    <w:p w:rsidR="00025683" w:rsidRDefault="007C2AAB">
      <w:pPr>
        <w:ind w:left="14" w:right="200"/>
      </w:pPr>
      <w:r>
        <w:t>CUARTO: Notificar a EPELCAN el resultado del acuerdo al objeto de que se coordine, con el área de personal del Ayuntamiento de Candelaria, para que pueda tramitar la baja del contrato de la empleada el día anterior a su alta en el Ay</w:t>
      </w:r>
      <w:r>
        <w:t>untamiento.”.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Se eleva a esta propuesta al Pleno del Ayuntamiento, que resolverá como mejor proceda.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 w:firstLine="0"/>
        <w:jc w:val="left"/>
      </w:pPr>
      <w:r>
        <w:rPr>
          <w:color w:val="FF0000"/>
        </w:rPr>
        <w:t xml:space="preserve"> </w:t>
      </w:r>
    </w:p>
    <w:p w:rsidR="00025683" w:rsidRDefault="007C2AAB">
      <w:pPr>
        <w:spacing w:after="12"/>
        <w:ind w:left="14" w:right="197"/>
      </w:pPr>
      <w:r>
        <w:rPr>
          <w:b/>
        </w:rPr>
        <w:t xml:space="preserve">DICTAMEN FAVORABLE DE 22 DE DICIEMBRE DE LA COMISIÓN INFORMATIVA DE P. y G. URBANÍSTICA Y AMBIENTAL, OBRAS Y SERVICIOS PÚBLICOS. </w:t>
      </w:r>
    </w:p>
    <w:p w:rsidR="00025683" w:rsidRDefault="007C2AAB">
      <w:pPr>
        <w:spacing w:after="0" w:line="259" w:lineRule="auto"/>
        <w:ind w:left="14" w:firstLine="0"/>
        <w:jc w:val="left"/>
      </w:pPr>
      <w:r>
        <w:rPr>
          <w:b/>
        </w:rPr>
        <w:t xml:space="preserve"> </w:t>
      </w:r>
    </w:p>
    <w:p w:rsidR="00025683" w:rsidRDefault="007C2AAB">
      <w:pPr>
        <w:spacing w:after="12"/>
        <w:ind w:left="14" w:right="197" w:firstLine="708"/>
      </w:pPr>
      <w:r>
        <w:rPr>
          <w:b/>
        </w:rPr>
        <w:t xml:space="preserve">Previa ratificación de la inclusión del asunto en el orden del día por la unanimidad de los concejales presentes, se procedió al debate sobre el fondo del asunto, con el resultado de la votación siguiente: </w:t>
      </w:r>
    </w:p>
    <w:p w:rsidR="00025683" w:rsidRDefault="007C2AAB">
      <w:pPr>
        <w:spacing w:after="0" w:line="259" w:lineRule="auto"/>
        <w:ind w:left="14" w:firstLine="0"/>
        <w:jc w:val="left"/>
      </w:pPr>
      <w:r>
        <w:t xml:space="preserve"> </w:t>
      </w:r>
    </w:p>
    <w:p w:rsidR="00025683" w:rsidRDefault="007C2AAB">
      <w:pPr>
        <w:ind w:left="722" w:right="200"/>
      </w:pPr>
      <w:r>
        <w:t xml:space="preserve">Votos a favor: 4. </w:t>
      </w:r>
    </w:p>
    <w:p w:rsidR="00025683" w:rsidRDefault="007C2AAB">
      <w:pPr>
        <w:ind w:left="14" w:right="200" w:firstLine="708"/>
      </w:pPr>
      <w:r>
        <w:t>4 concejales del Grupo Socia</w:t>
      </w:r>
      <w:r>
        <w:t xml:space="preserve">lista: Don Airam Pérez Chinea, Reinaldo José Triviño Blanco, Mónica Monserrat Yanes Delgado y Doña Margarita Eva Tendero Barroso. </w:t>
      </w:r>
    </w:p>
    <w:p w:rsidR="00025683" w:rsidRDefault="007C2AAB">
      <w:pPr>
        <w:spacing w:after="0" w:line="259" w:lineRule="auto"/>
        <w:ind w:left="14" w:firstLine="0"/>
        <w:jc w:val="left"/>
      </w:pPr>
      <w:r>
        <w:t xml:space="preserve"> </w:t>
      </w:r>
    </w:p>
    <w:p w:rsidR="00025683" w:rsidRDefault="007C2AAB">
      <w:pPr>
        <w:ind w:left="722" w:right="200"/>
      </w:pPr>
      <w:r>
        <w:t xml:space="preserve">Votos en contra: 0. </w:t>
      </w:r>
    </w:p>
    <w:p w:rsidR="00025683" w:rsidRDefault="007C2AAB">
      <w:pPr>
        <w:spacing w:after="0" w:line="259" w:lineRule="auto"/>
        <w:ind w:left="14" w:firstLine="0"/>
        <w:jc w:val="left"/>
      </w:pPr>
      <w:r>
        <w:t xml:space="preserve"> </w:t>
      </w:r>
    </w:p>
    <w:p w:rsidR="00025683" w:rsidRDefault="007C2AAB">
      <w:pPr>
        <w:ind w:left="722" w:right="200"/>
      </w:pPr>
      <w:r>
        <w:t xml:space="preserve">Abstenciones: 3. </w:t>
      </w:r>
    </w:p>
    <w:p w:rsidR="00025683" w:rsidRDefault="007C2AAB">
      <w:pPr>
        <w:ind w:left="722" w:right="200"/>
      </w:pPr>
      <w:r>
        <w:t>2 concejales del Grupo Popular, Don Jacobo López Fariña y Dª Shaila Castellano Batista.</w:t>
      </w:r>
      <w:r>
        <w:rPr>
          <w:rFonts w:ascii="Times New Roman" w:eastAsia="Times New Roman" w:hAnsi="Times New Roman" w:cs="Times New Roman"/>
          <w:sz w:val="24"/>
        </w:rPr>
        <w:t xml:space="preserve"> </w:t>
      </w:r>
      <w:r>
        <w:t xml:space="preserve">1 de la concejal del Grupo Mixto (CC) Doña Ángela Cruz Perera. </w:t>
      </w:r>
    </w:p>
    <w:p w:rsidR="00025683" w:rsidRDefault="007C2AAB">
      <w:pPr>
        <w:spacing w:after="0" w:line="259" w:lineRule="auto"/>
        <w:ind w:left="722" w:firstLine="0"/>
        <w:jc w:val="left"/>
      </w:pPr>
      <w:r>
        <w:rPr>
          <w:b/>
        </w:rPr>
        <w:t xml:space="preserve"> </w:t>
      </w:r>
    </w:p>
    <w:p w:rsidR="00025683" w:rsidRDefault="007C2AAB">
      <w:pPr>
        <w:spacing w:after="12"/>
        <w:ind w:left="722" w:right="197"/>
      </w:pPr>
      <w:r>
        <w:rPr>
          <w:b/>
        </w:rPr>
        <w:t xml:space="preserve">JUNTA DE PORTAVOCES DE 22 DE DICIEMBRE DE 2025. </w:t>
      </w:r>
    </w:p>
    <w:p w:rsidR="00025683" w:rsidRDefault="007C2AAB">
      <w:pPr>
        <w:ind w:left="14" w:right="200"/>
      </w:pPr>
      <w:r>
        <w:t xml:space="preserve">Quedó oída. </w:t>
      </w:r>
    </w:p>
    <w:p w:rsidR="00025683" w:rsidRDefault="007C2AAB">
      <w:pPr>
        <w:spacing w:after="0" w:line="259" w:lineRule="auto"/>
        <w:ind w:left="14" w:firstLine="0"/>
        <w:jc w:val="left"/>
      </w:pPr>
      <w: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6768" name="Group 3767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47" name="Rectangle 5847"/>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848" name="Rectangle 5848"/>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849" name="Rectangle 5849"/>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6768" style="width:18.7031pt;height:260.874pt;position:absolute;mso-position-horizontal-relative:page;mso-position-horizontal:absolute;margin-left:662.928pt;mso-position-vertical-relative:page;margin-top:512.046pt;" coordsize="2375,33130">
                <v:rect id="Rectangle 5847"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84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84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350 </w:t>
                        </w:r>
                      </w:p>
                    </w:txbxContent>
                  </v:textbox>
                </v:rect>
                <w10:wrap type="square"/>
              </v:group>
            </w:pict>
          </mc:Fallback>
        </mc:AlternateContent>
      </w:r>
      <w:r>
        <w:rPr>
          <w:b/>
        </w:rPr>
        <w:t xml:space="preserve"> </w:t>
      </w:r>
    </w:p>
    <w:p w:rsidR="00025683" w:rsidRDefault="007C2AAB">
      <w:pPr>
        <w:spacing w:after="12"/>
        <w:ind w:left="722" w:right="197"/>
      </w:pPr>
      <w:r>
        <w:rPr>
          <w:b/>
        </w:rPr>
        <w:t xml:space="preserve">VOTACIÓN EN EL PLENO DE 29 DE DICIEMBRE DE 2025. </w:t>
      </w:r>
    </w:p>
    <w:p w:rsidR="00025683" w:rsidRDefault="007C2AAB">
      <w:pPr>
        <w:spacing w:after="0" w:line="259" w:lineRule="auto"/>
        <w:ind w:left="722" w:firstLine="0"/>
        <w:jc w:val="left"/>
      </w:pPr>
      <w:r>
        <w:rPr>
          <w:b/>
        </w:rPr>
        <w:t xml:space="preserve"> </w:t>
      </w:r>
    </w:p>
    <w:p w:rsidR="00025683" w:rsidRDefault="007C2AAB">
      <w:pPr>
        <w:ind w:left="722" w:right="200"/>
      </w:pPr>
      <w:r>
        <w:rPr>
          <w:b/>
        </w:rPr>
        <w:t>Votos a</w:t>
      </w:r>
      <w:r>
        <w:rPr>
          <w:b/>
        </w:rPr>
        <w:t xml:space="preserve"> favor: </w:t>
      </w:r>
      <w:r>
        <w:t>La unanimidad de los 19 concejales: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rPr>
          <w:color w:val="FF0000"/>
        </w:rPr>
        <w:t xml:space="preserve">    </w:t>
      </w:r>
      <w:r>
        <w:t xml:space="preserve">11 concejales del Grupo Socialista: Dª. María Concepción Brito Núñez, D. Jorge Baute Delgado, </w:t>
      </w:r>
    </w:p>
    <w:p w:rsidR="00025683" w:rsidRDefault="007C2AAB">
      <w:pPr>
        <w:ind w:left="14" w:right="200"/>
      </w:pPr>
      <w:r>
        <w:t xml:space="preserve">D. José Francisco Pinto Ramos, Dª. Olivia Concepción Pérez, D. Reinaldo José Triviño Blanco, </w:t>
      </w:r>
    </w:p>
    <w:p w:rsidR="00025683" w:rsidRDefault="007C2AAB">
      <w:pPr>
        <w:ind w:left="14" w:right="200"/>
      </w:pPr>
      <w:r>
        <w:t>D. Manuel Albert</w:t>
      </w:r>
      <w:r>
        <w:t xml:space="preserve">o González Pestano, Dª. Margarita Eva Tendero Barroso, D. Airam Pérez Chinea, Dª. María del Carmen Clemente Díaz, D. Olegario Francisco Alonso Bello, Dª. Mónica Monserrat Yanes Delgado.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  </w:t>
      </w:r>
      <w:r>
        <w:t xml:space="preserve">5 concejales del Grupo Popular: D. Jacobo López Fariña, D. Miguel Eduardo Hernández Chitty, Dª. Raquel Martín Castro, Dª. María Carlota Díaz González, D. José Daniel Sosa González.  </w:t>
      </w:r>
    </w:p>
    <w:p w:rsidR="00025683" w:rsidRDefault="007C2AAB">
      <w:pPr>
        <w:spacing w:after="0" w:line="259" w:lineRule="auto"/>
        <w:ind w:left="14" w:firstLine="0"/>
        <w:jc w:val="left"/>
      </w:pPr>
      <w:r>
        <w:t xml:space="preserve"> </w:t>
      </w:r>
    </w:p>
    <w:p w:rsidR="00025683" w:rsidRDefault="007C2AAB">
      <w:pPr>
        <w:ind w:left="14" w:right="200"/>
      </w:pPr>
      <w:r>
        <w:t xml:space="preserve"> 1 de la concejal del Grupo Mixto (CC), Dª. Ángela Cruz Perera. </w:t>
      </w:r>
    </w:p>
    <w:p w:rsidR="00025683" w:rsidRDefault="007C2AAB">
      <w:pPr>
        <w:spacing w:after="0" w:line="259" w:lineRule="auto"/>
        <w:ind w:left="14" w:firstLine="0"/>
        <w:jc w:val="left"/>
      </w:pPr>
      <w:r>
        <w:t xml:space="preserve"> </w:t>
      </w:r>
    </w:p>
    <w:p w:rsidR="00025683" w:rsidRDefault="007C2AAB">
      <w:pPr>
        <w:ind w:left="14" w:right="200"/>
      </w:pPr>
      <w:r>
        <w:t>1 de</w:t>
      </w:r>
      <w:r>
        <w:t xml:space="preserve"> la concejal del Grupo Mixto (USP), Dª. Violeta López Jiménez. </w:t>
      </w:r>
    </w:p>
    <w:p w:rsidR="00025683" w:rsidRDefault="007C2AAB">
      <w:pPr>
        <w:spacing w:after="0" w:line="259" w:lineRule="auto"/>
        <w:ind w:left="14" w:firstLine="0"/>
        <w:jc w:val="left"/>
      </w:pPr>
      <w:r>
        <w:t xml:space="preserve"> </w:t>
      </w:r>
    </w:p>
    <w:p w:rsidR="00025683" w:rsidRDefault="007C2AAB">
      <w:pPr>
        <w:ind w:left="14" w:right="200"/>
      </w:pPr>
      <w:r>
        <w:t xml:space="preserve">1 del concejal del Grupo Mixto (Vox) D. José Tortosa Pallarés  </w:t>
      </w:r>
    </w:p>
    <w:p w:rsidR="00025683" w:rsidRDefault="007C2AAB">
      <w:pPr>
        <w:spacing w:after="0" w:line="259" w:lineRule="auto"/>
        <w:ind w:left="14" w:firstLine="0"/>
        <w:jc w:val="left"/>
      </w:pPr>
      <w:r>
        <w:t xml:space="preserve"> </w:t>
      </w:r>
    </w:p>
    <w:p w:rsidR="00025683" w:rsidRDefault="007C2AAB">
      <w:pPr>
        <w:spacing w:after="12"/>
        <w:ind w:left="722" w:right="197"/>
      </w:pPr>
      <w:r>
        <w:rPr>
          <w:b/>
        </w:rPr>
        <w:t xml:space="preserve">Votos en contra: </w:t>
      </w:r>
      <w:r>
        <w:t>0.</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722" w:right="197"/>
      </w:pPr>
      <w:r>
        <w:rPr>
          <w:b/>
        </w:rPr>
        <w:t xml:space="preserve">Abstenciones: </w:t>
      </w:r>
      <w:r>
        <w:t>0.</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ACUERDO DEL PLENO DE 29 DE DICIEMBRE DE 2025. </w:t>
      </w:r>
    </w:p>
    <w:p w:rsidR="00025683" w:rsidRDefault="007C2AAB">
      <w:pPr>
        <w:spacing w:after="98" w:line="259" w:lineRule="auto"/>
        <w:ind w:left="1433" w:firstLine="0"/>
        <w:jc w:val="left"/>
      </w:pPr>
      <w:r>
        <w:rPr>
          <w:b/>
        </w:rPr>
        <w:t xml:space="preserve"> </w:t>
      </w:r>
    </w:p>
    <w:p w:rsidR="00025683" w:rsidRDefault="007C2AAB">
      <w:pPr>
        <w:ind w:left="14" w:right="200"/>
      </w:pPr>
      <w:r>
        <w:rPr>
          <w:b/>
        </w:rPr>
        <w:t xml:space="preserve">     PRIMERO:</w:t>
      </w:r>
      <w:r>
        <w:t xml:space="preserve"> Extinguir la encomienda de gestión a EPELCAN de la conserjería en edificios municipales, en favor de la Concejalía de Cultura.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172"/>
        <w:ind w:left="14" w:right="200"/>
      </w:pPr>
      <w:r>
        <w:rPr>
          <w:b/>
        </w:rPr>
        <w:t xml:space="preserve">    SEGUNDO:</w:t>
      </w:r>
      <w:r>
        <w:t xml:space="preserve"> Comunicar a la Intervención Municipal la resolución del acuerdo al objeto de dejar sin efecto, la c</w:t>
      </w:r>
      <w:r>
        <w:t>orrespondiente aportación económica de la aplicación presupuestaria objeto de esta encomienda.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168"/>
        <w:ind w:left="14" w:right="200"/>
      </w:pPr>
      <w:r>
        <w:rPr>
          <w:b/>
        </w:rPr>
        <w:t xml:space="preserve">    TERCERO:</w:t>
      </w:r>
      <w:r>
        <w:t xml:space="preserve"> </w:t>
      </w:r>
      <w:r>
        <w:t xml:space="preserve">Dar traslado a la Concejalía de Personal para que realice, desde el 1 de enero de 2026, o con la inmediatez que le sea posible tras la celebración de la Junta de Gobierno Local, el alta laboral en el Ayuntamiento de Candelaria a de Ana Belén Perera Núñez, </w:t>
      </w:r>
      <w:r>
        <w:t>único empleado objeto del personal de la encomienda a extinguir en el puesto que, por su titulación, desempeño y condición de laboral le correspondería al puesto de la ficha 60 de la R.P.T. del Ayuntamiento denominada “Conserje-ordenanza”</w:t>
      </w:r>
      <w:r>
        <w:rPr>
          <w:rFonts w:ascii="Times New Roman" w:eastAsia="Times New Roman" w:hAnsi="Times New Roman" w:cs="Times New Roman"/>
          <w:sz w:val="24"/>
        </w:rPr>
        <w:t xml:space="preserve"> </w:t>
      </w:r>
    </w:p>
    <w:p w:rsidR="00025683" w:rsidRDefault="007C2AAB">
      <w:pPr>
        <w:ind w:left="14" w:right="200"/>
      </w:pPr>
      <w:r>
        <w:rPr>
          <w:b/>
        </w:rPr>
        <w:t xml:space="preserve">   CUARTO:</w:t>
      </w:r>
      <w:r>
        <w:t xml:space="preserve"> Dar t</w:t>
      </w:r>
      <w:r>
        <w:t>raslado a la Concejalía de Cultura y Notificar a EPELCAN el resultado del acuerdo al objeto de que se coordine, con el área de personal del Ayuntamiento de Candelaria, para que pueda tramitar la baja del contrato de la empleada el día anterior a su alta en</w:t>
      </w:r>
      <w:r>
        <w:t xml:space="preserve"> el Ayuntamiento.</w:t>
      </w:r>
      <w:r>
        <w:rPr>
          <w:rFonts w:ascii="Times New Roman" w:eastAsia="Times New Roman" w:hAnsi="Times New Roman" w:cs="Times New Roman"/>
          <w:sz w:val="24"/>
        </w:rPr>
        <w:t xml:space="preserve"> </w:t>
      </w:r>
    </w:p>
    <w:p w:rsidR="00025683" w:rsidRDefault="007C2AAB">
      <w:pPr>
        <w:spacing w:after="0" w:line="259" w:lineRule="auto"/>
        <w:ind w:left="722" w:firstLine="0"/>
        <w:jc w:val="left"/>
      </w:pP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77408" name="Group 3774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967" name="Rectangle 5967"/>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968" name="Rectangle 5968"/>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969" name="Rectangle 5969"/>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23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7408" style="width:18.7031pt;height:260.874pt;position:absolute;mso-position-horizontal-relative:page;mso-position-horizontal:absolute;margin-left:662.928pt;mso-position-vertical-relative:page;margin-top:512.046pt;" coordsize="2375,33130">
                <v:rect id="Rectangle 5967"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96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96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350 </w:t>
                        </w:r>
                      </w:p>
                    </w:txbxContent>
                  </v:textbox>
                </v:rect>
                <w10:wrap type="topAndBottom"/>
              </v:group>
            </w:pict>
          </mc:Fallback>
        </mc:AlternateContent>
      </w: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35" w:line="259" w:lineRule="auto"/>
        <w:ind w:left="14" w:firstLine="0"/>
        <w:jc w:val="left"/>
      </w:pPr>
      <w:r>
        <w:rPr>
          <w:b/>
        </w:rPr>
        <w:t xml:space="preserve"> </w:t>
      </w:r>
    </w:p>
    <w:p w:rsidR="00025683" w:rsidRDefault="007C2AAB">
      <w:pPr>
        <w:spacing w:after="4" w:line="245" w:lineRule="auto"/>
        <w:ind w:left="9" w:right="193" w:hanging="10"/>
      </w:pPr>
      <w:r>
        <w:rPr>
          <w:b/>
          <w:sz w:val="28"/>
        </w:rPr>
        <w:t xml:space="preserve">3.- </w:t>
      </w:r>
      <w:r>
        <w:rPr>
          <w:b/>
          <w:sz w:val="28"/>
          <w:u w:val="single" w:color="000000"/>
        </w:rPr>
        <w:t>Expediente 8970/2025</w:t>
      </w:r>
      <w:r>
        <w:rPr>
          <w:b/>
          <w:sz w:val="28"/>
        </w:rPr>
        <w:t>. Propuesta de la Alcaldesa-</w:t>
      </w:r>
      <w:r>
        <w:rPr>
          <w:b/>
          <w:sz w:val="28"/>
        </w:rPr>
        <w:t>Presidenta al Pleno de declarar desierto el expediente de contratación publicado en el DOUE de 01 de octubre de 2025, consistente en la ejecución de obra del “Proyecto de ejecución de Piscina de Candelaria”, por no constar presentadas ofertas a la ejecució</w:t>
      </w:r>
      <w:r>
        <w:rPr>
          <w:b/>
          <w:sz w:val="28"/>
        </w:rPr>
        <w:t>n del proyecto redactado por el Arquitecto Don Jorge Mosquera Paniagua.</w:t>
      </w:r>
      <w:r>
        <w:rPr>
          <w:rFonts w:ascii="Times New Roman" w:eastAsia="Times New Roman" w:hAnsi="Times New Roman" w:cs="Times New Roman"/>
          <w:sz w:val="28"/>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 w:line="249" w:lineRule="auto"/>
        <w:ind w:left="17" w:right="197" w:hanging="10"/>
      </w:pPr>
      <w:r>
        <w:rPr>
          <w:b/>
          <w:sz w:val="24"/>
        </w:rPr>
        <w:t xml:space="preserve">Consta en el expediente Informe de la funcionaria Dª. María del Pilar Chico Delgado, de fecha 10 de noviembre de 2025, conformado por el Secretario General y fiscalizado favorablemente por el Interventor General, del siguiente tenor literal: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b/>
          <w:color w:val="FF0000"/>
        </w:rPr>
        <w:t xml:space="preserve"> </w:t>
      </w:r>
    </w:p>
    <w:p w:rsidR="00025683" w:rsidRDefault="007C2AAB">
      <w:pPr>
        <w:pStyle w:val="Ttulo4"/>
        <w:spacing w:after="240"/>
        <w:ind w:left="274" w:right="950"/>
      </w:pPr>
      <w:r>
        <w:t xml:space="preserve">“INFORME </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36" w:lineRule="auto"/>
        <w:ind w:left="9" w:right="102" w:hanging="10"/>
        <w:jc w:val="left"/>
      </w:pPr>
      <w:r>
        <w:rPr>
          <w:sz w:val="24"/>
        </w:rPr>
        <w:t xml:space="preserve"> </w:t>
      </w:r>
      <w:r>
        <w:rPr>
          <w:b/>
        </w:rPr>
        <w:t>Visto el expediente antedicho, la funcionaria Mª del Pilar Chico Delgado, que desempeña el puesto de trabajo de técnico de adm.gral., conformado por el Secretario General, fiscalizado favorablemente por el Interventor Municipal, emite el siguiente inf</w:t>
      </w:r>
      <w:r>
        <w:rPr>
          <w:b/>
        </w:rPr>
        <w:t xml:space="preserve">orme: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4377" name="Group 3743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081" name="Rectangle 6081"/>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6082" name="Rectangle 6082"/>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083" name="Rectangle 6083"/>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4377" style="width:18.7031pt;height:260.874pt;position:absolute;mso-position-horizontal-relative:page;mso-position-horizontal:absolute;margin-left:662.928pt;mso-position-vertical-relative:page;margin-top:512.046pt;" coordsize="2375,33130">
                <v:rect id="Rectangle 6081"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608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08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350 </w:t>
                        </w:r>
                      </w:p>
                    </w:txbxContent>
                  </v:textbox>
                </v:rect>
                <w10:wrap type="square"/>
              </v:group>
            </w:pict>
          </mc:Fallback>
        </mc:AlternateContent>
      </w: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pStyle w:val="Ttulo4"/>
        <w:ind w:left="274" w:right="461"/>
      </w:pPr>
      <w:r>
        <w:t xml:space="preserve">Antecedentes de hecho </w:t>
      </w:r>
    </w:p>
    <w:p w:rsidR="00025683" w:rsidRDefault="007C2AAB">
      <w:pPr>
        <w:spacing w:after="0" w:line="259" w:lineRule="auto"/>
        <w:ind w:left="0" w:right="133" w:firstLine="0"/>
        <w:jc w:val="center"/>
      </w:pPr>
      <w:r>
        <w:t xml:space="preserve"> </w:t>
      </w:r>
    </w:p>
    <w:p w:rsidR="00025683" w:rsidRDefault="007C2AAB">
      <w:pPr>
        <w:ind w:left="14" w:right="200"/>
      </w:pPr>
      <w:r>
        <w:rPr>
          <w:b/>
        </w:rPr>
        <w:t xml:space="preserve">         Visto </w:t>
      </w:r>
      <w:r>
        <w:t>que por Acuerdo del Ayuntamiento Pleno en sesión ordinaria de fecha 25 de septiembre de 2025, se aprobó el expediente de contratación consistente en la ejecución del “Proyecto de ejecución de Piscina de Candelaria”, así como el pliego de cláusulas administ</w:t>
      </w:r>
      <w:r>
        <w:t>rativas y de prescripciones técnicas, por procedimiento abierto, regulación armonizada.</w:t>
      </w:r>
      <w:r>
        <w:rPr>
          <w:rFonts w:ascii="Times New Roman" w:eastAsia="Times New Roman" w:hAnsi="Times New Roman" w:cs="Times New Roman"/>
          <w:sz w:val="24"/>
        </w:rPr>
        <w:t xml:space="preserve"> </w:t>
      </w:r>
    </w:p>
    <w:p w:rsidR="00025683" w:rsidRDefault="007C2AAB">
      <w:pPr>
        <w:spacing w:after="0" w:line="259" w:lineRule="auto"/>
        <w:ind w:left="26" w:firstLine="0"/>
        <w:jc w:val="left"/>
      </w:pPr>
      <w:r>
        <w:t xml:space="preserve"> </w:t>
      </w:r>
    </w:p>
    <w:p w:rsidR="00025683" w:rsidRDefault="007C2AAB">
      <w:pPr>
        <w:ind w:left="14" w:right="200"/>
      </w:pPr>
      <w:r>
        <w:rPr>
          <w:b/>
        </w:rPr>
        <w:t xml:space="preserve">        Visto </w:t>
      </w:r>
      <w:r>
        <w:t>que con fecha de 02 de octubre de 2025 consta publicada en la plataforma de contratación del estado, el anuncio de la licitación para la presentación d</w:t>
      </w:r>
      <w:r>
        <w:t xml:space="preserve">e ofertas. </w:t>
      </w:r>
      <w:r>
        <w:rPr>
          <w:rFonts w:ascii="Times New Roman" w:eastAsia="Times New Roman" w:hAnsi="Times New Roman" w:cs="Times New Roman"/>
          <w:sz w:val="24"/>
        </w:rPr>
        <w:t xml:space="preserve"> </w:t>
      </w:r>
    </w:p>
    <w:p w:rsidR="00025683" w:rsidRDefault="007C2AAB">
      <w:pPr>
        <w:spacing w:after="0" w:line="259" w:lineRule="auto"/>
        <w:ind w:left="26" w:firstLine="0"/>
        <w:jc w:val="left"/>
      </w:pPr>
      <w:r>
        <w:t xml:space="preserve"> </w:t>
      </w:r>
    </w:p>
    <w:p w:rsidR="00025683" w:rsidRDefault="007C2AAB">
      <w:pPr>
        <w:ind w:left="14" w:right="200"/>
      </w:pPr>
      <w:r>
        <w:rPr>
          <w:b/>
        </w:rPr>
        <w:t xml:space="preserve">        Visto </w:t>
      </w:r>
      <w:r>
        <w:t xml:space="preserve">que con fecha 06 de noviembre de 2025, se constituyó en primera sesión la Mesa de Contratación, siendo su contenido del siguiente tenor literal: </w:t>
      </w:r>
      <w:r>
        <w:rPr>
          <w:rFonts w:ascii="Times New Roman" w:eastAsia="Times New Roman" w:hAnsi="Times New Roman" w:cs="Times New Roman"/>
          <w:sz w:val="24"/>
        </w:rPr>
        <w:t xml:space="preserve"> </w:t>
      </w:r>
    </w:p>
    <w:p w:rsidR="00025683" w:rsidRDefault="007C2AAB">
      <w:pPr>
        <w:spacing w:after="0" w:line="259" w:lineRule="auto"/>
        <w:ind w:left="26" w:firstLine="0"/>
        <w:jc w:val="left"/>
      </w:pPr>
      <w:r>
        <w:t xml:space="preserve"> </w:t>
      </w:r>
    </w:p>
    <w:p w:rsidR="00025683" w:rsidRDefault="007C2AAB">
      <w:pPr>
        <w:spacing w:after="0" w:line="259" w:lineRule="auto"/>
        <w:ind w:left="26" w:firstLine="0"/>
        <w:jc w:val="left"/>
      </w:pPr>
      <w:r>
        <w:t xml:space="preserve"> </w:t>
      </w:r>
    </w:p>
    <w:p w:rsidR="00025683" w:rsidRDefault="007C2AAB">
      <w:pPr>
        <w:spacing w:after="0" w:line="259" w:lineRule="auto"/>
        <w:ind w:left="26" w:firstLine="0"/>
        <w:jc w:val="left"/>
      </w:pPr>
      <w:r>
        <w:t xml:space="preserve"> </w:t>
      </w:r>
    </w:p>
    <w:p w:rsidR="00025683" w:rsidRDefault="007C2AAB">
      <w:pPr>
        <w:pStyle w:val="Ttulo4"/>
        <w:ind w:left="274" w:right="468"/>
      </w:pPr>
      <w:r>
        <w:rPr>
          <w:b w:val="0"/>
        </w:rPr>
        <w:t>“</w:t>
      </w:r>
      <w:r>
        <w:t>ACTA Nº 1: EJECUCIÓN OBRA "PISCINA DE CANDELARIA"</w:t>
      </w:r>
      <w:r>
        <w:rPr>
          <w:rFonts w:ascii="Times New Roman" w:eastAsia="Times New Roman" w:hAnsi="Times New Roman" w:cs="Times New Roman"/>
          <w:b w:val="0"/>
          <w:sz w:val="24"/>
        </w:rPr>
        <w:t xml:space="preserve"> </w:t>
      </w:r>
    </w:p>
    <w:p w:rsidR="00025683" w:rsidRDefault="007C2AAB">
      <w:pPr>
        <w:spacing w:after="0" w:line="259" w:lineRule="auto"/>
        <w:ind w:left="0" w:right="133" w:firstLine="0"/>
        <w:jc w:val="center"/>
      </w:pPr>
      <w:r>
        <w:t xml:space="preserve"> </w:t>
      </w:r>
    </w:p>
    <w:p w:rsidR="00025683" w:rsidRDefault="007C2AAB">
      <w:pPr>
        <w:spacing w:after="3" w:line="259" w:lineRule="auto"/>
        <w:ind w:left="9" w:hanging="10"/>
        <w:jc w:val="left"/>
      </w:pPr>
      <w:r>
        <w:rPr>
          <w:b/>
          <w:u w:val="single" w:color="000000"/>
        </w:rPr>
        <w:t>Asistentes: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3" w:line="259" w:lineRule="auto"/>
        <w:ind w:left="9" w:hanging="10"/>
        <w:jc w:val="left"/>
      </w:pPr>
      <w:r>
        <w:rPr>
          <w:sz w:val="24"/>
        </w:rPr>
        <w:t xml:space="preserve"> </w:t>
      </w:r>
      <w:r>
        <w:rPr>
          <w:b/>
          <w:u w:val="single" w:color="000000"/>
        </w:rPr>
        <w:t>Pres</w:t>
      </w:r>
      <w:r>
        <w:rPr>
          <w:b/>
          <w:u w:val="single" w:color="000000"/>
        </w:rPr>
        <w:t>idente</w:t>
      </w:r>
      <w:r>
        <w:rPr>
          <w:b/>
        </w:rPr>
        <w:t>:</w:t>
      </w:r>
      <w:r>
        <w:rPr>
          <w:rFonts w:ascii="Times New Roman" w:eastAsia="Times New Roman" w:hAnsi="Times New Roman" w:cs="Times New Roman"/>
          <w:sz w:val="24"/>
        </w:rPr>
        <w:t xml:space="preserve"> </w:t>
      </w:r>
    </w:p>
    <w:p w:rsidR="00025683" w:rsidRDefault="007C2AAB">
      <w:pPr>
        <w:ind w:left="14" w:right="200"/>
      </w:pPr>
      <w:r>
        <w:t xml:space="preserve">D. Jorge Baute Delgado. </w:t>
      </w:r>
    </w:p>
    <w:p w:rsidR="00025683" w:rsidRDefault="007C2AAB">
      <w:pPr>
        <w:spacing w:after="0" w:line="259" w:lineRule="auto"/>
        <w:ind w:left="14" w:firstLine="0"/>
        <w:jc w:val="left"/>
      </w:pPr>
      <w:r>
        <w:t xml:space="preserve"> </w:t>
      </w:r>
    </w:p>
    <w:p w:rsidR="00025683" w:rsidRDefault="007C2AAB">
      <w:pPr>
        <w:spacing w:after="3" w:line="259" w:lineRule="auto"/>
        <w:ind w:left="9" w:hanging="10"/>
        <w:jc w:val="left"/>
      </w:pPr>
      <w:r>
        <w:rPr>
          <w:b/>
          <w:u w:val="single" w:color="000000"/>
        </w:rPr>
        <w:t>Vocales</w:t>
      </w:r>
      <w:r>
        <w:rPr>
          <w:b/>
        </w:rPr>
        <w:t>:</w:t>
      </w:r>
      <w:r>
        <w:rPr>
          <w:rFonts w:ascii="Times New Roman" w:eastAsia="Times New Roman" w:hAnsi="Times New Roman" w:cs="Times New Roman"/>
          <w:sz w:val="24"/>
        </w:rPr>
        <w:t xml:space="preserve"> </w:t>
      </w:r>
    </w:p>
    <w:p w:rsidR="00025683" w:rsidRDefault="007C2AAB">
      <w:pPr>
        <w:ind w:left="14" w:right="200"/>
      </w:pPr>
      <w:r>
        <w:t xml:space="preserve">D. Octavio Manuel Fernández Hernández. </w:t>
      </w:r>
    </w:p>
    <w:p w:rsidR="00025683" w:rsidRDefault="007C2AAB">
      <w:pPr>
        <w:ind w:left="14" w:right="200"/>
      </w:pPr>
      <w:r>
        <w:t xml:space="preserve">D. Nicolás Rojo Garnica </w:t>
      </w:r>
    </w:p>
    <w:p w:rsidR="00025683" w:rsidRDefault="007C2AAB">
      <w:pPr>
        <w:ind w:left="14" w:right="200"/>
      </w:pPr>
      <w:r>
        <w:t xml:space="preserve">D. Reinaldo José Triviño Blanco  </w:t>
      </w:r>
    </w:p>
    <w:p w:rsidR="00025683" w:rsidRDefault="007C2AAB">
      <w:pPr>
        <w:ind w:left="14" w:right="200"/>
      </w:pPr>
      <w:r>
        <w:t xml:space="preserve">Dña. Helena Larrinaga Doval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3" w:line="259" w:lineRule="auto"/>
        <w:ind w:left="9" w:hanging="10"/>
        <w:jc w:val="left"/>
      </w:pPr>
      <w:r>
        <w:rPr>
          <w:b/>
          <w:u w:val="single" w:color="000000"/>
        </w:rPr>
        <w:t>Secretaria</w:t>
      </w:r>
      <w:r>
        <w:rPr>
          <w:b/>
        </w:rPr>
        <w:t>:</w:t>
      </w:r>
      <w:r>
        <w:rPr>
          <w:rFonts w:ascii="Times New Roman" w:eastAsia="Times New Roman" w:hAnsi="Times New Roman" w:cs="Times New Roman"/>
          <w:sz w:val="24"/>
        </w:rPr>
        <w:t xml:space="preserve"> </w:t>
      </w:r>
    </w:p>
    <w:p w:rsidR="00025683" w:rsidRDefault="007C2AAB">
      <w:pPr>
        <w:ind w:left="14" w:right="200"/>
      </w:pPr>
      <w:r>
        <w:t xml:space="preserve">Dña. María del Pilar Chico Delgado.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3" w:line="259" w:lineRule="auto"/>
        <w:ind w:left="9" w:hanging="10"/>
        <w:jc w:val="left"/>
      </w:pPr>
      <w:r>
        <w:rPr>
          <w:b/>
          <w:u w:val="single" w:color="000000"/>
        </w:rPr>
        <w:t>No asistentes:</w:t>
      </w: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                En Candelaria a 06 de noviembre de 2025, siendo las nueve horas y quince minutos, se constituye en la Sala de Reuniones de la Casa Consistorial a la Mesa de Contratación designada para la contratación, por procedimiento abierto, consistente</w:t>
      </w:r>
      <w:r>
        <w:t xml:space="preserve"> en la ejecución obra “Piscina de Candelaria”, de acuerdo con lo establecido en la cláusula decimoséptima del Pliego de Cláusulas Administrativas particulares que rigen el mencionado concurso, a los efectos de apertura del Archivo electrónico A.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4211" name="Group 3742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97" name="Rectangle 6197"/>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Cód.</w:t>
                              </w:r>
                              <w:r>
                                <w:rPr>
                                  <w:sz w:val="12"/>
                                </w:rPr>
                                <w:t xml:space="preserve"> Validación: 3J3KYNW3CJM74AZ6SEHNT4KKY </w:t>
                              </w:r>
                            </w:p>
                          </w:txbxContent>
                        </wps:txbx>
                        <wps:bodyPr horzOverflow="overflow" vert="horz" lIns="0" tIns="0" rIns="0" bIns="0" rtlCol="0">
                          <a:noAutofit/>
                        </wps:bodyPr>
                      </wps:wsp>
                      <wps:wsp>
                        <wps:cNvPr id="6198" name="Rectangle 6198"/>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199" name="Rectangle 6199"/>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4211" style="width:18.7031pt;height:260.874pt;position:absolute;mso-position-horizontal-relative:page;mso-position-horizontal:absolute;margin-left:662.928pt;mso-position-vertical-relative:page;margin-top:512.046pt;" coordsize="2375,33130">
                <v:rect id="Rectangle 6197"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619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19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350 </w:t>
                        </w:r>
                      </w:p>
                    </w:txbxContent>
                  </v:textbox>
                </v:rect>
                <w10:wrap type="square"/>
              </v:group>
            </w:pict>
          </mc:Fallback>
        </mc:AlternateContent>
      </w:r>
      <w:r>
        <w:t xml:space="preserve">               </w:t>
      </w:r>
      <w:r>
        <w:t xml:space="preserve">El procedimiento de contratación junto con los pliegos de cláusulas administrativas particulares y pliego de condiciones técnicas, han sido aprobados mediante acuerdo plenario de fecha 25 de septiembre de 2025.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pStyle w:val="Ttulo4"/>
        <w:ind w:left="274" w:right="461"/>
      </w:pPr>
      <w:r>
        <w:t xml:space="preserve">ACTO DE CALIFICACIÓN </w:t>
      </w:r>
    </w:p>
    <w:p w:rsidR="00025683" w:rsidRDefault="007C2AAB">
      <w:pPr>
        <w:spacing w:after="0" w:line="259" w:lineRule="auto"/>
        <w:ind w:left="0" w:right="133" w:firstLine="0"/>
        <w:jc w:val="center"/>
      </w:pPr>
      <w:r>
        <w:t xml:space="preserve"> </w:t>
      </w:r>
    </w:p>
    <w:p w:rsidR="00025683" w:rsidRDefault="007C2AAB">
      <w:pPr>
        <w:ind w:left="14" w:right="200"/>
      </w:pPr>
      <w:r>
        <w:t xml:space="preserve">             Se</w:t>
      </w:r>
      <w:r>
        <w:t xml:space="preserve"> declara abierto el acto por la Presidencia, la Secretaria manifiesta que no constan presentadas ofertas económicas. </w:t>
      </w:r>
    </w:p>
    <w:p w:rsidR="00025683" w:rsidRDefault="007C2AAB">
      <w:pPr>
        <w:spacing w:after="0" w:line="259" w:lineRule="auto"/>
        <w:ind w:left="14" w:firstLine="0"/>
        <w:jc w:val="left"/>
      </w:pPr>
      <w:r>
        <w:t xml:space="preserve"> </w:t>
      </w:r>
    </w:p>
    <w:p w:rsidR="00025683" w:rsidRDefault="007C2AAB">
      <w:pPr>
        <w:ind w:left="14" w:right="200"/>
      </w:pPr>
      <w:r>
        <w:t xml:space="preserve">             En consecuencia, la Mesa de Contratación acuerda por unanimidad de sus miembros proponer al órgano de contratación que adop</w:t>
      </w:r>
      <w:r>
        <w:t xml:space="preserve">te la resolución de declarar desierto el expediente de contratación al no constar ninguna oferta presentada. </w:t>
      </w:r>
    </w:p>
    <w:p w:rsidR="00025683" w:rsidRDefault="007C2AAB">
      <w:pPr>
        <w:ind w:left="14" w:right="200"/>
      </w:pPr>
      <w:r>
        <w:t xml:space="preserve">           En prueba y conformidad con cuanto antecede, se levanta la presente acta a las nueve horas y treinta y cinco minutos del mismo día, fir</w:t>
      </w:r>
      <w:r>
        <w:t>mando los miembros de la Mesa. De todo lo que, como Secretaria, doy fe.</w:t>
      </w:r>
      <w:r>
        <w:rPr>
          <w:sz w:val="23"/>
        </w:rPr>
        <w:t>”</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sz w:val="23"/>
        </w:rPr>
        <w:t xml:space="preserve"> </w:t>
      </w:r>
    </w:p>
    <w:p w:rsidR="00025683" w:rsidRDefault="007C2AAB">
      <w:pPr>
        <w:spacing w:after="0" w:line="259" w:lineRule="auto"/>
        <w:ind w:left="36" w:firstLine="0"/>
        <w:jc w:val="left"/>
      </w:pPr>
      <w:r>
        <w:rPr>
          <w:sz w:val="23"/>
        </w:rPr>
        <w:t xml:space="preserve"> </w:t>
      </w:r>
    </w:p>
    <w:p w:rsidR="00025683" w:rsidRDefault="007C2AAB">
      <w:pPr>
        <w:spacing w:after="0" w:line="259" w:lineRule="auto"/>
        <w:ind w:left="36" w:firstLine="0"/>
        <w:jc w:val="left"/>
      </w:pPr>
      <w:r>
        <w:rPr>
          <w:sz w:val="23"/>
        </w:rPr>
        <w:t xml:space="preserve"> </w:t>
      </w:r>
    </w:p>
    <w:p w:rsidR="00025683" w:rsidRDefault="007C2AAB">
      <w:pPr>
        <w:spacing w:after="0" w:line="259" w:lineRule="auto"/>
        <w:ind w:left="36" w:firstLine="0"/>
        <w:jc w:val="left"/>
      </w:pPr>
      <w:r>
        <w:rPr>
          <w:sz w:val="23"/>
        </w:rPr>
        <w:t xml:space="preserve"> </w:t>
      </w:r>
    </w:p>
    <w:p w:rsidR="00025683" w:rsidRDefault="007C2AAB">
      <w:pPr>
        <w:pStyle w:val="Ttulo4"/>
        <w:ind w:left="274" w:right="458"/>
      </w:pPr>
      <w:r>
        <w:t xml:space="preserve">Fundamentos de derecho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t xml:space="preserve"> </w:t>
      </w:r>
    </w:p>
    <w:p w:rsidR="00025683" w:rsidRDefault="007C2AAB">
      <w:pPr>
        <w:spacing w:after="12"/>
        <w:ind w:left="14" w:right="197"/>
      </w:pPr>
      <w:r>
        <w:rPr>
          <w:b/>
        </w:rPr>
        <w:t xml:space="preserve">Único.- Art. 150. Clasificación de las ofertas y adjudicación del contrato.  </w:t>
      </w:r>
    </w:p>
    <w:p w:rsidR="00025683" w:rsidRDefault="007C2AAB">
      <w:pPr>
        <w:spacing w:after="0" w:line="259" w:lineRule="auto"/>
        <w:ind w:left="14" w:firstLine="0"/>
        <w:jc w:val="left"/>
      </w:pPr>
      <w:r>
        <w:t xml:space="preserve"> </w:t>
      </w:r>
    </w:p>
    <w:p w:rsidR="00025683" w:rsidRDefault="007C2AAB">
      <w:pPr>
        <w:spacing w:line="238" w:lineRule="auto"/>
        <w:ind w:left="21" w:right="205"/>
      </w:pPr>
      <w:r>
        <w:rPr>
          <w:b/>
          <w:i/>
        </w:rPr>
        <w:t xml:space="preserve">           Apartado 3 </w:t>
      </w:r>
      <w:r>
        <w:rPr>
          <w:i/>
        </w:rPr>
        <w:t>de la Ley 9/2017, de 8 de noviembre, de Contratos del Sector Público, por el que se aprueba el Texto Refundido de Ley de Contratos del Sector Público, apartado tercero que dice: “El órgano de contratación adjudicará el contrato dentro de los cinco días háb</w:t>
      </w:r>
      <w:r>
        <w:rPr>
          <w:i/>
        </w:rPr>
        <w:t xml:space="preserve">iles siguientes a la recepción de la documentación. En los procedimientos negociados, de diálogo competitivo y de asociación para la innovación, la adjudicación concretará y fijará los términos definitivos del contrato. </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rPr>
          <w:i/>
        </w:rPr>
        <w:t xml:space="preserve">  </w:t>
      </w:r>
      <w:r>
        <w:rPr>
          <w:rFonts w:ascii="Times New Roman" w:eastAsia="Times New Roman" w:hAnsi="Times New Roman" w:cs="Times New Roman"/>
          <w:sz w:val="24"/>
        </w:rPr>
        <w:t xml:space="preserve"> </w:t>
      </w:r>
    </w:p>
    <w:p w:rsidR="00025683" w:rsidRDefault="007C2AAB">
      <w:pPr>
        <w:spacing w:after="31" w:line="238" w:lineRule="auto"/>
        <w:ind w:left="21" w:right="49"/>
      </w:pPr>
      <w:r>
        <w:rPr>
          <w:i/>
        </w:rPr>
        <w:t xml:space="preserve">          No podrá declararse </w:t>
      </w:r>
      <w:r>
        <w:rPr>
          <w:i/>
        </w:rPr>
        <w:t xml:space="preserve">desierta una licitación cuando exista alguna oferta o proposición que sea admisible de acuerdo con los criterios que figuren en el pliego.” </w:t>
      </w:r>
    </w:p>
    <w:p w:rsidR="00025683" w:rsidRDefault="007C2AAB">
      <w:pPr>
        <w:spacing w:after="0" w:line="259" w:lineRule="auto"/>
        <w:ind w:left="14" w:firstLine="0"/>
        <w:jc w:val="left"/>
      </w:pPr>
      <w:r>
        <w:rPr>
          <w:i/>
        </w:rPr>
        <w:t xml:space="preserve"> </w:t>
      </w:r>
    </w:p>
    <w:p w:rsidR="00025683" w:rsidRDefault="007C2AAB">
      <w:pPr>
        <w:spacing w:after="0" w:line="259" w:lineRule="auto"/>
        <w:ind w:left="14" w:firstLine="0"/>
        <w:jc w:val="left"/>
      </w:pPr>
      <w:r>
        <w:rPr>
          <w:i/>
        </w:rPr>
        <w:t xml:space="preserve"> </w:t>
      </w:r>
    </w:p>
    <w:p w:rsidR="00025683" w:rsidRDefault="007C2AAB">
      <w:pPr>
        <w:ind w:left="14" w:right="200"/>
      </w:pPr>
      <w:r>
        <w:t xml:space="preserve">        En base a los antecedentes de hecho y fundamentos de derecho expuestos, se emite la siguiente:  </w:t>
      </w:r>
    </w:p>
    <w:p w:rsidR="00025683" w:rsidRDefault="007C2AAB">
      <w:pPr>
        <w:spacing w:after="0" w:line="259" w:lineRule="auto"/>
        <w:ind w:left="29" w:firstLine="0"/>
        <w:jc w:val="left"/>
      </w:pPr>
      <w:r>
        <w:t xml:space="preserve"> </w:t>
      </w:r>
    </w:p>
    <w:p w:rsidR="00025683" w:rsidRDefault="007C2AAB">
      <w:pPr>
        <w:pStyle w:val="Ttulo4"/>
        <w:ind w:left="274" w:right="461"/>
      </w:pPr>
      <w:r>
        <w:t>PROP</w:t>
      </w:r>
      <w:r>
        <w:t xml:space="preserve">UESTA DE RESOLUCIÓN  </w:t>
      </w:r>
    </w:p>
    <w:p w:rsidR="00025683" w:rsidRDefault="007C2AAB">
      <w:pPr>
        <w:spacing w:after="0" w:line="259" w:lineRule="auto"/>
        <w:ind w:left="0" w:right="133" w:firstLine="0"/>
        <w:jc w:val="center"/>
      </w:pPr>
      <w:r>
        <w:t xml:space="preserve"> </w:t>
      </w:r>
    </w:p>
    <w:p w:rsidR="00025683" w:rsidRDefault="007C2AAB">
      <w:pPr>
        <w:ind w:left="14" w:right="200"/>
      </w:pPr>
      <w:r>
        <w:rPr>
          <w:b/>
        </w:rPr>
        <w:t xml:space="preserve">        1º</w:t>
      </w:r>
      <w:r>
        <w:t xml:space="preserve">.- Declarar desierto el expediente de contratación consistente en la ejecución del “Proyecto de ejecución de Piscina de Candelaria”, por no constar presentadas ofertas en el plazo concedido a tal efecto.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rPr>
          <w:b/>
        </w:rPr>
        <w:t xml:space="preserve">        2º.- </w:t>
      </w:r>
      <w:r>
        <w:t>Dejar sin efecto los documentos contables A aprobados en la presente licitación y dar traslado a la Intervención municipal para su cumplimiento: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5837" name="Group 37583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386" name="Rectangle 6386"/>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6387" name="Rectangle 6387"/>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388" name="Rectangle 6388"/>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w:t>
                              </w:r>
                              <w:r>
                                <w:rPr>
                                  <w:sz w:val="12"/>
                                </w:rPr>
                                <w:t xml:space="preserve">nto firmado electrónicamente desde la plataforma esPublico Gestiona | Página 26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5837" style="width:18.7031pt;height:260.874pt;position:absolute;mso-position-horizontal-relative:page;mso-position-horizontal:absolute;margin-left:662.928pt;mso-position-vertical-relative:page;margin-top:512.046pt;" coordsize="2375,33130">
                <v:rect id="Rectangle 6386"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638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38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350 </w:t>
                        </w:r>
                      </w:p>
                    </w:txbxContent>
                  </v:textbox>
                </v:rect>
                <w10:wrap type="square"/>
              </v:group>
            </w:pict>
          </mc:Fallback>
        </mc:AlternateContent>
      </w:r>
      <w:r>
        <w:t xml:space="preserve"> </w:t>
      </w:r>
    </w:p>
    <w:tbl>
      <w:tblPr>
        <w:tblStyle w:val="TableGrid"/>
        <w:tblW w:w="8646" w:type="dxa"/>
        <w:tblInd w:w="19" w:type="dxa"/>
        <w:tblCellMar>
          <w:top w:w="7" w:type="dxa"/>
          <w:left w:w="108" w:type="dxa"/>
          <w:bottom w:w="0" w:type="dxa"/>
          <w:right w:w="115" w:type="dxa"/>
        </w:tblCellMar>
        <w:tblLook w:val="04A0" w:firstRow="1" w:lastRow="0" w:firstColumn="1" w:lastColumn="0" w:noHBand="0" w:noVBand="1"/>
      </w:tblPr>
      <w:tblGrid>
        <w:gridCol w:w="2883"/>
        <w:gridCol w:w="2880"/>
        <w:gridCol w:w="2883"/>
      </w:tblGrid>
      <w:tr w:rsidR="00025683">
        <w:trPr>
          <w:trHeight w:val="773"/>
        </w:trPr>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70" w:firstLine="0"/>
              <w:jc w:val="center"/>
            </w:pPr>
            <w:r>
              <w:rPr>
                <w:b/>
                <w:i/>
              </w:rPr>
              <w:t xml:space="preserve"> </w:t>
            </w:r>
          </w:p>
          <w:p w:rsidR="00025683" w:rsidRDefault="007C2AAB">
            <w:pPr>
              <w:spacing w:after="0" w:line="259" w:lineRule="auto"/>
              <w:ind w:left="9" w:firstLine="0"/>
              <w:jc w:val="center"/>
            </w:pPr>
            <w:r>
              <w:rPr>
                <w:b/>
                <w:i/>
              </w:rPr>
              <w:t>Anualidad</w:t>
            </w:r>
            <w:r>
              <w:rPr>
                <w:rFonts w:ascii="Times New Roman" w:eastAsia="Times New Roman" w:hAnsi="Times New Roman" w:cs="Times New Roman"/>
                <w:sz w:val="24"/>
              </w:rPr>
              <w:t xml:space="preserve"> </w:t>
            </w:r>
          </w:p>
          <w:p w:rsidR="00025683" w:rsidRDefault="007C2AAB">
            <w:pPr>
              <w:spacing w:after="0" w:line="259" w:lineRule="auto"/>
              <w:ind w:left="70" w:firstLine="0"/>
              <w:jc w:val="center"/>
            </w:pPr>
            <w: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31" w:lineRule="auto"/>
              <w:ind w:left="0" w:firstLine="0"/>
              <w:jc w:val="center"/>
            </w:pPr>
            <w:r>
              <w:rPr>
                <w:b/>
                <w:i/>
              </w:rPr>
              <w:t>Aplicación  presupuestaria</w:t>
            </w:r>
            <w:r>
              <w:rPr>
                <w:rFonts w:ascii="Times New Roman" w:eastAsia="Times New Roman" w:hAnsi="Times New Roman" w:cs="Times New Roman"/>
                <w:sz w:val="24"/>
              </w:rPr>
              <w:t xml:space="preserve"> </w:t>
            </w:r>
          </w:p>
          <w:p w:rsidR="00025683" w:rsidRDefault="007C2AAB">
            <w:pPr>
              <w:spacing w:after="0" w:line="259" w:lineRule="auto"/>
              <w:ind w:left="68" w:firstLine="0"/>
              <w:jc w:val="center"/>
            </w:pPr>
            <w: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66" w:firstLine="0"/>
              <w:jc w:val="center"/>
            </w:pPr>
            <w:r>
              <w:t xml:space="preserve"> </w:t>
            </w:r>
          </w:p>
          <w:p w:rsidR="00025683" w:rsidRDefault="007C2AAB">
            <w:pPr>
              <w:spacing w:after="0" w:line="259" w:lineRule="auto"/>
              <w:ind w:left="7" w:firstLine="0"/>
              <w:jc w:val="center"/>
            </w:pPr>
            <w:r>
              <w:rPr>
                <w:b/>
                <w:i/>
              </w:rPr>
              <w:t>Importe</w:t>
            </w:r>
            <w:r>
              <w:rPr>
                <w:rFonts w:ascii="Times New Roman" w:eastAsia="Times New Roman" w:hAnsi="Times New Roman" w:cs="Times New Roman"/>
                <w:sz w:val="24"/>
              </w:rPr>
              <w:t xml:space="preserve"> </w:t>
            </w:r>
          </w:p>
          <w:p w:rsidR="00025683" w:rsidRDefault="007C2AAB">
            <w:pPr>
              <w:spacing w:after="0" w:line="259" w:lineRule="auto"/>
              <w:ind w:left="66" w:firstLine="0"/>
              <w:jc w:val="center"/>
            </w:pPr>
            <w:r>
              <w:t xml:space="preserve"> </w:t>
            </w:r>
          </w:p>
        </w:tc>
      </w:tr>
      <w:tr w:rsidR="00025683">
        <w:trPr>
          <w:trHeight w:val="770"/>
        </w:trPr>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2" w:firstLine="0"/>
              <w:jc w:val="left"/>
            </w:pPr>
            <w:r>
              <w:t xml:space="preserve"> </w:t>
            </w:r>
            <w:r>
              <w:tab/>
              <w:t xml:space="preserve"> </w:t>
            </w:r>
          </w:p>
          <w:p w:rsidR="00025683" w:rsidRDefault="007C2AAB">
            <w:pPr>
              <w:spacing w:after="0" w:line="259" w:lineRule="auto"/>
              <w:ind w:left="2" w:firstLine="0"/>
              <w:jc w:val="left"/>
            </w:pPr>
            <w:r>
              <w:rPr>
                <w:i/>
              </w:rPr>
              <w:t>2026</w:t>
            </w:r>
            <w:r>
              <w:rPr>
                <w:rFonts w:ascii="Times New Roman" w:eastAsia="Times New Roman" w:hAnsi="Times New Roman" w:cs="Times New Roman"/>
                <w:sz w:val="24"/>
              </w:rPr>
              <w:t xml:space="preserve"> </w:t>
            </w:r>
          </w:p>
          <w:p w:rsidR="00025683" w:rsidRDefault="007C2AAB">
            <w:pPr>
              <w:spacing w:after="0" w:line="259" w:lineRule="auto"/>
              <w:ind w:left="2" w:firstLine="0"/>
              <w:jc w:val="left"/>
            </w:pPr>
            <w: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t xml:space="preserve">15100.60912 </w:t>
            </w:r>
          </w:p>
          <w:p w:rsidR="00025683" w:rsidRDefault="007C2AAB">
            <w:pPr>
              <w:spacing w:after="0" w:line="259" w:lineRule="auto"/>
              <w:ind w:left="0" w:firstLine="0"/>
              <w:jc w:val="left"/>
            </w:pPr>
            <w:r>
              <w:t>A.2.25.0.06549</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t xml:space="preserve">3.562.752,91 euros </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t xml:space="preserve"> </w:t>
            </w:r>
          </w:p>
        </w:tc>
      </w:tr>
      <w:tr w:rsidR="00025683">
        <w:trPr>
          <w:trHeight w:val="770"/>
        </w:trPr>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2" w:firstLine="0"/>
              <w:jc w:val="left"/>
            </w:pPr>
            <w:r>
              <w:t>2027</w:t>
            </w:r>
            <w:r>
              <w:rPr>
                <w:rFonts w:ascii="Times New Roman" w:eastAsia="Times New Roman" w:hAnsi="Times New Roman" w:cs="Times New Roman"/>
                <w:sz w:val="24"/>
              </w:rPr>
              <w:t xml:space="preserve"> </w:t>
            </w:r>
          </w:p>
          <w:p w:rsidR="00025683" w:rsidRDefault="007C2AAB">
            <w:pPr>
              <w:spacing w:after="0" w:line="259" w:lineRule="auto"/>
              <w:ind w:left="2" w:firstLine="0"/>
              <w:jc w:val="left"/>
            </w:pPr>
            <w: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t xml:space="preserve">15100.60912 </w:t>
            </w:r>
          </w:p>
          <w:p w:rsidR="00025683" w:rsidRDefault="007C2AAB">
            <w:pPr>
              <w:spacing w:after="0" w:line="259" w:lineRule="auto"/>
              <w:ind w:left="0" w:firstLine="0"/>
              <w:jc w:val="left"/>
            </w:pPr>
            <w:r>
              <w:t>A.2.25.0.06550</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t xml:space="preserve"> </w:t>
            </w:r>
          </w:p>
          <w:p w:rsidR="00025683" w:rsidRDefault="007C2AAB">
            <w:pPr>
              <w:spacing w:after="0" w:line="259" w:lineRule="auto"/>
              <w:ind w:left="0" w:firstLine="0"/>
              <w:jc w:val="left"/>
            </w:pPr>
            <w:r>
              <w:t xml:space="preserve">3.562.752,91 euros </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t xml:space="preserve"> </w:t>
            </w:r>
          </w:p>
        </w:tc>
      </w:tr>
    </w:tbl>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25" w:line="259" w:lineRule="auto"/>
        <w:ind w:left="14" w:firstLine="0"/>
        <w:jc w:val="left"/>
      </w:pPr>
      <w:r>
        <w:rPr>
          <w:i/>
        </w:rPr>
        <w:t xml:space="preserve"> </w:t>
      </w:r>
    </w:p>
    <w:p w:rsidR="00025683" w:rsidRDefault="007C2AAB">
      <w:pPr>
        <w:ind w:left="14" w:right="200"/>
      </w:pPr>
      <w:r>
        <w:rPr>
          <w:b/>
        </w:rPr>
        <w:t xml:space="preserve">       3º</w:t>
      </w:r>
      <w:r>
        <w:t>.-Publicar la declaración de desierto en la plataforma de contratación del estado.”.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1" w:line="249" w:lineRule="auto"/>
        <w:ind w:left="17" w:right="197" w:hanging="10"/>
      </w:pPr>
      <w:r>
        <w:rPr>
          <w:b/>
          <w:sz w:val="24"/>
        </w:rPr>
        <w:t>Consta en el expediente Propuesta de la alcaldesa-</w:t>
      </w:r>
      <w:r>
        <w:rPr>
          <w:b/>
          <w:sz w:val="24"/>
        </w:rPr>
        <w:t>Presidenta al Pleno de declarar desierto el expediente de contratación publicado en el DOUE de 01 de octubre de 2025, consistente en la ejecución de obra del “Proyecto de ejecución de Piscina de Candelaria”, por no constar presentadas ofertas a la ejecució</w:t>
      </w:r>
      <w:r>
        <w:rPr>
          <w:b/>
          <w:sz w:val="24"/>
        </w:rPr>
        <w:t xml:space="preserve">n del proyecto redactado por el Arquitecto Don Jorge Mosquera Paniagua, de fecha 10 de noviembre de 2025, que transcrito literalmente dice: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12"/>
        <w:ind w:left="14" w:right="197"/>
      </w:pPr>
      <w:r>
        <w:rPr>
          <w:b/>
        </w:rPr>
        <w:t xml:space="preserve">                                                     “PROPUESTA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Times New Roman" w:eastAsia="Times New Roman" w:hAnsi="Times New Roman" w:cs="Times New Roman"/>
          <w:sz w:val="24"/>
        </w:rPr>
        <w:t xml:space="preserve"> </w:t>
      </w:r>
    </w:p>
    <w:p w:rsidR="00025683" w:rsidRDefault="007C2AAB">
      <w:pPr>
        <w:ind w:left="14" w:right="200"/>
      </w:pPr>
      <w:r>
        <w:t xml:space="preserve"> La que suscribe, Dña. Mª Concepción Brito </w:t>
      </w:r>
      <w:r>
        <w:t>Núñez, Alcaldesa Presidenta del Ayuntamiento de la Villa de Candelaria, al amparo de lo dispuesto en el Reglamento de Organización, Funcionamiento y Régimen Jurídico de las Entidades Locales, así como en la Ley 7/1985, de 2 de abril, Reguladora de las Base</w:t>
      </w:r>
      <w:r>
        <w:t xml:space="preserve">s de Régimen Local, tienen el honor de someter a la consideración del Ayuntamiento Pleno la siguiente propuesta: </w:t>
      </w:r>
    </w:p>
    <w:p w:rsidR="00025683" w:rsidRDefault="007C2AAB">
      <w:pPr>
        <w:spacing w:after="29" w:line="259" w:lineRule="auto"/>
        <w:ind w:left="14" w:firstLine="0"/>
        <w:jc w:val="left"/>
      </w:pPr>
      <w:r>
        <w:t xml:space="preserve"> </w:t>
      </w:r>
    </w:p>
    <w:p w:rsidR="00025683" w:rsidRDefault="007C2AAB">
      <w:pPr>
        <w:pStyle w:val="Ttulo4"/>
        <w:ind w:left="274" w:right="460"/>
      </w:pPr>
      <w:r>
        <w:t xml:space="preserve">“INFORME </w:t>
      </w:r>
      <w:r>
        <w:rPr>
          <w:rFonts w:ascii="Times New Roman" w:eastAsia="Times New Roman" w:hAnsi="Times New Roman" w:cs="Times New Roman"/>
          <w:b w:val="0"/>
          <w:sz w:val="24"/>
        </w:rPr>
        <w:t xml:space="preserve"> </w:t>
      </w:r>
    </w:p>
    <w:p w:rsidR="00025683" w:rsidRDefault="007C2AAB">
      <w:pPr>
        <w:spacing w:after="12"/>
        <w:ind w:left="14" w:right="197"/>
      </w:pPr>
      <w:r>
        <w:rPr>
          <w:b/>
        </w:rPr>
        <w:t>Visto el expediente antedicho, la funcionaria Mª del Pilar Chico Delgado, que desempeña el puesto de trabajo de técnico de adm.gr</w:t>
      </w:r>
      <w:r>
        <w:rPr>
          <w:b/>
        </w:rPr>
        <w:t xml:space="preserve">al., conformado por el Secretario General, fiscalizado favorablemente por el Interventor Municipal, emite el siguiente informe:  </w:t>
      </w:r>
    </w:p>
    <w:p w:rsidR="00025683" w:rsidRDefault="007C2AAB">
      <w:pPr>
        <w:spacing w:after="0" w:line="259" w:lineRule="auto"/>
        <w:ind w:left="14" w:firstLine="0"/>
        <w:jc w:val="left"/>
      </w:pPr>
      <w:r>
        <w:t xml:space="preserve"> </w:t>
      </w:r>
    </w:p>
    <w:p w:rsidR="00025683" w:rsidRDefault="007C2AAB">
      <w:pPr>
        <w:pStyle w:val="Ttulo4"/>
        <w:ind w:left="274" w:right="461"/>
      </w:pPr>
      <w:r>
        <w:t xml:space="preserve">Antecedentes de hecho </w:t>
      </w:r>
    </w:p>
    <w:p w:rsidR="00025683" w:rsidRDefault="007C2AAB">
      <w:pPr>
        <w:spacing w:after="0" w:line="259" w:lineRule="auto"/>
        <w:ind w:left="0" w:right="133" w:firstLine="0"/>
        <w:jc w:val="center"/>
      </w:pPr>
      <w:r>
        <w:t xml:space="preserve"> </w:t>
      </w:r>
    </w:p>
    <w:p w:rsidR="00025683" w:rsidRDefault="007C2AAB">
      <w:pPr>
        <w:ind w:left="14" w:right="200"/>
      </w:pPr>
      <w:r>
        <w:rPr>
          <w:b/>
        </w:rPr>
        <w:t xml:space="preserve">         Visto </w:t>
      </w:r>
      <w:r>
        <w:t>que por Acuerdo del Ayuntamiento Pleno en sesión ordinaria de fecha 25 de septiembre</w:t>
      </w:r>
      <w:r>
        <w:t xml:space="preserve"> de 2025, se aprobó el expediente de contratación consistente en la ejecución del “Proyecto de ejecución de Piscina de Candelaria”, así como el pliego de cláusulas administrativas y de prescripciones técnicas, por procedimiento abierto, regulación armoniza</w:t>
      </w:r>
      <w:r>
        <w:t>da.</w:t>
      </w:r>
      <w:r>
        <w:rPr>
          <w:rFonts w:ascii="Times New Roman" w:eastAsia="Times New Roman" w:hAnsi="Times New Roman" w:cs="Times New Roman"/>
          <w:sz w:val="24"/>
        </w:rPr>
        <w:t xml:space="preserve"> </w:t>
      </w:r>
    </w:p>
    <w:p w:rsidR="00025683" w:rsidRDefault="007C2AAB">
      <w:pPr>
        <w:spacing w:after="0" w:line="259" w:lineRule="auto"/>
        <w:ind w:left="26" w:firstLine="0"/>
        <w:jc w:val="left"/>
      </w:pPr>
      <w:r>
        <w:t xml:space="preserve"> </w:t>
      </w:r>
    </w:p>
    <w:p w:rsidR="00025683" w:rsidRDefault="007C2AAB">
      <w:pPr>
        <w:ind w:left="14" w:right="200"/>
      </w:pPr>
      <w:r>
        <w:rPr>
          <w:b/>
        </w:rPr>
        <w:t xml:space="preserve">        Visto </w:t>
      </w:r>
      <w:r>
        <w:t xml:space="preserve">que con fecha de 02 de octubre de 2025 consta publicada en la plataforma de contratación del estado, el anuncio de la licitación para la presentación de ofertas. </w:t>
      </w:r>
      <w:r>
        <w:rPr>
          <w:rFonts w:ascii="Times New Roman" w:eastAsia="Times New Roman" w:hAnsi="Times New Roman" w:cs="Times New Roman"/>
          <w:sz w:val="24"/>
        </w:rPr>
        <w:t xml:space="preserve"> </w:t>
      </w:r>
    </w:p>
    <w:p w:rsidR="00025683" w:rsidRDefault="007C2AAB">
      <w:pPr>
        <w:spacing w:after="0" w:line="259" w:lineRule="auto"/>
        <w:ind w:left="26"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4851" name="Group 37485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520" name="Rectangle 6520"/>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6521" name="Rectangle 6521"/>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522" name="Rectangle 6522"/>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4851" style="width:18.7031pt;height:260.874pt;position:absolute;mso-position-horizontal-relative:page;mso-position-horizontal:absolute;margin-left:662.928pt;mso-position-vertical-relative:page;margin-top:512.046pt;" coordsize="2375,33130">
                <v:rect id="Rectangle 6520"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652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52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350 </w:t>
                        </w:r>
                      </w:p>
                    </w:txbxContent>
                  </v:textbox>
                </v:rect>
                <w10:wrap type="square"/>
              </v:group>
            </w:pict>
          </mc:Fallback>
        </mc:AlternateContent>
      </w:r>
      <w:r>
        <w:rPr>
          <w:b/>
        </w:rPr>
        <w:t xml:space="preserve">        Visto </w:t>
      </w:r>
      <w:r>
        <w:t>que con fecha 06 de noviembre de 2025, se constituyó en primera sesión la Mesa de Contratació</w:t>
      </w:r>
      <w:r>
        <w:t xml:space="preserve">n, siendo su contenido del siguiente tenor literal: </w:t>
      </w:r>
      <w:r>
        <w:rPr>
          <w:rFonts w:ascii="Times New Roman" w:eastAsia="Times New Roman" w:hAnsi="Times New Roman" w:cs="Times New Roman"/>
          <w:sz w:val="24"/>
        </w:rPr>
        <w:t xml:space="preserve"> </w:t>
      </w:r>
    </w:p>
    <w:p w:rsidR="00025683" w:rsidRDefault="007C2AAB">
      <w:pPr>
        <w:spacing w:after="0" w:line="259" w:lineRule="auto"/>
        <w:ind w:left="26" w:firstLine="0"/>
        <w:jc w:val="left"/>
      </w:pPr>
      <w:r>
        <w:t xml:space="preserve"> </w:t>
      </w:r>
    </w:p>
    <w:p w:rsidR="00025683" w:rsidRDefault="007C2AAB">
      <w:pPr>
        <w:spacing w:after="0" w:line="259" w:lineRule="auto"/>
        <w:ind w:left="26" w:firstLine="0"/>
        <w:jc w:val="left"/>
      </w:pPr>
      <w:r>
        <w:t xml:space="preserve"> </w:t>
      </w:r>
    </w:p>
    <w:p w:rsidR="00025683" w:rsidRDefault="007C2AAB">
      <w:pPr>
        <w:pStyle w:val="Ttulo4"/>
        <w:ind w:left="274" w:right="468"/>
      </w:pPr>
      <w:r>
        <w:rPr>
          <w:b w:val="0"/>
        </w:rPr>
        <w:t>“</w:t>
      </w:r>
      <w:r>
        <w:t>ACTA Nº 1: EJECUCIÓN OBRA "PISCINA DE CANDELARIA"</w:t>
      </w:r>
      <w:r>
        <w:rPr>
          <w:rFonts w:ascii="Times New Roman" w:eastAsia="Times New Roman" w:hAnsi="Times New Roman" w:cs="Times New Roman"/>
          <w:b w:val="0"/>
          <w:sz w:val="24"/>
        </w:rPr>
        <w:t xml:space="preserve"> </w:t>
      </w:r>
    </w:p>
    <w:p w:rsidR="00025683" w:rsidRDefault="007C2AAB">
      <w:pPr>
        <w:spacing w:after="0" w:line="259" w:lineRule="auto"/>
        <w:ind w:left="0" w:right="133" w:firstLine="0"/>
        <w:jc w:val="center"/>
      </w:pPr>
      <w:r>
        <w:t xml:space="preserve"> </w:t>
      </w:r>
    </w:p>
    <w:p w:rsidR="00025683" w:rsidRDefault="007C2AAB">
      <w:pPr>
        <w:spacing w:after="3" w:line="259" w:lineRule="auto"/>
        <w:ind w:left="9" w:hanging="10"/>
        <w:jc w:val="left"/>
      </w:pPr>
      <w:r>
        <w:rPr>
          <w:b/>
          <w:u w:val="single" w:color="000000"/>
        </w:rPr>
        <w:t>Asistentes: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3" w:line="259" w:lineRule="auto"/>
        <w:ind w:left="9" w:hanging="10"/>
        <w:jc w:val="left"/>
      </w:pPr>
      <w:r>
        <w:rPr>
          <w:sz w:val="24"/>
        </w:rPr>
        <w:t xml:space="preserve"> </w:t>
      </w:r>
      <w:r>
        <w:rPr>
          <w:b/>
          <w:u w:val="single" w:color="000000"/>
        </w:rPr>
        <w:t>Presidente</w:t>
      </w:r>
      <w:r>
        <w:rPr>
          <w:b/>
        </w:rPr>
        <w:t>:</w:t>
      </w:r>
      <w:r>
        <w:rPr>
          <w:rFonts w:ascii="Times New Roman" w:eastAsia="Times New Roman" w:hAnsi="Times New Roman" w:cs="Times New Roman"/>
          <w:sz w:val="24"/>
        </w:rPr>
        <w:t xml:space="preserve"> </w:t>
      </w:r>
    </w:p>
    <w:p w:rsidR="00025683" w:rsidRDefault="007C2AAB">
      <w:pPr>
        <w:ind w:left="14" w:right="200"/>
      </w:pPr>
      <w:r>
        <w:t xml:space="preserve">D. Jorge Baute Delgado. </w:t>
      </w:r>
    </w:p>
    <w:p w:rsidR="00025683" w:rsidRDefault="007C2AAB">
      <w:pPr>
        <w:spacing w:after="0" w:line="259" w:lineRule="auto"/>
        <w:ind w:left="14" w:firstLine="0"/>
        <w:jc w:val="left"/>
      </w:pPr>
      <w:r>
        <w:t xml:space="preserve"> </w:t>
      </w:r>
    </w:p>
    <w:p w:rsidR="00025683" w:rsidRDefault="007C2AAB">
      <w:pPr>
        <w:spacing w:after="3" w:line="259" w:lineRule="auto"/>
        <w:ind w:left="9" w:hanging="10"/>
        <w:jc w:val="left"/>
      </w:pPr>
      <w:r>
        <w:rPr>
          <w:b/>
          <w:u w:val="single" w:color="000000"/>
        </w:rPr>
        <w:t>Vocales</w:t>
      </w:r>
      <w:r>
        <w:rPr>
          <w:b/>
        </w:rPr>
        <w:t>:</w:t>
      </w:r>
      <w:r>
        <w:rPr>
          <w:rFonts w:ascii="Times New Roman" w:eastAsia="Times New Roman" w:hAnsi="Times New Roman" w:cs="Times New Roman"/>
          <w:sz w:val="24"/>
        </w:rPr>
        <w:t xml:space="preserve"> </w:t>
      </w:r>
    </w:p>
    <w:p w:rsidR="00025683" w:rsidRDefault="007C2AAB">
      <w:pPr>
        <w:ind w:left="14" w:right="200"/>
      </w:pPr>
      <w:r>
        <w:t xml:space="preserve">D. Octavio Manuel Fernández Hernández. </w:t>
      </w:r>
    </w:p>
    <w:p w:rsidR="00025683" w:rsidRDefault="007C2AAB">
      <w:pPr>
        <w:ind w:left="14" w:right="200"/>
      </w:pPr>
      <w:r>
        <w:t xml:space="preserve">D. Nicolás Rojo Garnica </w:t>
      </w:r>
    </w:p>
    <w:p w:rsidR="00025683" w:rsidRDefault="007C2AAB">
      <w:pPr>
        <w:ind w:left="14" w:right="200"/>
      </w:pPr>
      <w:r>
        <w:t xml:space="preserve">D. Reinaldo José Triviño Blanco  </w:t>
      </w:r>
    </w:p>
    <w:p w:rsidR="00025683" w:rsidRDefault="007C2AAB">
      <w:pPr>
        <w:ind w:left="14" w:right="200"/>
      </w:pPr>
      <w:r>
        <w:t xml:space="preserve">Dña. Helena Larrinaga Doval </w:t>
      </w:r>
    </w:p>
    <w:p w:rsidR="00025683" w:rsidRDefault="007C2AAB">
      <w:pPr>
        <w:spacing w:after="0" w:line="259" w:lineRule="auto"/>
        <w:ind w:left="14" w:firstLine="0"/>
        <w:jc w:val="left"/>
      </w:pPr>
      <w:r>
        <w:t xml:space="preserve"> </w:t>
      </w:r>
    </w:p>
    <w:p w:rsidR="00025683" w:rsidRDefault="007C2AAB">
      <w:pPr>
        <w:spacing w:after="3" w:line="259" w:lineRule="auto"/>
        <w:ind w:left="9" w:hanging="10"/>
        <w:jc w:val="left"/>
      </w:pPr>
      <w:r>
        <w:rPr>
          <w:b/>
          <w:u w:val="single" w:color="000000"/>
        </w:rPr>
        <w:t>Secretaria</w:t>
      </w:r>
      <w:r>
        <w:rPr>
          <w:b/>
        </w:rPr>
        <w:t>:</w:t>
      </w:r>
      <w:r>
        <w:rPr>
          <w:rFonts w:ascii="Times New Roman" w:eastAsia="Times New Roman" w:hAnsi="Times New Roman" w:cs="Times New Roman"/>
          <w:sz w:val="24"/>
        </w:rPr>
        <w:t xml:space="preserve"> </w:t>
      </w:r>
    </w:p>
    <w:p w:rsidR="00025683" w:rsidRDefault="007C2AAB">
      <w:pPr>
        <w:ind w:left="14" w:right="200"/>
      </w:pPr>
      <w:r>
        <w:t xml:space="preserve">Dña. María del Pilar Chico Delgado.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3" w:line="259" w:lineRule="auto"/>
        <w:ind w:left="9" w:hanging="10"/>
        <w:jc w:val="left"/>
      </w:pPr>
      <w:r>
        <w:rPr>
          <w:b/>
          <w:u w:val="single" w:color="000000"/>
        </w:rPr>
        <w:t>No asistentes.</w:t>
      </w: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                </w:t>
      </w:r>
      <w:r>
        <w:t>En Candelaria a 06 de noviembre de 2025, siendo las nueve horas y quince minutos, se constituye en la Sala de Reuniones de la Casa Consistorial a la Mesa de Contratación designada para la contratación, por procedimiento abierto, consistente en la ejecución</w:t>
      </w:r>
      <w:r>
        <w:t xml:space="preserve"> obra “Piscina de Candelaria”, de acuerdo con lo establecido en la cláusula decimoséptima del Pliego de Cláusulas Administrativas particulares que rigen el mencionado concurso, a los efectos de apertura del Archivo electrónico A. </w:t>
      </w:r>
    </w:p>
    <w:p w:rsidR="00025683" w:rsidRDefault="007C2AAB">
      <w:pPr>
        <w:spacing w:after="0" w:line="259" w:lineRule="auto"/>
        <w:ind w:left="14" w:firstLine="0"/>
        <w:jc w:val="left"/>
      </w:pPr>
      <w:r>
        <w:t xml:space="preserve"> </w:t>
      </w:r>
    </w:p>
    <w:p w:rsidR="00025683" w:rsidRDefault="007C2AAB">
      <w:pPr>
        <w:ind w:left="14" w:right="200"/>
      </w:pPr>
      <w:r>
        <w:t xml:space="preserve">               El proce</w:t>
      </w:r>
      <w:r>
        <w:t xml:space="preserve">dimiento de contratación junto con los pliegos de cláusulas administrativas particulares y pliego de condiciones técnicas, han sido aprobados mediante acuerdo plenario de fecha 25 de septiembre de 2025.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pStyle w:val="Ttulo4"/>
        <w:ind w:left="274" w:right="461"/>
      </w:pPr>
      <w:r>
        <w:t xml:space="preserve">ACTO DE CALIFICACIÓN </w:t>
      </w:r>
    </w:p>
    <w:p w:rsidR="00025683" w:rsidRDefault="007C2AAB">
      <w:pPr>
        <w:spacing w:after="0" w:line="259" w:lineRule="auto"/>
        <w:ind w:left="0" w:right="133" w:firstLine="0"/>
        <w:jc w:val="center"/>
      </w:pPr>
      <w:r>
        <w:t xml:space="preserve"> </w:t>
      </w:r>
    </w:p>
    <w:p w:rsidR="00025683" w:rsidRDefault="007C2AAB">
      <w:pPr>
        <w:ind w:left="14" w:right="200"/>
      </w:pPr>
      <w:r>
        <w:t xml:space="preserve">             </w:t>
      </w:r>
      <w:r>
        <w:t xml:space="preserve">Se declara abierto el acto por la Presidencia, la Secretaria manifiesta que no constan presentadas ofertas económicas. </w:t>
      </w:r>
    </w:p>
    <w:p w:rsidR="00025683" w:rsidRDefault="007C2AAB">
      <w:pPr>
        <w:spacing w:after="0" w:line="259" w:lineRule="auto"/>
        <w:ind w:left="14" w:firstLine="0"/>
        <w:jc w:val="left"/>
      </w:pPr>
      <w:r>
        <w:t xml:space="preserve"> </w:t>
      </w:r>
    </w:p>
    <w:p w:rsidR="00025683" w:rsidRDefault="007C2AAB">
      <w:pPr>
        <w:ind w:left="14" w:right="200"/>
      </w:pPr>
      <w:r>
        <w:t xml:space="preserve">             En consecuencia, la Mesa de Contratación acuerda por unanimidad de sus miembros proponer al órgano de contratación que ad</w:t>
      </w:r>
      <w:r>
        <w:t xml:space="preserve">opte la resolución de declarar desierto el expediente de contratación al no constar ninguna oferta presentada.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75177" name="Group 3751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632" name="Rectangle 6632"/>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6633" name="Rectangle 6633"/>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634" name="Rectangle 6634"/>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w:t>
                              </w:r>
                              <w:r>
                                <w:rPr>
                                  <w:sz w:val="12"/>
                                </w:rPr>
                                <w:t xml:space="preserve">esde la plataforma esPublico Gestiona | Página 28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75177" style="width:18.7031pt;height:260.874pt;position:absolute;mso-position-horizontal-relative:page;mso-position-horizontal:absolute;margin-left:662.928pt;mso-position-vertical-relative:page;margin-top:512.046pt;" coordsize="2375,33130">
                <v:rect id="Rectangle 6632"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663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63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350 </w:t>
                        </w:r>
                      </w:p>
                    </w:txbxContent>
                  </v:textbox>
                </v:rect>
                <w10:wrap type="square"/>
              </v:group>
            </w:pict>
          </mc:Fallback>
        </mc:AlternateContent>
      </w:r>
      <w:r>
        <w:t xml:space="preserve">           En prueba y conformidad con cuanto antecede, se levanta la presente acta a las nueve horas y treinta y cinco minutos del mismo día, firmando los miembros de la Mesa. De todo lo que, como </w:t>
      </w:r>
      <w:r>
        <w:t>Secretaria, doy fe.</w:t>
      </w:r>
      <w:r>
        <w:rPr>
          <w:sz w:val="23"/>
        </w:rPr>
        <w:t>”</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sz w:val="23"/>
        </w:rPr>
        <w:t xml:space="preserve"> </w:t>
      </w:r>
    </w:p>
    <w:p w:rsidR="00025683" w:rsidRDefault="007C2AAB">
      <w:pPr>
        <w:spacing w:after="0" w:line="259" w:lineRule="auto"/>
        <w:ind w:left="36" w:firstLine="0"/>
        <w:jc w:val="left"/>
      </w:pPr>
      <w:r>
        <w:rPr>
          <w:sz w:val="23"/>
        </w:rPr>
        <w:t xml:space="preserve"> </w:t>
      </w:r>
    </w:p>
    <w:p w:rsidR="00025683" w:rsidRDefault="007C2AAB">
      <w:pPr>
        <w:pStyle w:val="Ttulo4"/>
        <w:ind w:left="274" w:right="458"/>
      </w:pPr>
      <w:r>
        <w:t xml:space="preserve">Fundamentos de derecho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t xml:space="preserve"> </w:t>
      </w:r>
    </w:p>
    <w:p w:rsidR="00025683" w:rsidRDefault="007C2AAB">
      <w:pPr>
        <w:spacing w:after="12"/>
        <w:ind w:left="14" w:right="197"/>
      </w:pPr>
      <w:r>
        <w:rPr>
          <w:b/>
        </w:rPr>
        <w:t xml:space="preserve">Único.- Art. 150. Clasificación de las ofertas y adjudicación del contrato.  </w:t>
      </w:r>
    </w:p>
    <w:p w:rsidR="00025683" w:rsidRDefault="007C2AAB">
      <w:pPr>
        <w:spacing w:after="0" w:line="259" w:lineRule="auto"/>
        <w:ind w:left="14" w:firstLine="0"/>
        <w:jc w:val="left"/>
      </w:pPr>
      <w:r>
        <w:t xml:space="preserve"> </w:t>
      </w:r>
    </w:p>
    <w:p w:rsidR="00025683" w:rsidRDefault="007C2AAB">
      <w:pPr>
        <w:spacing w:line="238" w:lineRule="auto"/>
        <w:ind w:left="21" w:right="205"/>
      </w:pPr>
      <w:r>
        <w:rPr>
          <w:b/>
          <w:i/>
        </w:rPr>
        <w:t xml:space="preserve">           Apartado 3 </w:t>
      </w:r>
      <w:r>
        <w:rPr>
          <w:i/>
        </w:rPr>
        <w:t>de la Ley 9/2017, de 8 de noviembre, de Contratos del Sector Público, por el que se aprueba el Texto Refundido de Ley de Contratos del Sector Público, apartado tercero que dice: “El órgano de contratación adjudicará el contrato dentro de los cinco días háb</w:t>
      </w:r>
      <w:r>
        <w:rPr>
          <w:i/>
        </w:rPr>
        <w:t xml:space="preserve">iles siguientes a la recepción de la documentación. En los procedimientos negociados, de diálogo competitivo y de asociación para la innovación, la adjudicación concretará y fijará los términos definitivos del contrato. </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rPr>
          <w:i/>
        </w:rPr>
        <w:t xml:space="preserve">  </w:t>
      </w:r>
      <w:r>
        <w:rPr>
          <w:rFonts w:ascii="Times New Roman" w:eastAsia="Times New Roman" w:hAnsi="Times New Roman" w:cs="Times New Roman"/>
          <w:sz w:val="24"/>
        </w:rPr>
        <w:t xml:space="preserve"> </w:t>
      </w:r>
    </w:p>
    <w:p w:rsidR="00025683" w:rsidRDefault="007C2AAB">
      <w:pPr>
        <w:spacing w:after="34" w:line="238" w:lineRule="auto"/>
        <w:ind w:left="21" w:right="49"/>
      </w:pPr>
      <w:r>
        <w:rPr>
          <w:i/>
        </w:rPr>
        <w:t xml:space="preserve">          No podrá declararse </w:t>
      </w:r>
      <w:r>
        <w:rPr>
          <w:i/>
        </w:rPr>
        <w:t xml:space="preserve">desierta una licitación cuando exista alguna oferta o proposición que sea admisible de acuerdo con los criterios que figuren en el pliego.” </w:t>
      </w:r>
    </w:p>
    <w:p w:rsidR="00025683" w:rsidRDefault="007C2AAB">
      <w:pPr>
        <w:ind w:left="14" w:right="200"/>
      </w:pPr>
      <w:r>
        <w:t xml:space="preserve">        En base a los antecedentes de hecho y fundamentos de derecho expuestos, se emite la siguiente:  </w:t>
      </w:r>
    </w:p>
    <w:p w:rsidR="00025683" w:rsidRDefault="007C2AAB">
      <w:pPr>
        <w:spacing w:after="0" w:line="259" w:lineRule="auto"/>
        <w:ind w:left="29" w:firstLine="0"/>
        <w:jc w:val="left"/>
      </w:pPr>
      <w:r>
        <w:t xml:space="preserve"> </w:t>
      </w:r>
    </w:p>
    <w:p w:rsidR="00025683" w:rsidRDefault="007C2AAB">
      <w:pPr>
        <w:spacing w:after="0" w:line="259" w:lineRule="auto"/>
        <w:ind w:left="0" w:right="133" w:firstLine="0"/>
        <w:jc w:val="center"/>
      </w:pPr>
      <w:r>
        <w:rPr>
          <w:b/>
        </w:rPr>
        <w:t xml:space="preserve"> </w:t>
      </w:r>
    </w:p>
    <w:p w:rsidR="00025683" w:rsidRDefault="007C2AAB">
      <w:pPr>
        <w:pStyle w:val="Ttulo4"/>
        <w:ind w:left="274" w:right="461"/>
      </w:pPr>
      <w:r>
        <w:t>PROPUE</w:t>
      </w:r>
      <w:r>
        <w:t xml:space="preserve">STA DE RESOLUCIÓN  </w:t>
      </w:r>
    </w:p>
    <w:p w:rsidR="00025683" w:rsidRDefault="007C2AAB">
      <w:pPr>
        <w:spacing w:after="0" w:line="259" w:lineRule="auto"/>
        <w:ind w:left="0" w:right="133" w:firstLine="0"/>
        <w:jc w:val="center"/>
      </w:pPr>
      <w:r>
        <w:t xml:space="preserve"> </w:t>
      </w:r>
    </w:p>
    <w:p w:rsidR="00025683" w:rsidRDefault="007C2AAB">
      <w:pPr>
        <w:ind w:left="14" w:right="200"/>
      </w:pPr>
      <w:r>
        <w:rPr>
          <w:b/>
        </w:rPr>
        <w:t xml:space="preserve">        1º</w:t>
      </w:r>
      <w:r>
        <w:t xml:space="preserve">.- Declarar desierto el expediente de contratación consistente en la ejecución del “Proyecto de ejecución de Piscina de Candelaria”, por no constar presentadas ofertas en el plazo concedido a tal efecto.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rPr>
          <w:b/>
        </w:rPr>
        <w:t xml:space="preserve">        2º.- </w:t>
      </w:r>
      <w:r>
        <w:t>Dejar sin efecto los documentos contables A aprobados en la presente licitación y dar traslado a la Intervención municipal para su cumplimiento: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tbl>
      <w:tblPr>
        <w:tblStyle w:val="TableGrid"/>
        <w:tblW w:w="8646" w:type="dxa"/>
        <w:tblInd w:w="19" w:type="dxa"/>
        <w:tblCellMar>
          <w:top w:w="9" w:type="dxa"/>
          <w:left w:w="108" w:type="dxa"/>
          <w:bottom w:w="0" w:type="dxa"/>
          <w:right w:w="115" w:type="dxa"/>
        </w:tblCellMar>
        <w:tblLook w:val="04A0" w:firstRow="1" w:lastRow="0" w:firstColumn="1" w:lastColumn="0" w:noHBand="0" w:noVBand="1"/>
      </w:tblPr>
      <w:tblGrid>
        <w:gridCol w:w="2883"/>
        <w:gridCol w:w="2880"/>
        <w:gridCol w:w="2883"/>
      </w:tblGrid>
      <w:tr w:rsidR="00025683">
        <w:trPr>
          <w:trHeight w:val="773"/>
        </w:trPr>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70" w:firstLine="0"/>
              <w:jc w:val="center"/>
            </w:pPr>
            <w:r>
              <w:rPr>
                <w:b/>
                <w:i/>
              </w:rPr>
              <w:t xml:space="preserve"> </w:t>
            </w:r>
          </w:p>
          <w:p w:rsidR="00025683" w:rsidRDefault="007C2AAB">
            <w:pPr>
              <w:spacing w:after="0" w:line="259" w:lineRule="auto"/>
              <w:ind w:left="9" w:firstLine="0"/>
              <w:jc w:val="center"/>
            </w:pPr>
            <w:r>
              <w:rPr>
                <w:b/>
                <w:i/>
              </w:rPr>
              <w:t>Anualidad</w:t>
            </w:r>
            <w:r>
              <w:rPr>
                <w:rFonts w:ascii="Times New Roman" w:eastAsia="Times New Roman" w:hAnsi="Times New Roman" w:cs="Times New Roman"/>
                <w:sz w:val="24"/>
              </w:rPr>
              <w:t xml:space="preserve"> </w:t>
            </w:r>
          </w:p>
          <w:p w:rsidR="00025683" w:rsidRDefault="007C2AAB">
            <w:pPr>
              <w:spacing w:after="0" w:line="259" w:lineRule="auto"/>
              <w:ind w:left="70" w:firstLine="0"/>
              <w:jc w:val="center"/>
            </w:pPr>
            <w: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34" w:lineRule="auto"/>
              <w:ind w:left="0" w:firstLine="0"/>
              <w:jc w:val="center"/>
            </w:pPr>
            <w:r>
              <w:rPr>
                <w:b/>
                <w:i/>
              </w:rPr>
              <w:t>Aplicación  presupuestaria</w:t>
            </w:r>
            <w:r>
              <w:rPr>
                <w:rFonts w:ascii="Times New Roman" w:eastAsia="Times New Roman" w:hAnsi="Times New Roman" w:cs="Times New Roman"/>
                <w:sz w:val="24"/>
              </w:rPr>
              <w:t xml:space="preserve"> </w:t>
            </w:r>
          </w:p>
          <w:p w:rsidR="00025683" w:rsidRDefault="007C2AAB">
            <w:pPr>
              <w:spacing w:after="0" w:line="259" w:lineRule="auto"/>
              <w:ind w:left="68" w:firstLine="0"/>
              <w:jc w:val="center"/>
            </w:pPr>
            <w: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66" w:firstLine="0"/>
              <w:jc w:val="center"/>
            </w:pPr>
            <w:r>
              <w:t xml:space="preserve"> </w:t>
            </w:r>
          </w:p>
          <w:p w:rsidR="00025683" w:rsidRDefault="007C2AAB">
            <w:pPr>
              <w:spacing w:after="0" w:line="259" w:lineRule="auto"/>
              <w:ind w:left="7" w:firstLine="0"/>
              <w:jc w:val="center"/>
            </w:pPr>
            <w:r>
              <w:rPr>
                <w:b/>
                <w:i/>
              </w:rPr>
              <w:t>Importe</w:t>
            </w:r>
            <w:r>
              <w:rPr>
                <w:rFonts w:ascii="Times New Roman" w:eastAsia="Times New Roman" w:hAnsi="Times New Roman" w:cs="Times New Roman"/>
                <w:sz w:val="24"/>
              </w:rPr>
              <w:t xml:space="preserve"> </w:t>
            </w:r>
          </w:p>
          <w:p w:rsidR="00025683" w:rsidRDefault="007C2AAB">
            <w:pPr>
              <w:spacing w:after="0" w:line="259" w:lineRule="auto"/>
              <w:ind w:left="66" w:firstLine="0"/>
              <w:jc w:val="center"/>
            </w:pPr>
            <w:r>
              <w:t xml:space="preserve"> </w:t>
            </w:r>
          </w:p>
        </w:tc>
      </w:tr>
      <w:tr w:rsidR="00025683">
        <w:trPr>
          <w:trHeight w:val="770"/>
        </w:trPr>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2" w:firstLine="0"/>
              <w:jc w:val="left"/>
            </w:pPr>
            <w:r>
              <w:t xml:space="preserve"> </w:t>
            </w:r>
            <w:r>
              <w:tab/>
              <w:t xml:space="preserve"> </w:t>
            </w:r>
          </w:p>
          <w:p w:rsidR="00025683" w:rsidRDefault="007C2AAB">
            <w:pPr>
              <w:spacing w:after="0" w:line="259" w:lineRule="auto"/>
              <w:ind w:left="2" w:firstLine="0"/>
              <w:jc w:val="left"/>
            </w:pPr>
            <w:r>
              <w:rPr>
                <w:i/>
              </w:rPr>
              <w:t>2026</w:t>
            </w:r>
            <w:r>
              <w:rPr>
                <w:rFonts w:ascii="Times New Roman" w:eastAsia="Times New Roman" w:hAnsi="Times New Roman" w:cs="Times New Roman"/>
                <w:sz w:val="24"/>
              </w:rPr>
              <w:t xml:space="preserve"> </w:t>
            </w:r>
          </w:p>
          <w:p w:rsidR="00025683" w:rsidRDefault="007C2AAB">
            <w:pPr>
              <w:spacing w:after="0" w:line="259" w:lineRule="auto"/>
              <w:ind w:left="2" w:firstLine="0"/>
              <w:jc w:val="left"/>
            </w:pPr>
            <w: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t xml:space="preserve">15100.60912 </w:t>
            </w:r>
          </w:p>
          <w:p w:rsidR="00025683" w:rsidRDefault="007C2AAB">
            <w:pPr>
              <w:spacing w:after="0" w:line="259" w:lineRule="auto"/>
              <w:ind w:left="0" w:firstLine="0"/>
              <w:jc w:val="left"/>
            </w:pPr>
            <w:r>
              <w:t>A.2.25.0.06549</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t xml:space="preserve">3.562.752,91 euros </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t xml:space="preserve"> </w:t>
            </w:r>
          </w:p>
        </w:tc>
      </w:tr>
      <w:tr w:rsidR="00025683">
        <w:trPr>
          <w:trHeight w:val="773"/>
        </w:trPr>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2" w:firstLine="0"/>
              <w:jc w:val="left"/>
            </w:pPr>
            <w:r>
              <w:t>2027</w:t>
            </w:r>
            <w:r>
              <w:rPr>
                <w:rFonts w:ascii="Times New Roman" w:eastAsia="Times New Roman" w:hAnsi="Times New Roman" w:cs="Times New Roman"/>
                <w:sz w:val="24"/>
              </w:rPr>
              <w:t xml:space="preserve"> </w:t>
            </w:r>
          </w:p>
          <w:p w:rsidR="00025683" w:rsidRDefault="007C2AAB">
            <w:pPr>
              <w:spacing w:after="0" w:line="259" w:lineRule="auto"/>
              <w:ind w:left="2" w:firstLine="0"/>
              <w:jc w:val="left"/>
            </w:pPr>
            <w: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t xml:space="preserve">15100.60912 </w:t>
            </w:r>
          </w:p>
          <w:p w:rsidR="00025683" w:rsidRDefault="007C2AAB">
            <w:pPr>
              <w:spacing w:after="0" w:line="259" w:lineRule="auto"/>
              <w:ind w:left="0" w:firstLine="0"/>
              <w:jc w:val="left"/>
            </w:pPr>
            <w:r>
              <w:t>A.2.25.0.06550</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t xml:space="preserve"> </w:t>
            </w:r>
          </w:p>
          <w:p w:rsidR="00025683" w:rsidRDefault="007C2AAB">
            <w:pPr>
              <w:spacing w:after="0" w:line="259" w:lineRule="auto"/>
              <w:ind w:left="0" w:firstLine="0"/>
              <w:jc w:val="left"/>
            </w:pPr>
            <w:r>
              <w:t xml:space="preserve">3.562.752,91 euros </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t xml:space="preserve"> </w:t>
            </w:r>
          </w:p>
        </w:tc>
      </w:tr>
    </w:tbl>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26" w:line="259" w:lineRule="auto"/>
        <w:ind w:left="14" w:firstLine="0"/>
        <w:jc w:val="left"/>
      </w:pPr>
      <w:r>
        <w:t xml:space="preserve"> </w:t>
      </w:r>
    </w:p>
    <w:p w:rsidR="00025683" w:rsidRDefault="007C2AAB">
      <w:pPr>
        <w:ind w:left="14" w:right="690"/>
      </w:pPr>
      <w:r>
        <w:rPr>
          <w:b/>
        </w:rPr>
        <w:t xml:space="preserve">       3º</w:t>
      </w:r>
      <w:r>
        <w:t>.-Publicar la declaración de desierto en la plataforma de contratación del estado.”</w:t>
      </w:r>
      <w:r>
        <w:rPr>
          <w:rFonts w:ascii="Times New Roman" w:eastAsia="Times New Roman" w:hAnsi="Times New Roman" w:cs="Times New Roman"/>
          <w:sz w:val="24"/>
        </w:rPr>
        <w:t xml:space="preserve"> </w:t>
      </w:r>
      <w:r>
        <w:t xml:space="preserve">En virtud de lo expuesto se somete al </w:t>
      </w:r>
      <w:r>
        <w:rPr>
          <w:b/>
        </w:rPr>
        <w:t xml:space="preserve">Pleno </w:t>
      </w:r>
      <w:r>
        <w:t>la siguiente propuesta de acuerdo:</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t xml:space="preserve"> </w:t>
      </w:r>
    </w:p>
    <w:p w:rsidR="00025683" w:rsidRDefault="007C2AAB">
      <w:pPr>
        <w:spacing w:after="0" w:line="259" w:lineRule="auto"/>
        <w:ind w:left="29" w:firstLine="0"/>
        <w:jc w:val="left"/>
      </w:pPr>
      <w:r>
        <w:t xml:space="preserve"> </w:t>
      </w:r>
    </w:p>
    <w:p w:rsidR="00025683" w:rsidRDefault="007C2AAB">
      <w:pPr>
        <w:pStyle w:val="Ttulo4"/>
        <w:ind w:left="274" w:right="464"/>
      </w:pPr>
      <w:r>
        <w:t xml:space="preserve">PROPUESTA DE ACUERDO </w:t>
      </w:r>
    </w:p>
    <w:p w:rsidR="00025683" w:rsidRDefault="007C2AAB">
      <w:pPr>
        <w:spacing w:after="0" w:line="259" w:lineRule="auto"/>
        <w:ind w:left="0" w:right="133" w:firstLine="0"/>
        <w:jc w:val="center"/>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1459" name="Group 3814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893" name="Rectangle 6893"/>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6894" name="Rectangle 6894"/>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6895" name="Rectangle 6895"/>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1459" style="width:18.7031pt;height:260.874pt;position:absolute;mso-position-horizontal-relative:page;mso-position-horizontal:absolute;margin-left:662.928pt;mso-position-vertical-relative:page;margin-top:512.046pt;" coordsize="2375,33130">
                <v:rect id="Rectangle 6893"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68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68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350 </w:t>
                        </w:r>
                      </w:p>
                    </w:txbxContent>
                  </v:textbox>
                </v:rect>
                <w10:wrap type="square"/>
              </v:group>
            </w:pict>
          </mc:Fallback>
        </mc:AlternateContent>
      </w:r>
      <w:r>
        <w:t xml:space="preserve"> </w:t>
      </w:r>
    </w:p>
    <w:p w:rsidR="00025683" w:rsidRDefault="007C2AAB">
      <w:pPr>
        <w:spacing w:after="3" w:line="238" w:lineRule="auto"/>
        <w:ind w:left="9" w:hanging="10"/>
        <w:jc w:val="left"/>
      </w:pPr>
      <w:r>
        <w:rPr>
          <w:b/>
        </w:rPr>
        <w:t>1º</w:t>
      </w:r>
      <w:r>
        <w:t>.- Declarar desierto el expediente de contratación consistente en la ejecución del “Proyecto de ejecución de Piscina de Candelaria”, por no constar presentada</w:t>
      </w:r>
      <w:r>
        <w:t xml:space="preserve">s ofertas en el plazo concedido a tal efecto.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rPr>
          <w:b/>
        </w:rPr>
        <w:t xml:space="preserve">2º.- </w:t>
      </w:r>
      <w:r>
        <w:t>Dejar sin efecto los documentos contables A aprobados en la presente licitación y dar traslado a la Intervención municipal para su cumplimiento: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tbl>
      <w:tblPr>
        <w:tblStyle w:val="TableGrid"/>
        <w:tblW w:w="8646" w:type="dxa"/>
        <w:tblInd w:w="19" w:type="dxa"/>
        <w:tblCellMar>
          <w:top w:w="7" w:type="dxa"/>
          <w:left w:w="0" w:type="dxa"/>
          <w:bottom w:w="0" w:type="dxa"/>
          <w:right w:w="115" w:type="dxa"/>
        </w:tblCellMar>
        <w:tblLook w:val="04A0" w:firstRow="1" w:lastRow="0" w:firstColumn="1" w:lastColumn="0" w:noHBand="0" w:noVBand="1"/>
      </w:tblPr>
      <w:tblGrid>
        <w:gridCol w:w="910"/>
        <w:gridCol w:w="1973"/>
        <w:gridCol w:w="2880"/>
        <w:gridCol w:w="2883"/>
      </w:tblGrid>
      <w:tr w:rsidR="00025683">
        <w:trPr>
          <w:trHeight w:val="773"/>
        </w:trPr>
        <w:tc>
          <w:tcPr>
            <w:tcW w:w="910" w:type="dxa"/>
            <w:tcBorders>
              <w:top w:val="single" w:sz="4" w:space="0" w:color="000000"/>
              <w:left w:val="single" w:sz="4" w:space="0" w:color="000000"/>
              <w:bottom w:val="single" w:sz="4" w:space="0" w:color="000000"/>
              <w:right w:val="nil"/>
            </w:tcBorders>
          </w:tcPr>
          <w:p w:rsidR="00025683" w:rsidRDefault="00025683">
            <w:pPr>
              <w:spacing w:after="160" w:line="259" w:lineRule="auto"/>
              <w:ind w:left="0" w:firstLine="0"/>
              <w:jc w:val="left"/>
            </w:pPr>
          </w:p>
        </w:tc>
        <w:tc>
          <w:tcPr>
            <w:tcW w:w="1973" w:type="dxa"/>
            <w:tcBorders>
              <w:top w:val="single" w:sz="4" w:space="0" w:color="000000"/>
              <w:left w:val="nil"/>
              <w:bottom w:val="single" w:sz="4" w:space="0" w:color="000000"/>
              <w:right w:val="single" w:sz="4" w:space="0" w:color="000000"/>
            </w:tcBorders>
          </w:tcPr>
          <w:p w:rsidR="00025683" w:rsidRDefault="007C2AAB">
            <w:pPr>
              <w:spacing w:after="0" w:line="259" w:lineRule="auto"/>
              <w:ind w:left="533" w:firstLine="0"/>
              <w:jc w:val="left"/>
            </w:pPr>
            <w:r>
              <w:rPr>
                <w:b/>
                <w:i/>
              </w:rPr>
              <w:t xml:space="preserve"> </w:t>
            </w:r>
          </w:p>
          <w:p w:rsidR="00025683" w:rsidRDefault="007C2AAB">
            <w:pPr>
              <w:spacing w:after="0" w:line="259" w:lineRule="auto"/>
              <w:ind w:left="0" w:firstLine="0"/>
              <w:jc w:val="left"/>
            </w:pPr>
            <w:r>
              <w:rPr>
                <w:b/>
                <w:i/>
              </w:rPr>
              <w:t>Anualidad</w:t>
            </w:r>
            <w:r>
              <w:rPr>
                <w:rFonts w:ascii="Times New Roman" w:eastAsia="Times New Roman" w:hAnsi="Times New Roman" w:cs="Times New Roman"/>
                <w:sz w:val="24"/>
              </w:rPr>
              <w:t xml:space="preserve"> </w:t>
            </w:r>
          </w:p>
          <w:p w:rsidR="00025683" w:rsidRDefault="007C2AAB">
            <w:pPr>
              <w:spacing w:after="0" w:line="259" w:lineRule="auto"/>
              <w:ind w:left="533" w:firstLine="0"/>
              <w:jc w:val="left"/>
            </w:pPr>
            <w: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34" w:lineRule="auto"/>
              <w:ind w:left="93" w:firstLine="0"/>
              <w:jc w:val="center"/>
            </w:pPr>
            <w:r>
              <w:rPr>
                <w:b/>
                <w:i/>
              </w:rPr>
              <w:t>Aplicación  presupuestaria</w:t>
            </w:r>
            <w:r>
              <w:rPr>
                <w:rFonts w:ascii="Times New Roman" w:eastAsia="Times New Roman" w:hAnsi="Times New Roman" w:cs="Times New Roman"/>
                <w:sz w:val="24"/>
              </w:rPr>
              <w:t xml:space="preserve"> </w:t>
            </w:r>
          </w:p>
          <w:p w:rsidR="00025683" w:rsidRDefault="007C2AAB">
            <w:pPr>
              <w:spacing w:after="0" w:line="259" w:lineRule="auto"/>
              <w:ind w:left="176" w:firstLine="0"/>
              <w:jc w:val="center"/>
            </w:pPr>
            <w: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174" w:firstLine="0"/>
              <w:jc w:val="center"/>
            </w:pPr>
            <w:r>
              <w:t xml:space="preserve"> </w:t>
            </w:r>
          </w:p>
          <w:p w:rsidR="00025683" w:rsidRDefault="007C2AAB">
            <w:pPr>
              <w:spacing w:after="0" w:line="259" w:lineRule="auto"/>
              <w:ind w:left="115" w:firstLine="0"/>
              <w:jc w:val="center"/>
            </w:pPr>
            <w:r>
              <w:rPr>
                <w:b/>
                <w:i/>
              </w:rPr>
              <w:t>Importe</w:t>
            </w:r>
            <w:r>
              <w:rPr>
                <w:rFonts w:ascii="Times New Roman" w:eastAsia="Times New Roman" w:hAnsi="Times New Roman" w:cs="Times New Roman"/>
                <w:sz w:val="24"/>
              </w:rPr>
              <w:t xml:space="preserve"> </w:t>
            </w:r>
          </w:p>
          <w:p w:rsidR="00025683" w:rsidRDefault="007C2AAB">
            <w:pPr>
              <w:spacing w:after="0" w:line="259" w:lineRule="auto"/>
              <w:ind w:left="174" w:firstLine="0"/>
              <w:jc w:val="center"/>
            </w:pPr>
            <w:r>
              <w:t xml:space="preserve"> </w:t>
            </w:r>
          </w:p>
        </w:tc>
      </w:tr>
      <w:tr w:rsidR="00025683">
        <w:trPr>
          <w:trHeight w:val="773"/>
        </w:trPr>
        <w:tc>
          <w:tcPr>
            <w:tcW w:w="910" w:type="dxa"/>
            <w:tcBorders>
              <w:top w:val="single" w:sz="4" w:space="0" w:color="000000"/>
              <w:left w:val="single" w:sz="4" w:space="0" w:color="000000"/>
              <w:bottom w:val="single" w:sz="4" w:space="0" w:color="000000"/>
              <w:right w:val="nil"/>
            </w:tcBorders>
          </w:tcPr>
          <w:p w:rsidR="00025683" w:rsidRDefault="007C2AAB">
            <w:pPr>
              <w:spacing w:after="0" w:line="259" w:lineRule="auto"/>
              <w:ind w:left="110" w:firstLine="0"/>
              <w:jc w:val="left"/>
            </w:pPr>
            <w:r>
              <w:t xml:space="preserve"> </w:t>
            </w:r>
          </w:p>
          <w:p w:rsidR="00025683" w:rsidRDefault="007C2AAB">
            <w:pPr>
              <w:spacing w:after="0" w:line="259" w:lineRule="auto"/>
              <w:ind w:left="110" w:firstLine="0"/>
              <w:jc w:val="left"/>
            </w:pPr>
            <w:r>
              <w:rPr>
                <w:i/>
              </w:rPr>
              <w:t>2026</w:t>
            </w:r>
            <w:r>
              <w:rPr>
                <w:rFonts w:ascii="Times New Roman" w:eastAsia="Times New Roman" w:hAnsi="Times New Roman" w:cs="Times New Roman"/>
                <w:sz w:val="24"/>
              </w:rPr>
              <w:t xml:space="preserve"> </w:t>
            </w:r>
          </w:p>
          <w:p w:rsidR="00025683" w:rsidRDefault="007C2AAB">
            <w:pPr>
              <w:spacing w:after="0" w:line="259" w:lineRule="auto"/>
              <w:ind w:left="110" w:firstLine="0"/>
              <w:jc w:val="left"/>
            </w:pPr>
            <w:r>
              <w:t xml:space="preserve"> </w:t>
            </w:r>
          </w:p>
        </w:tc>
        <w:tc>
          <w:tcPr>
            <w:tcW w:w="1973" w:type="dxa"/>
            <w:tcBorders>
              <w:top w:val="single" w:sz="4" w:space="0" w:color="000000"/>
              <w:left w:val="nil"/>
              <w:bottom w:val="single" w:sz="4" w:space="0" w:color="000000"/>
              <w:right w:val="single" w:sz="4" w:space="0" w:color="000000"/>
            </w:tcBorders>
          </w:tcPr>
          <w:p w:rsidR="00025683" w:rsidRDefault="007C2AAB">
            <w:pPr>
              <w:spacing w:after="0" w:line="259" w:lineRule="auto"/>
              <w:ind w:left="296" w:firstLine="0"/>
              <w:jc w:val="center"/>
            </w:pPr>
            <w: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108" w:firstLine="0"/>
              <w:jc w:val="left"/>
            </w:pPr>
            <w:r>
              <w:t xml:space="preserve">15100.60912 </w:t>
            </w:r>
          </w:p>
          <w:p w:rsidR="00025683" w:rsidRDefault="007C2AAB">
            <w:pPr>
              <w:spacing w:after="0" w:line="259" w:lineRule="auto"/>
              <w:ind w:left="108" w:firstLine="0"/>
              <w:jc w:val="left"/>
            </w:pPr>
            <w:r>
              <w:t>A.2.25.0.06549</w:t>
            </w:r>
            <w:r>
              <w:rPr>
                <w:rFonts w:ascii="Times New Roman" w:eastAsia="Times New Roman" w:hAnsi="Times New Roman" w:cs="Times New Roman"/>
                <w:sz w:val="24"/>
              </w:rPr>
              <w:t xml:space="preserve"> </w:t>
            </w:r>
          </w:p>
          <w:p w:rsidR="00025683" w:rsidRDefault="007C2AAB">
            <w:pPr>
              <w:spacing w:after="0" w:line="259" w:lineRule="auto"/>
              <w:ind w:left="108" w:firstLine="0"/>
              <w:jc w:val="left"/>
            </w:pPr>
            <w: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108" w:firstLine="0"/>
              <w:jc w:val="left"/>
            </w:pPr>
            <w:r>
              <w:t xml:space="preserve">3.562.752,91 euros </w:t>
            </w:r>
            <w:r>
              <w:rPr>
                <w:rFonts w:ascii="Times New Roman" w:eastAsia="Times New Roman" w:hAnsi="Times New Roman" w:cs="Times New Roman"/>
                <w:sz w:val="24"/>
              </w:rPr>
              <w:t xml:space="preserve"> </w:t>
            </w:r>
          </w:p>
          <w:p w:rsidR="00025683" w:rsidRDefault="007C2AAB">
            <w:pPr>
              <w:spacing w:after="0" w:line="259" w:lineRule="auto"/>
              <w:ind w:left="108" w:firstLine="0"/>
              <w:jc w:val="left"/>
            </w:pPr>
            <w:r>
              <w:t xml:space="preserve"> </w:t>
            </w:r>
          </w:p>
        </w:tc>
      </w:tr>
      <w:tr w:rsidR="00025683">
        <w:trPr>
          <w:trHeight w:val="770"/>
        </w:trPr>
        <w:tc>
          <w:tcPr>
            <w:tcW w:w="910" w:type="dxa"/>
            <w:tcBorders>
              <w:top w:val="single" w:sz="4" w:space="0" w:color="000000"/>
              <w:left w:val="single" w:sz="4" w:space="0" w:color="000000"/>
              <w:bottom w:val="single" w:sz="4" w:space="0" w:color="000000"/>
              <w:right w:val="nil"/>
            </w:tcBorders>
          </w:tcPr>
          <w:p w:rsidR="00025683" w:rsidRDefault="007C2AAB">
            <w:pPr>
              <w:spacing w:after="0" w:line="259" w:lineRule="auto"/>
              <w:ind w:left="110" w:firstLine="0"/>
              <w:jc w:val="left"/>
            </w:pPr>
            <w:r>
              <w:t>2027</w:t>
            </w:r>
            <w:r>
              <w:rPr>
                <w:rFonts w:ascii="Times New Roman" w:eastAsia="Times New Roman" w:hAnsi="Times New Roman" w:cs="Times New Roman"/>
                <w:sz w:val="24"/>
              </w:rPr>
              <w:t xml:space="preserve"> </w:t>
            </w:r>
          </w:p>
          <w:p w:rsidR="00025683" w:rsidRDefault="007C2AAB">
            <w:pPr>
              <w:spacing w:after="0" w:line="259" w:lineRule="auto"/>
              <w:ind w:left="110" w:firstLine="0"/>
              <w:jc w:val="left"/>
            </w:pPr>
            <w:r>
              <w:t xml:space="preserve"> </w:t>
            </w:r>
          </w:p>
        </w:tc>
        <w:tc>
          <w:tcPr>
            <w:tcW w:w="1973" w:type="dxa"/>
            <w:tcBorders>
              <w:top w:val="single" w:sz="4" w:space="0" w:color="000000"/>
              <w:left w:val="nil"/>
              <w:bottom w:val="single" w:sz="4" w:space="0" w:color="000000"/>
              <w:right w:val="single" w:sz="4" w:space="0" w:color="000000"/>
            </w:tcBorders>
          </w:tcPr>
          <w:p w:rsidR="00025683" w:rsidRDefault="00025683">
            <w:pPr>
              <w:spacing w:after="160" w:line="259" w:lineRule="auto"/>
              <w:ind w:left="0" w:firstLine="0"/>
              <w:jc w:val="left"/>
            </w:pP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108" w:firstLine="0"/>
              <w:jc w:val="left"/>
            </w:pPr>
            <w:r>
              <w:t xml:space="preserve">15100.60912 </w:t>
            </w:r>
          </w:p>
          <w:p w:rsidR="00025683" w:rsidRDefault="007C2AAB">
            <w:pPr>
              <w:spacing w:after="0" w:line="259" w:lineRule="auto"/>
              <w:ind w:left="108" w:firstLine="0"/>
              <w:jc w:val="left"/>
            </w:pPr>
            <w:r>
              <w:t>A.2.25.0.06550</w:t>
            </w:r>
            <w:r>
              <w:rPr>
                <w:rFonts w:ascii="Times New Roman" w:eastAsia="Times New Roman" w:hAnsi="Times New Roman" w:cs="Times New Roman"/>
                <w:sz w:val="24"/>
              </w:rPr>
              <w:t xml:space="preserve"> </w:t>
            </w:r>
          </w:p>
          <w:p w:rsidR="00025683" w:rsidRDefault="007C2AAB">
            <w:pPr>
              <w:spacing w:after="0" w:line="259" w:lineRule="auto"/>
              <w:ind w:left="108" w:firstLine="0"/>
              <w:jc w:val="left"/>
            </w:pPr>
            <w: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108" w:firstLine="0"/>
              <w:jc w:val="left"/>
            </w:pPr>
            <w:r>
              <w:t xml:space="preserve"> </w:t>
            </w:r>
          </w:p>
          <w:p w:rsidR="00025683" w:rsidRDefault="007C2AAB">
            <w:pPr>
              <w:spacing w:after="0" w:line="259" w:lineRule="auto"/>
              <w:ind w:left="108" w:firstLine="0"/>
              <w:jc w:val="left"/>
            </w:pPr>
            <w:r>
              <w:t xml:space="preserve">3.562.752,91 euros </w:t>
            </w:r>
            <w:r>
              <w:rPr>
                <w:rFonts w:ascii="Times New Roman" w:eastAsia="Times New Roman" w:hAnsi="Times New Roman" w:cs="Times New Roman"/>
                <w:sz w:val="24"/>
              </w:rPr>
              <w:t xml:space="preserve"> </w:t>
            </w:r>
          </w:p>
          <w:p w:rsidR="00025683" w:rsidRDefault="007C2AAB">
            <w:pPr>
              <w:spacing w:after="0" w:line="259" w:lineRule="auto"/>
              <w:ind w:left="108" w:firstLine="0"/>
              <w:jc w:val="left"/>
            </w:pPr>
            <w:r>
              <w:t xml:space="preserve"> </w:t>
            </w:r>
          </w:p>
        </w:tc>
      </w:tr>
    </w:tbl>
    <w:p w:rsidR="00025683" w:rsidRDefault="007C2AAB">
      <w:pPr>
        <w:ind w:left="14" w:right="200"/>
      </w:pPr>
      <w:r>
        <w:rPr>
          <w:b/>
        </w:rPr>
        <w:t>3º</w:t>
      </w:r>
      <w:r>
        <w:t>.-Publicar la declaración de desierto en la plataforma de contratación del estado.”.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12"/>
        <w:ind w:left="14" w:right="197"/>
      </w:pPr>
      <w:r>
        <w:rPr>
          <w:b/>
        </w:rPr>
        <w:t>DICTAMEN FAVORABLE DE 22 DE DICIEMBRE DE LA COMISIÓN INFORMATIVA DE P. y G. URBANÍSTICA Y AMBIENTAL, OBRAS Y SERVICIOS PÚBLICOS.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722" w:right="200"/>
      </w:pPr>
      <w:r>
        <w:t xml:space="preserve">Votos a favor: 4 </w:t>
      </w:r>
    </w:p>
    <w:p w:rsidR="00025683" w:rsidRDefault="007C2AAB">
      <w:pPr>
        <w:spacing w:after="0" w:line="259" w:lineRule="auto"/>
        <w:ind w:left="14" w:firstLine="0"/>
        <w:jc w:val="left"/>
      </w:pPr>
      <w:r>
        <w:t xml:space="preserve"> </w:t>
      </w:r>
    </w:p>
    <w:p w:rsidR="00025683" w:rsidRDefault="007C2AAB">
      <w:pPr>
        <w:ind w:left="14" w:right="200" w:firstLine="708"/>
      </w:pPr>
      <w:r>
        <w:t>4 concejales del Grupo Socialista, Don Reinaldo José Triviño Blanco, Don Airam Pérez Chinea, Doña Margar</w:t>
      </w:r>
      <w:r>
        <w:t xml:space="preserve">ita Eva Tendero Barroso y Doña María del Carmen Clemente Díaz. </w:t>
      </w:r>
    </w:p>
    <w:p w:rsidR="00025683" w:rsidRDefault="007C2AAB">
      <w:pPr>
        <w:spacing w:after="0" w:line="259" w:lineRule="auto"/>
        <w:ind w:left="14" w:firstLine="0"/>
        <w:jc w:val="left"/>
      </w:pPr>
      <w:r>
        <w:t xml:space="preserve"> </w:t>
      </w:r>
    </w:p>
    <w:p w:rsidR="00025683" w:rsidRDefault="007C2AAB">
      <w:pPr>
        <w:ind w:left="722" w:right="200"/>
      </w:pPr>
      <w:r>
        <w:t xml:space="preserve">Votos en contra: 0. </w:t>
      </w:r>
    </w:p>
    <w:p w:rsidR="00025683" w:rsidRDefault="007C2AAB">
      <w:pPr>
        <w:spacing w:after="0" w:line="259" w:lineRule="auto"/>
        <w:ind w:left="14" w:firstLine="0"/>
        <w:jc w:val="left"/>
      </w:pPr>
      <w:r>
        <w:t xml:space="preserve"> </w:t>
      </w:r>
    </w:p>
    <w:p w:rsidR="00025683" w:rsidRDefault="007C2AAB">
      <w:pPr>
        <w:ind w:left="722" w:right="200"/>
      </w:pPr>
      <w:r>
        <w:t xml:space="preserve">Abstenciones: 3. </w:t>
      </w:r>
    </w:p>
    <w:p w:rsidR="00025683" w:rsidRDefault="007C2AAB">
      <w:pPr>
        <w:spacing w:after="0" w:line="259" w:lineRule="auto"/>
        <w:ind w:left="14" w:firstLine="0"/>
        <w:jc w:val="left"/>
      </w:pPr>
      <w:r>
        <w:t xml:space="preserve"> </w:t>
      </w:r>
    </w:p>
    <w:p w:rsidR="00025683" w:rsidRDefault="007C2AAB">
      <w:pPr>
        <w:ind w:left="14" w:right="200" w:firstLine="708"/>
      </w:pPr>
      <w:r>
        <w:t xml:space="preserve">2 de los concejales del Grupo Popular, Don Jacobo López Fariña y Doña Sheila Castellano Batista.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(USP), Doña Violeta López Jiménez.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12"/>
        <w:ind w:left="722" w:right="2172"/>
      </w:pPr>
      <w:r>
        <w:rPr>
          <w:b/>
        </w:rPr>
        <w:t xml:space="preserve">JUNTA DE PORTAVOCES DE 22 DE DICIEMBRE DE 2025. </w:t>
      </w:r>
      <w:r>
        <w:t xml:space="preserve">Quedó oída. </w:t>
      </w:r>
    </w:p>
    <w:p w:rsidR="00025683" w:rsidRDefault="007C2AAB">
      <w:pPr>
        <w:spacing w:after="0" w:line="238" w:lineRule="auto"/>
        <w:ind w:left="14" w:right="9444" w:firstLine="0"/>
        <w:jc w:val="left"/>
      </w:pPr>
      <w:r>
        <w:t xml:space="preserve">   </w:t>
      </w:r>
    </w:p>
    <w:p w:rsidR="00025683" w:rsidRDefault="007C2AAB">
      <w:pPr>
        <w:spacing w:after="12"/>
        <w:ind w:left="722" w:right="197"/>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0138" name="Group 3801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026" name="Rectangle 7026"/>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7027" name="Rectangle 7027"/>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028" name="Rectangle 7028"/>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0138" style="width:18.7031pt;height:260.874pt;position:absolute;mso-position-horizontal-relative:page;mso-position-horizontal:absolute;margin-left:662.928pt;mso-position-vertical-relative:page;margin-top:512.046pt;" coordsize="2375,33130">
                <v:rect id="Rectangle 7026"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702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02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350 </w:t>
                        </w:r>
                      </w:p>
                    </w:txbxContent>
                  </v:textbox>
                </v:rect>
                <w10:wrap type="square"/>
              </v:group>
            </w:pict>
          </mc:Fallback>
        </mc:AlternateContent>
      </w:r>
      <w:r>
        <w:rPr>
          <w:b/>
        </w:rPr>
        <w:t xml:space="preserve">VOTACIÓN EN EL PLENO DE 29 DE DICIEMBRE DE 2025. </w:t>
      </w:r>
    </w:p>
    <w:p w:rsidR="00025683" w:rsidRDefault="007C2AAB">
      <w:pPr>
        <w:spacing w:after="0" w:line="259" w:lineRule="auto"/>
        <w:ind w:left="14" w:firstLine="0"/>
        <w:jc w:val="left"/>
      </w:pPr>
      <w:r>
        <w:rPr>
          <w:b/>
        </w:rPr>
        <w:t xml:space="preserve"> </w:t>
      </w:r>
    </w:p>
    <w:p w:rsidR="00025683" w:rsidRDefault="007C2AAB">
      <w:pPr>
        <w:ind w:left="722" w:right="200"/>
      </w:pPr>
      <w:r>
        <w:t xml:space="preserve">Votos a favor: 18. </w:t>
      </w:r>
    </w:p>
    <w:p w:rsidR="00025683" w:rsidRDefault="007C2AAB">
      <w:pPr>
        <w:spacing w:after="0" w:line="259" w:lineRule="auto"/>
        <w:ind w:left="14" w:firstLine="0"/>
        <w:jc w:val="left"/>
      </w:pPr>
      <w:r>
        <w:t xml:space="preserve"> </w:t>
      </w:r>
    </w:p>
    <w:p w:rsidR="00025683" w:rsidRDefault="007C2AAB">
      <w:pPr>
        <w:ind w:left="14" w:right="200" w:firstLine="708"/>
      </w:pPr>
      <w:r>
        <w:t>11 concejales del Grupo Socialista: Dª. María Concepción Brito Núñez, D. Jorge Baute Delgado, D. José Francisco Pinto Ramos, Dª. Olivia Concepción Pérez, D. Reinaldo José Triviño Blanco, D. Manuel Alberto González Pestano, Dª. Margarita Eva Tendero Barroso</w:t>
      </w:r>
      <w:r>
        <w:t xml:space="preserve">, D. Airam Pérez Chinea, Dª. María del Carmen Clemente Díaz, D. Olegario Francisco Alonso Bello, Dª. Mónica Monserrat Yanes Delgado.  </w:t>
      </w:r>
    </w:p>
    <w:p w:rsidR="00025683" w:rsidRDefault="007C2AAB">
      <w:pPr>
        <w:spacing w:after="0" w:line="259" w:lineRule="auto"/>
        <w:ind w:left="14" w:firstLine="0"/>
        <w:jc w:val="left"/>
      </w:pPr>
      <w:r>
        <w:t xml:space="preserve"> </w:t>
      </w:r>
    </w:p>
    <w:p w:rsidR="00025683" w:rsidRDefault="007C2AAB">
      <w:pPr>
        <w:ind w:left="14" w:right="200" w:firstLine="708"/>
      </w:pPr>
      <w:r>
        <w:t>5 concejales del Grupo Popular: D. Jacobo López Fariña, D. Miguel Eduardo Hernández Chitty, Dª. Raquel Martín Castro, D</w:t>
      </w:r>
      <w:r>
        <w:t xml:space="preserve">ª. María Carlota Díaz González, D. José Daniel Sosa González.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(CC), Dª. Ángela Cruz Perera. </w:t>
      </w:r>
    </w:p>
    <w:p w:rsidR="00025683" w:rsidRDefault="007C2AAB">
      <w:pPr>
        <w:spacing w:after="0" w:line="259" w:lineRule="auto"/>
        <w:ind w:left="14" w:firstLine="0"/>
        <w:jc w:val="left"/>
      </w:pPr>
      <w:r>
        <w:t xml:space="preserve"> </w:t>
      </w:r>
    </w:p>
    <w:p w:rsidR="00025683" w:rsidRDefault="007C2AAB">
      <w:pPr>
        <w:ind w:left="722" w:right="200"/>
      </w:pPr>
      <w:r>
        <w:t>1 del concejal D. José Tortosa Pallarés.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rPr>
          <w:color w:val="FF0000"/>
        </w:rPr>
        <w:t xml:space="preserve"> </w:t>
      </w:r>
    </w:p>
    <w:p w:rsidR="00025683" w:rsidRDefault="007C2AAB">
      <w:pPr>
        <w:ind w:left="722" w:right="200"/>
      </w:pPr>
      <w:r>
        <w:t xml:space="preserve">Votos en contra: 0. </w:t>
      </w:r>
    </w:p>
    <w:p w:rsidR="00025683" w:rsidRDefault="007C2AAB">
      <w:pPr>
        <w:spacing w:after="0" w:line="259" w:lineRule="auto"/>
        <w:ind w:left="14" w:firstLine="0"/>
        <w:jc w:val="left"/>
      </w:pPr>
      <w:r>
        <w:t xml:space="preserve"> </w:t>
      </w:r>
    </w:p>
    <w:p w:rsidR="00025683" w:rsidRDefault="007C2AAB">
      <w:pPr>
        <w:tabs>
          <w:tab w:val="center" w:pos="1537"/>
        </w:tabs>
        <w:ind w:left="0" w:firstLine="0"/>
        <w:jc w:val="left"/>
      </w:pPr>
      <w:r>
        <w:t xml:space="preserve"> </w:t>
      </w:r>
      <w:r>
        <w:tab/>
        <w:t xml:space="preserve">Abstenciones: 1. </w:t>
      </w:r>
    </w:p>
    <w:p w:rsidR="00025683" w:rsidRDefault="007C2AAB">
      <w:pPr>
        <w:ind w:left="722" w:right="200"/>
      </w:pPr>
      <w:r>
        <w:t>1 de la concejal del Grupo Mixto (US</w:t>
      </w:r>
      <w:r>
        <w:t>P), Dª. Violeta López Jiménez.</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30" w:right="197"/>
      </w:pPr>
      <w:r>
        <w:rPr>
          <w:b/>
        </w:rPr>
        <w:t xml:space="preserve">ACUERDO DEL PLENO DE 29 DE DICIEMBRE DE 2025. </w:t>
      </w:r>
    </w:p>
    <w:p w:rsidR="00025683" w:rsidRDefault="007C2AAB">
      <w:pPr>
        <w:spacing w:after="11" w:line="259" w:lineRule="auto"/>
        <w:ind w:left="14" w:firstLine="0"/>
        <w:jc w:val="left"/>
      </w:pPr>
      <w:r>
        <w:rPr>
          <w:b/>
        </w:rPr>
        <w:t xml:space="preserve"> </w:t>
      </w:r>
    </w:p>
    <w:p w:rsidR="00025683" w:rsidRDefault="007C2AAB">
      <w:pPr>
        <w:spacing w:after="12"/>
        <w:ind w:left="14" w:right="197"/>
      </w:pPr>
      <w:r>
        <w:rPr>
          <w:sz w:val="24"/>
        </w:rPr>
        <w:t xml:space="preserve">       </w:t>
      </w:r>
      <w:r>
        <w:rPr>
          <w:b/>
          <w:sz w:val="24"/>
        </w:rPr>
        <w:t xml:space="preserve">PRIMERO: </w:t>
      </w:r>
      <w:r>
        <w:rPr>
          <w:b/>
        </w:rPr>
        <w:t>Declarar desierto el expediente de contratación consistente en la ejecución del “Proyecto de ejecución de Piscina de Candelaria”, por no constar presentadas ofertas en el plazo concedido a tal efecto.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722" w:firstLine="0"/>
        <w:jc w:val="left"/>
      </w:pPr>
      <w:r>
        <w:rPr>
          <w:rFonts w:ascii="Times New Roman" w:eastAsia="Times New Roman" w:hAnsi="Times New Roman" w:cs="Times New Roman"/>
          <w:b/>
          <w:sz w:val="24"/>
        </w:rPr>
        <w:t xml:space="preserve"> </w:t>
      </w:r>
    </w:p>
    <w:p w:rsidR="00025683" w:rsidRDefault="007C2AAB">
      <w:pPr>
        <w:spacing w:after="12"/>
        <w:ind w:left="14" w:right="197"/>
      </w:pPr>
      <w:r>
        <w:rPr>
          <w:b/>
        </w:rPr>
        <w:t xml:space="preserve">       SEGUNDO: </w:t>
      </w:r>
      <w:r>
        <w:rPr>
          <w:b/>
        </w:rPr>
        <w:t>Dejar sin efecto los documentos contables A aprobados en la presente licitación y dar traslado a la Intervención municipal para su cumplimiento:</w:t>
      </w:r>
      <w:r>
        <w:rPr>
          <w:rFonts w:ascii="Times New Roman" w:eastAsia="Times New Roman" w:hAnsi="Times New Roman" w:cs="Times New Roman"/>
          <w:sz w:val="24"/>
        </w:rPr>
        <w:t xml:space="preserve"> </w:t>
      </w:r>
    </w:p>
    <w:p w:rsidR="00025683" w:rsidRDefault="007C2AAB">
      <w:pPr>
        <w:spacing w:after="0" w:line="259" w:lineRule="auto"/>
        <w:ind w:left="722" w:firstLine="0"/>
        <w:jc w:val="left"/>
      </w:pPr>
      <w:r>
        <w:rPr>
          <w:b/>
        </w:rPr>
        <w:t xml:space="preserve"> </w:t>
      </w:r>
    </w:p>
    <w:tbl>
      <w:tblPr>
        <w:tblStyle w:val="TableGrid"/>
        <w:tblW w:w="8646" w:type="dxa"/>
        <w:tblInd w:w="19" w:type="dxa"/>
        <w:tblCellMar>
          <w:top w:w="5" w:type="dxa"/>
          <w:left w:w="108" w:type="dxa"/>
          <w:bottom w:w="0" w:type="dxa"/>
          <w:right w:w="115" w:type="dxa"/>
        </w:tblCellMar>
        <w:tblLook w:val="04A0" w:firstRow="1" w:lastRow="0" w:firstColumn="1" w:lastColumn="0" w:noHBand="0" w:noVBand="1"/>
      </w:tblPr>
      <w:tblGrid>
        <w:gridCol w:w="2883"/>
        <w:gridCol w:w="2880"/>
        <w:gridCol w:w="2883"/>
      </w:tblGrid>
      <w:tr w:rsidR="00025683">
        <w:trPr>
          <w:trHeight w:val="775"/>
        </w:trPr>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70" w:firstLine="0"/>
              <w:jc w:val="center"/>
            </w:pPr>
            <w:r>
              <w:rPr>
                <w:b/>
                <w:i/>
              </w:rPr>
              <w:t xml:space="preserve"> </w:t>
            </w:r>
          </w:p>
          <w:p w:rsidR="00025683" w:rsidRDefault="007C2AAB">
            <w:pPr>
              <w:spacing w:after="0" w:line="259" w:lineRule="auto"/>
              <w:ind w:left="9" w:firstLine="0"/>
              <w:jc w:val="center"/>
            </w:pPr>
            <w:r>
              <w:rPr>
                <w:b/>
                <w:i/>
              </w:rPr>
              <w:t>Anualidad</w:t>
            </w:r>
            <w:r>
              <w:rPr>
                <w:rFonts w:ascii="Times New Roman" w:eastAsia="Times New Roman" w:hAnsi="Times New Roman" w:cs="Times New Roman"/>
                <w:sz w:val="24"/>
              </w:rPr>
              <w:t xml:space="preserve"> </w:t>
            </w:r>
          </w:p>
          <w:p w:rsidR="00025683" w:rsidRDefault="007C2AAB">
            <w:pPr>
              <w:spacing w:after="0" w:line="259" w:lineRule="auto"/>
              <w:ind w:left="70" w:firstLine="0"/>
              <w:jc w:val="center"/>
            </w:pPr>
            <w:r>
              <w:rPr>
                <w:b/>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31" w:lineRule="auto"/>
              <w:ind w:left="0" w:firstLine="0"/>
              <w:jc w:val="center"/>
            </w:pPr>
            <w:r>
              <w:rPr>
                <w:b/>
                <w:i/>
              </w:rPr>
              <w:t>Aplicación  presupuestaria</w:t>
            </w:r>
            <w:r>
              <w:rPr>
                <w:rFonts w:ascii="Times New Roman" w:eastAsia="Times New Roman" w:hAnsi="Times New Roman" w:cs="Times New Roman"/>
                <w:sz w:val="24"/>
              </w:rPr>
              <w:t xml:space="preserve"> </w:t>
            </w:r>
          </w:p>
          <w:p w:rsidR="00025683" w:rsidRDefault="007C2AAB">
            <w:pPr>
              <w:spacing w:after="0" w:line="259" w:lineRule="auto"/>
              <w:ind w:left="68" w:firstLine="0"/>
              <w:jc w:val="center"/>
            </w:pPr>
            <w:r>
              <w:rPr>
                <w:b/>
              </w:rP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66" w:firstLine="0"/>
              <w:jc w:val="center"/>
            </w:pPr>
            <w:r>
              <w:rPr>
                <w:b/>
              </w:rPr>
              <w:t xml:space="preserve"> </w:t>
            </w:r>
          </w:p>
          <w:p w:rsidR="00025683" w:rsidRDefault="007C2AAB">
            <w:pPr>
              <w:spacing w:after="0" w:line="259" w:lineRule="auto"/>
              <w:ind w:left="7" w:firstLine="0"/>
              <w:jc w:val="center"/>
            </w:pPr>
            <w:r>
              <w:rPr>
                <w:b/>
                <w:i/>
              </w:rPr>
              <w:t>Importe</w:t>
            </w:r>
            <w:r>
              <w:rPr>
                <w:rFonts w:ascii="Times New Roman" w:eastAsia="Times New Roman" w:hAnsi="Times New Roman" w:cs="Times New Roman"/>
                <w:sz w:val="24"/>
              </w:rPr>
              <w:t xml:space="preserve"> </w:t>
            </w:r>
          </w:p>
          <w:p w:rsidR="00025683" w:rsidRDefault="007C2AAB">
            <w:pPr>
              <w:spacing w:after="0" w:line="259" w:lineRule="auto"/>
              <w:ind w:left="66" w:firstLine="0"/>
              <w:jc w:val="center"/>
            </w:pPr>
            <w:r>
              <w:rPr>
                <w:b/>
              </w:rPr>
              <w:t xml:space="preserve"> </w:t>
            </w:r>
          </w:p>
        </w:tc>
      </w:tr>
      <w:tr w:rsidR="00025683">
        <w:trPr>
          <w:trHeight w:val="770"/>
        </w:trPr>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2" w:firstLine="0"/>
              <w:jc w:val="left"/>
            </w:pPr>
            <w:r>
              <w:rPr>
                <w:b/>
              </w:rPr>
              <w:t xml:space="preserve"> </w:t>
            </w:r>
            <w:r>
              <w:rPr>
                <w:b/>
              </w:rPr>
              <w:tab/>
              <w:t xml:space="preserve"> </w:t>
            </w:r>
          </w:p>
          <w:p w:rsidR="00025683" w:rsidRDefault="007C2AAB">
            <w:pPr>
              <w:spacing w:after="0" w:line="259" w:lineRule="auto"/>
              <w:ind w:left="2" w:firstLine="0"/>
              <w:jc w:val="left"/>
            </w:pPr>
            <w:r>
              <w:rPr>
                <w:b/>
                <w:i/>
              </w:rPr>
              <w:t>2026</w:t>
            </w:r>
            <w:r>
              <w:rPr>
                <w:rFonts w:ascii="Times New Roman" w:eastAsia="Times New Roman" w:hAnsi="Times New Roman" w:cs="Times New Roman"/>
                <w:sz w:val="24"/>
              </w:rPr>
              <w:t xml:space="preserve"> </w:t>
            </w:r>
          </w:p>
          <w:p w:rsidR="00025683" w:rsidRDefault="007C2AAB">
            <w:pPr>
              <w:spacing w:after="0" w:line="259" w:lineRule="auto"/>
              <w:ind w:left="2" w:firstLine="0"/>
              <w:jc w:val="left"/>
            </w:pPr>
            <w:r>
              <w:rPr>
                <w:b/>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rPr>
                <w:b/>
              </w:rPr>
              <w:t xml:space="preserve">15100.60912 </w:t>
            </w:r>
          </w:p>
          <w:p w:rsidR="00025683" w:rsidRDefault="007C2AAB">
            <w:pPr>
              <w:spacing w:after="0" w:line="259" w:lineRule="auto"/>
              <w:ind w:left="0" w:firstLine="0"/>
              <w:jc w:val="left"/>
            </w:pPr>
            <w:r>
              <w:rPr>
                <w:b/>
              </w:rPr>
              <w:t>A.2.25.0.06549</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rPr>
                <w:b/>
              </w:rP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rPr>
                <w:b/>
              </w:rPr>
              <w:t xml:space="preserve">3.562.752,91 euros </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rPr>
                <w:b/>
              </w:rPr>
              <w:t xml:space="preserve"> </w:t>
            </w:r>
          </w:p>
        </w:tc>
      </w:tr>
      <w:tr w:rsidR="00025683">
        <w:trPr>
          <w:trHeight w:val="770"/>
        </w:trPr>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2" w:firstLine="0"/>
              <w:jc w:val="left"/>
            </w:pPr>
            <w:r>
              <w:rPr>
                <w:b/>
              </w:rPr>
              <w:t>2027</w:t>
            </w:r>
            <w:r>
              <w:rPr>
                <w:rFonts w:ascii="Times New Roman" w:eastAsia="Times New Roman" w:hAnsi="Times New Roman" w:cs="Times New Roman"/>
                <w:sz w:val="24"/>
              </w:rPr>
              <w:t xml:space="preserve"> </w:t>
            </w:r>
          </w:p>
          <w:p w:rsidR="00025683" w:rsidRDefault="007C2AAB">
            <w:pPr>
              <w:spacing w:after="0" w:line="259" w:lineRule="auto"/>
              <w:ind w:left="2" w:firstLine="0"/>
              <w:jc w:val="left"/>
            </w:pPr>
            <w:r>
              <w:rPr>
                <w:b/>
              </w:rPr>
              <w:t xml:space="preserve"> </w:t>
            </w:r>
          </w:p>
        </w:tc>
        <w:tc>
          <w:tcPr>
            <w:tcW w:w="2880"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rPr>
                <w:b/>
              </w:rPr>
              <w:t xml:space="preserve">15100.60912 </w:t>
            </w:r>
          </w:p>
          <w:p w:rsidR="00025683" w:rsidRDefault="007C2AAB">
            <w:pPr>
              <w:spacing w:after="0" w:line="259" w:lineRule="auto"/>
              <w:ind w:left="0" w:firstLine="0"/>
              <w:jc w:val="left"/>
            </w:pPr>
            <w:r>
              <w:rPr>
                <w:b/>
              </w:rPr>
              <w:t>A.2.25.0.06550</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rPr>
                <w:b/>
              </w:rPr>
              <w:t xml:space="preserve"> </w:t>
            </w:r>
          </w:p>
        </w:tc>
        <w:tc>
          <w:tcPr>
            <w:tcW w:w="2883" w:type="dxa"/>
            <w:tcBorders>
              <w:top w:val="single" w:sz="4" w:space="0" w:color="000000"/>
              <w:left w:val="single" w:sz="4" w:space="0" w:color="000000"/>
              <w:bottom w:val="single" w:sz="4" w:space="0" w:color="000000"/>
              <w:right w:val="single" w:sz="4" w:space="0" w:color="000000"/>
            </w:tcBorders>
          </w:tcPr>
          <w:p w:rsidR="00025683" w:rsidRDefault="007C2AAB">
            <w:pPr>
              <w:spacing w:after="0" w:line="259" w:lineRule="auto"/>
              <w:ind w:left="0" w:firstLine="0"/>
              <w:jc w:val="left"/>
            </w:pPr>
            <w:r>
              <w:rPr>
                <w:b/>
              </w:rPr>
              <w:t xml:space="preserve"> </w:t>
            </w:r>
          </w:p>
          <w:p w:rsidR="00025683" w:rsidRDefault="007C2AAB">
            <w:pPr>
              <w:spacing w:after="0" w:line="259" w:lineRule="auto"/>
              <w:ind w:left="0" w:firstLine="0"/>
              <w:jc w:val="left"/>
            </w:pPr>
            <w:r>
              <w:rPr>
                <w:b/>
              </w:rPr>
              <w:t xml:space="preserve">3.562.752,91 euros </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rPr>
                <w:b/>
              </w:rPr>
              <w:t xml:space="preserve"> </w:t>
            </w:r>
          </w:p>
        </w:tc>
      </w:tr>
    </w:tbl>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firstLine="708"/>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82663" name="Group 38266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201" name="Rectangle 7201"/>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7202" name="Rectangle 7202"/>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203" name="Rectangle 7203"/>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2663" style="width:18.7031pt;height:260.874pt;position:absolute;mso-position-horizontal-relative:page;mso-position-horizontal:absolute;margin-left:662.928pt;mso-position-vertical-relative:page;margin-top:512.046pt;" coordsize="2375,33130">
                <v:rect id="Rectangle 7201"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720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20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350 </w:t>
                        </w:r>
                      </w:p>
                    </w:txbxContent>
                  </v:textbox>
                </v:rect>
                <w10:wrap type="topAndBottom"/>
              </v:group>
            </w:pict>
          </mc:Fallback>
        </mc:AlternateContent>
      </w:r>
      <w:r>
        <w:rPr>
          <w:b/>
        </w:rPr>
        <w:t>TERCERO: Publicar la declaración de desierto en la plataforma de contratación del Estado.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16" w:line="259" w:lineRule="auto"/>
        <w:ind w:left="14" w:firstLine="0"/>
        <w:jc w:val="left"/>
      </w:pPr>
      <w:r>
        <w:rPr>
          <w:b/>
          <w:sz w:val="24"/>
        </w:rPr>
        <w:t xml:space="preserve"> </w:t>
      </w:r>
    </w:p>
    <w:p w:rsidR="00025683" w:rsidRDefault="007C2AAB">
      <w:pPr>
        <w:spacing w:after="4" w:line="245" w:lineRule="auto"/>
        <w:ind w:left="9" w:right="193" w:hanging="10"/>
      </w:pPr>
      <w:r>
        <w:rPr>
          <w:rFonts w:ascii="Calibri" w:eastAsia="Calibri" w:hAnsi="Calibri" w:cs="Calibri"/>
          <w:noProof/>
        </w:rPr>
        <mc:AlternateContent>
          <mc:Choice Requires="wpg">
            <w:drawing>
              <wp:anchor distT="0" distB="0" distL="114300" distR="114300" simplePos="0" relativeHeight="251692032" behindDoc="1" locked="0" layoutInCell="1" allowOverlap="1">
                <wp:simplePos x="0" y="0"/>
                <wp:positionH relativeFrom="column">
                  <wp:posOffset>9144</wp:posOffset>
                </wp:positionH>
                <wp:positionV relativeFrom="paragraph">
                  <wp:posOffset>-9319</wp:posOffset>
                </wp:positionV>
                <wp:extent cx="5941518" cy="824484"/>
                <wp:effectExtent l="0" t="0" r="0" b="0"/>
                <wp:wrapNone/>
                <wp:docPr id="383910" name="Group 383910"/>
                <wp:cNvGraphicFramePr/>
                <a:graphic xmlns:a="http://schemas.openxmlformats.org/drawingml/2006/main">
                  <a:graphicData uri="http://schemas.microsoft.com/office/word/2010/wordprocessingGroup">
                    <wpg:wgp>
                      <wpg:cNvGrpSpPr/>
                      <wpg:grpSpPr>
                        <a:xfrm>
                          <a:off x="0" y="0"/>
                          <a:ext cx="5941518" cy="824484"/>
                          <a:chOff x="0" y="0"/>
                          <a:chExt cx="5941518" cy="824484"/>
                        </a:xfrm>
                      </wpg:grpSpPr>
                      <wps:wsp>
                        <wps:cNvPr id="446568" name="Shape 446568"/>
                        <wps:cNvSpPr/>
                        <wps:spPr>
                          <a:xfrm>
                            <a:off x="2220798" y="0"/>
                            <a:ext cx="3720720" cy="210312"/>
                          </a:xfrm>
                          <a:custGeom>
                            <a:avLst/>
                            <a:gdLst/>
                            <a:ahLst/>
                            <a:cxnLst/>
                            <a:rect l="0" t="0" r="0" b="0"/>
                            <a:pathLst>
                              <a:path w="3720720" h="210312">
                                <a:moveTo>
                                  <a:pt x="0" y="0"/>
                                </a:moveTo>
                                <a:lnTo>
                                  <a:pt x="3720720" y="0"/>
                                </a:lnTo>
                                <a:lnTo>
                                  <a:pt x="3720720"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6569" name="Shape 446569"/>
                        <wps:cNvSpPr/>
                        <wps:spPr>
                          <a:xfrm>
                            <a:off x="0" y="204216"/>
                            <a:ext cx="5941441" cy="210312"/>
                          </a:xfrm>
                          <a:custGeom>
                            <a:avLst/>
                            <a:gdLst/>
                            <a:ahLst/>
                            <a:cxnLst/>
                            <a:rect l="0" t="0" r="0" b="0"/>
                            <a:pathLst>
                              <a:path w="5941441" h="210312">
                                <a:moveTo>
                                  <a:pt x="0" y="0"/>
                                </a:moveTo>
                                <a:lnTo>
                                  <a:pt x="5941441" y="0"/>
                                </a:lnTo>
                                <a:lnTo>
                                  <a:pt x="5941441"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6570" name="Shape 446570"/>
                        <wps:cNvSpPr/>
                        <wps:spPr>
                          <a:xfrm>
                            <a:off x="0" y="409956"/>
                            <a:ext cx="5941441" cy="210312"/>
                          </a:xfrm>
                          <a:custGeom>
                            <a:avLst/>
                            <a:gdLst/>
                            <a:ahLst/>
                            <a:cxnLst/>
                            <a:rect l="0" t="0" r="0" b="0"/>
                            <a:pathLst>
                              <a:path w="5941441" h="210312">
                                <a:moveTo>
                                  <a:pt x="0" y="0"/>
                                </a:moveTo>
                                <a:lnTo>
                                  <a:pt x="5941441" y="0"/>
                                </a:lnTo>
                                <a:lnTo>
                                  <a:pt x="5941441"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6571" name="Shape 446571"/>
                        <wps:cNvSpPr/>
                        <wps:spPr>
                          <a:xfrm>
                            <a:off x="0" y="614172"/>
                            <a:ext cx="3991991" cy="210312"/>
                          </a:xfrm>
                          <a:custGeom>
                            <a:avLst/>
                            <a:gdLst/>
                            <a:ahLst/>
                            <a:cxnLst/>
                            <a:rect l="0" t="0" r="0" b="0"/>
                            <a:pathLst>
                              <a:path w="3991991" h="210312">
                                <a:moveTo>
                                  <a:pt x="0" y="0"/>
                                </a:moveTo>
                                <a:lnTo>
                                  <a:pt x="3991991" y="0"/>
                                </a:lnTo>
                                <a:lnTo>
                                  <a:pt x="3991991"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w:pict>
              <v:group id="Group 383910" style="width:467.836pt;height:64.92pt;position:absolute;z-index:-2147483616;mso-position-horizontal-relative:text;mso-position-horizontal:absolute;margin-left:0.720001pt;mso-position-vertical-relative:text;margin-top:-0.733826pt;" coordsize="59415,8244">
                <v:shape id="Shape 446572" style="position:absolute;width:37207;height:2103;left:22207;top:0;" coordsize="3720720,210312" path="m0,0l3720720,0l3720720,210312l0,210312l0,0">
                  <v:stroke weight="0pt" endcap="square" joinstyle="miter" miterlimit="10" on="false" color="#000000" opacity="0"/>
                  <v:fill on="true" color="#f5f7f9"/>
                </v:shape>
                <v:shape id="Shape 446573" style="position:absolute;width:59414;height:2103;left:0;top:2042;" coordsize="5941441,210312" path="m0,0l5941441,0l5941441,210312l0,210312l0,0">
                  <v:stroke weight="0pt" endcap="square" joinstyle="miter" miterlimit="10" on="false" color="#000000" opacity="0"/>
                  <v:fill on="true" color="#f5f7f9"/>
                </v:shape>
                <v:shape id="Shape 446574" style="position:absolute;width:59414;height:2103;left:0;top:4099;" coordsize="5941441,210312" path="m0,0l5941441,0l5941441,210312l0,210312l0,0">
                  <v:stroke weight="0pt" endcap="square" joinstyle="miter" miterlimit="10" on="false" color="#000000" opacity="0"/>
                  <v:fill on="true" color="#f5f7f9"/>
                </v:shape>
                <v:shape id="Shape 446575" style="position:absolute;width:39919;height:2103;left:0;top:6141;" coordsize="3991991,210312" path="m0,0l3991991,0l3991991,210312l0,210312l0,0">
                  <v:stroke weight="0pt" endcap="square" joinstyle="miter" miterlimit="10" on="false" color="#000000" opacity="0"/>
                  <v:fill on="true" color="#f5f7f9"/>
                </v:shape>
              </v:group>
            </w:pict>
          </mc:Fallback>
        </mc:AlternateContent>
      </w:r>
      <w:r>
        <w:rPr>
          <w:b/>
          <w:sz w:val="28"/>
        </w:rPr>
        <w:t xml:space="preserve">4.- </w:t>
      </w:r>
      <w:r>
        <w:rPr>
          <w:b/>
          <w:sz w:val="28"/>
          <w:u w:val="single" w:color="000000"/>
        </w:rPr>
        <w:t>Expediente 9062/2025</w:t>
      </w:r>
      <w:r>
        <w:rPr>
          <w:b/>
          <w:sz w:val="28"/>
        </w:rPr>
        <w:t>. Propuesta de la Alcaldesa al Pleno de toma de conocimiento de Modificación Menor de iniciativa privada del Plan General de Ordenación de Candelaria “SUSO-CA17 Lomo del Caballo” y solicitud de informe de evaluación ambiental.</w:t>
      </w:r>
      <w:r>
        <w:rPr>
          <w:rFonts w:ascii="Times New Roman" w:eastAsia="Times New Roman" w:hAnsi="Times New Roman" w:cs="Times New Roman"/>
          <w:sz w:val="28"/>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 w:line="249" w:lineRule="auto"/>
        <w:ind w:left="17" w:right="197" w:hanging="10"/>
      </w:pPr>
      <w:r>
        <w:rPr>
          <w:b/>
          <w:sz w:val="24"/>
        </w:rPr>
        <w:t>Cons</w:t>
      </w:r>
      <w:r>
        <w:rPr>
          <w:b/>
          <w:sz w:val="24"/>
        </w:rPr>
        <w:t xml:space="preserve">ta en el expediente Informe jurídico emitido por Dña. Olga Fernández MéndezBencomo, Técnico de Administración General, de fecha 17 de diciembre de 2025, del siguiente tenor literal: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sz w:val="24"/>
        </w:rPr>
        <w:t xml:space="preserve"> </w:t>
      </w:r>
    </w:p>
    <w:p w:rsidR="00025683" w:rsidRDefault="007C2AAB">
      <w:pPr>
        <w:pStyle w:val="Ttulo4"/>
        <w:ind w:left="274" w:right="458"/>
      </w:pPr>
      <w:r>
        <w:rPr>
          <w:b w:val="0"/>
          <w:sz w:val="24"/>
        </w:rPr>
        <w:t>“</w:t>
      </w:r>
      <w:r>
        <w:t xml:space="preserve">INFORME JURÍDICO </w:t>
      </w:r>
      <w:r>
        <w:rPr>
          <w:rFonts w:ascii="Times New Roman" w:eastAsia="Times New Roman" w:hAnsi="Times New Roman" w:cs="Times New Roman"/>
          <w:b w:val="0"/>
          <w:sz w:val="24"/>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t xml:space="preserve"> </w:t>
      </w:r>
    </w:p>
    <w:p w:rsidR="00025683" w:rsidRDefault="007C2AAB">
      <w:pPr>
        <w:ind w:left="14" w:right="200"/>
      </w:pPr>
      <w:r>
        <w:t xml:space="preserve">La Técnico de Administración General Olga Fernández Méndez- Bencomo, en el expediente anteriormente indicado emite el siguiente informe: </w:t>
      </w:r>
    </w:p>
    <w:p w:rsidR="00025683" w:rsidRDefault="007C2AAB">
      <w:pPr>
        <w:spacing w:after="0" w:line="259" w:lineRule="auto"/>
        <w:ind w:left="14" w:firstLine="0"/>
        <w:jc w:val="left"/>
      </w:pPr>
      <w:r>
        <w:t xml:space="preserve"> </w:t>
      </w:r>
    </w:p>
    <w:p w:rsidR="00025683" w:rsidRDefault="007C2AAB">
      <w:pPr>
        <w:pStyle w:val="Ttulo4"/>
        <w:ind w:left="274" w:right="463"/>
      </w:pPr>
      <w:r>
        <w:t xml:space="preserve">ANTECEDENTES </w:t>
      </w:r>
    </w:p>
    <w:p w:rsidR="00025683" w:rsidRDefault="007C2AAB">
      <w:pPr>
        <w:spacing w:after="0" w:line="259" w:lineRule="auto"/>
        <w:ind w:left="0" w:right="133" w:firstLine="0"/>
        <w:jc w:val="center"/>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3911" name="Group 3839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34" name="Rectangle 7334"/>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7335" name="Rectangle 7335"/>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https://candelaria.sedelectronica.es/</w:t>
                              </w:r>
                              <w:r>
                                <w:rPr>
                                  <w:sz w:val="12"/>
                                </w:rPr>
                                <w:t xml:space="preserve"> </w:t>
                              </w:r>
                            </w:p>
                          </w:txbxContent>
                        </wps:txbx>
                        <wps:bodyPr horzOverflow="overflow" vert="horz" lIns="0" tIns="0" rIns="0" bIns="0" rtlCol="0">
                          <a:noAutofit/>
                        </wps:bodyPr>
                      </wps:wsp>
                      <wps:wsp>
                        <wps:cNvPr id="7336" name="Rectangle 7336"/>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3911" style="width:18.7031pt;height:260.874pt;position:absolute;mso-position-horizontal-relative:page;mso-position-horizontal:absolute;margin-left:662.928pt;mso-position-vertical-relative:page;margin-top:512.046pt;" coordsize="2375,33130">
                <v:rect id="Rectangle 7334"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733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33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350 </w:t>
                        </w:r>
                      </w:p>
                    </w:txbxContent>
                  </v:textbox>
                </v:rect>
                <w10:wrap type="square"/>
              </v:group>
            </w:pict>
          </mc:Fallback>
        </mc:AlternateContent>
      </w:r>
      <w:r>
        <w:t>Visto el Expediente 9062/2025 que se tramita para la Modificación menor de iniciativa privada del Plan General de Candelaria. Ámbito “SUSO-CA17 Lomo del Cabal</w:t>
      </w:r>
      <w:r>
        <w:t xml:space="preserve">lo” iniciado a instancia de D. Amador Felipe Díaz Ramos en representación de Amador Díaz Ramos S.L, con registro de entrada: 2025-E-RE-10599 de 28 de noviembre de 2025. </w:t>
      </w:r>
    </w:p>
    <w:p w:rsidR="00025683" w:rsidRDefault="007C2AAB">
      <w:pPr>
        <w:spacing w:after="0" w:line="259" w:lineRule="auto"/>
        <w:ind w:left="14" w:firstLine="0"/>
        <w:jc w:val="left"/>
      </w:pPr>
      <w:r>
        <w:t xml:space="preserve"> </w:t>
      </w:r>
    </w:p>
    <w:p w:rsidR="00025683" w:rsidRDefault="007C2AAB">
      <w:pPr>
        <w:ind w:left="14" w:right="200"/>
      </w:pPr>
      <w:r>
        <w:t>Consta en el expediente informe técnico emitido por la Arquitecta Municipal de fecha</w:t>
      </w:r>
      <w:r>
        <w:t xml:space="preserve"> 16/12/2025 que transcrito literalmente dice: </w:t>
      </w:r>
    </w:p>
    <w:p w:rsidR="00025683" w:rsidRDefault="007C2AAB">
      <w:pPr>
        <w:ind w:left="14" w:right="200"/>
      </w:pPr>
      <w:r>
        <w:t xml:space="preserve">“…Visto el expediente antedicho, Nayra Guzmán Hernández, arquitecta municipal, emite el siguiente informe: </w:t>
      </w:r>
    </w:p>
    <w:p w:rsidR="00025683" w:rsidRDefault="007C2AAB">
      <w:pPr>
        <w:spacing w:after="0" w:line="259" w:lineRule="auto"/>
        <w:ind w:left="14" w:firstLine="0"/>
        <w:jc w:val="left"/>
      </w:pPr>
      <w:r>
        <w:t xml:space="preserve"> </w:t>
      </w:r>
    </w:p>
    <w:p w:rsidR="00025683" w:rsidRDefault="007C2AAB">
      <w:pPr>
        <w:spacing w:after="12"/>
        <w:ind w:left="14" w:right="197"/>
      </w:pPr>
      <w:r>
        <w:rPr>
          <w:b/>
        </w:rPr>
        <w:t xml:space="preserve">ANTECEDENTES </w:t>
      </w:r>
    </w:p>
    <w:p w:rsidR="00025683" w:rsidRDefault="007C2AAB">
      <w:pPr>
        <w:spacing w:after="0" w:line="259" w:lineRule="auto"/>
        <w:ind w:left="14" w:firstLine="0"/>
        <w:jc w:val="left"/>
      </w:pPr>
      <w:r>
        <w:rPr>
          <w:b/>
        </w:rPr>
        <w:t xml:space="preserve"> </w:t>
      </w:r>
    </w:p>
    <w:p w:rsidR="00025683" w:rsidRDefault="007C2AAB">
      <w:pPr>
        <w:ind w:left="14" w:right="200"/>
      </w:pPr>
      <w:r>
        <w:t>El objeto de la presente Modificación Menor del PGO de Candelaria, es la reordenación pormenorizada del ámbito urbanístico del Sector denominado SUSOI-CA17 “Lomo del Caballo”, de manera que la trama urbana propuesta por la presente Modificación Menor se aj</w:t>
      </w:r>
      <w:r>
        <w:t xml:space="preserve">uste a la realidad física del entorno, adaptándose a la ubicación real del puente, y el nuevo enlace vinculado a  esta conexión. </w:t>
      </w:r>
    </w:p>
    <w:p w:rsidR="00025683" w:rsidRDefault="007C2AAB">
      <w:pPr>
        <w:spacing w:after="0" w:line="259" w:lineRule="auto"/>
        <w:ind w:left="14" w:firstLine="0"/>
        <w:jc w:val="left"/>
      </w:pPr>
      <w:r>
        <w:t xml:space="preserve"> </w:t>
      </w:r>
    </w:p>
    <w:p w:rsidR="00025683" w:rsidRDefault="007C2AAB">
      <w:pPr>
        <w:ind w:left="14" w:right="200"/>
      </w:pPr>
      <w:r>
        <w:t xml:space="preserve">Además, manteniendo la continuidad viaria con el entorno urbano colindante. Igualmente es objeto de esta modificación menor </w:t>
      </w:r>
      <w:r>
        <w:t xml:space="preserve">que la estructura parcelaria que resulte, mantenga la dualidad de las ideas rectoras de la ordenación que ahora se modifica, esto es, una estructura parcelaria capaz de albergar aquellas pequeñas industrias, talleres, etc. ubicadas en la trama urbana, así </w:t>
      </w:r>
      <w:r>
        <w:t>como posibilitar la implantación de actividades que requieran un parcelario de cierta entidad.</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983" w:firstLine="0"/>
        <w:jc w:val="right"/>
      </w:pPr>
      <w:r>
        <w:rPr>
          <w:noProof/>
        </w:rPr>
        <w:drawing>
          <wp:inline distT="0" distB="0" distL="0" distR="0">
            <wp:extent cx="5401104" cy="2724916"/>
            <wp:effectExtent l="0" t="0" r="0" b="0"/>
            <wp:docPr id="7428" name="Picture 7428"/>
            <wp:cNvGraphicFramePr/>
            <a:graphic xmlns:a="http://schemas.openxmlformats.org/drawingml/2006/main">
              <a:graphicData uri="http://schemas.openxmlformats.org/drawingml/2006/picture">
                <pic:pic xmlns:pic="http://schemas.openxmlformats.org/drawingml/2006/picture">
                  <pic:nvPicPr>
                    <pic:cNvPr id="7428" name="Picture 7428"/>
                    <pic:cNvPicPr/>
                  </pic:nvPicPr>
                  <pic:blipFill>
                    <a:blip r:embed="rId56"/>
                    <a:stretch>
                      <a:fillRect/>
                    </a:stretch>
                  </pic:blipFill>
                  <pic:spPr>
                    <a:xfrm>
                      <a:off x="0" y="0"/>
                      <a:ext cx="5401104" cy="272491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INFORME  </w:t>
      </w:r>
    </w:p>
    <w:p w:rsidR="00025683" w:rsidRDefault="007C2AAB">
      <w:pPr>
        <w:spacing w:after="0" w:line="259" w:lineRule="auto"/>
        <w:ind w:left="14" w:firstLine="0"/>
        <w:jc w:val="left"/>
      </w:pPr>
      <w:r>
        <w:t xml:space="preserve"> </w:t>
      </w:r>
    </w:p>
    <w:p w:rsidR="00025683" w:rsidRDefault="007C2AAB">
      <w:pPr>
        <w:ind w:left="14" w:right="200"/>
      </w:pPr>
      <w:r>
        <w:t xml:space="preserve">Se toma conocimiento de la documentación presentada con fecha 28 de noviembre de 2025 y registro de entrada </w:t>
      </w:r>
      <w:r>
        <w:rPr>
          <w:b/>
        </w:rPr>
        <w:t>2025-E-RE-10599</w:t>
      </w:r>
      <w:r>
        <w:t xml:space="preserve">, relativa a la </w:t>
      </w:r>
      <w:r>
        <w:rPr>
          <w:b/>
        </w:rPr>
        <w:t xml:space="preserve">Modificación Menor de iniciativa privada del Plan General de Ordenación de Candelaria “SUSO-CA17 Lomo del Caballo” </w:t>
      </w:r>
      <w:r>
        <w:t>presentada por Amador Felipe Díaz Ramos en representación de Amador Díaz Ramos S.L y redactada por el arquitecto Gilberto Día</w:t>
      </w:r>
      <w:r>
        <w:t>z Díaz, colegiado 2621, para el inicio del Procedimiento de Evaluación Ambiental Estratégica Simplificada.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La documentación relativa a la Modificación Menor de Planeamiento, consta de los siguientes documentos: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4685" name="Group 3846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431" name="Rectangle 7431"/>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7432" name="Rectangle 7432"/>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433" name="Rectangle 7433"/>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33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4685" style="width:18.7031pt;height:260.874pt;position:absolute;mso-position-horizontal-relative:page;mso-position-horizontal:absolute;margin-left:662.928pt;mso-position-vertical-relative:page;margin-top:512.046pt;" coordsize="2375,33130">
                <v:rect id="Rectangle 7431"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743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43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350 </w:t>
                        </w:r>
                      </w:p>
                    </w:txbxContent>
                  </v:textbox>
                </v:rect>
                <w10:wrap type="square"/>
              </v:group>
            </w:pict>
          </mc:Fallback>
        </mc:AlternateContent>
      </w:r>
      <w:r>
        <w:t xml:space="preserve">     0  Modificación Menor del Plan General de Ordenación de </w:t>
      </w:r>
      <w:r>
        <w:t xml:space="preserve">Candelaria, SUSO-CA17 Lomo del Caballo, redactado por D. Gilberto Díaz Díaz arquitecto colegiado 2621 y firmada de fecha 28 de noviembre de 2025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1.Memoria. Alternativas  </w:t>
      </w:r>
    </w:p>
    <w:p w:rsidR="00025683" w:rsidRDefault="007C2AAB">
      <w:pPr>
        <w:spacing w:after="0" w:line="259" w:lineRule="auto"/>
        <w:ind w:left="14" w:firstLine="0"/>
        <w:jc w:val="left"/>
      </w:pPr>
      <w:r>
        <w:t xml:space="preserve"> </w:t>
      </w:r>
    </w:p>
    <w:p w:rsidR="00025683" w:rsidRDefault="007C2AAB">
      <w:pPr>
        <w:ind w:left="14" w:right="200"/>
      </w:pPr>
      <w:r>
        <w:t xml:space="preserve">2.Normativa ambiental. </w:t>
      </w:r>
    </w:p>
    <w:p w:rsidR="00025683" w:rsidRDefault="007C2AAB">
      <w:pPr>
        <w:spacing w:after="0" w:line="259" w:lineRule="auto"/>
        <w:ind w:left="14" w:firstLine="0"/>
        <w:jc w:val="left"/>
      </w:pPr>
      <w:r>
        <w:t xml:space="preserve"> </w:t>
      </w:r>
    </w:p>
    <w:p w:rsidR="00025683" w:rsidRDefault="007C2AAB">
      <w:pPr>
        <w:ind w:left="14" w:right="200"/>
      </w:pPr>
      <w:r>
        <w:t xml:space="preserve">3.Memoria de sostenibilidad económica. </w:t>
      </w:r>
    </w:p>
    <w:p w:rsidR="00025683" w:rsidRDefault="007C2AAB">
      <w:pPr>
        <w:spacing w:after="0" w:line="259" w:lineRule="auto"/>
        <w:ind w:left="14" w:firstLine="0"/>
        <w:jc w:val="left"/>
      </w:pPr>
      <w:r>
        <w:t xml:space="preserve"> </w:t>
      </w:r>
    </w:p>
    <w:p w:rsidR="00025683" w:rsidRDefault="007C2AAB">
      <w:pPr>
        <w:ind w:left="14" w:right="200"/>
      </w:pPr>
      <w:r>
        <w:t xml:space="preserve">4.Informe </w:t>
      </w:r>
      <w:r>
        <w:t xml:space="preserve">de impacto de género. </w:t>
      </w:r>
    </w:p>
    <w:p w:rsidR="00025683" w:rsidRDefault="007C2AAB">
      <w:pPr>
        <w:spacing w:after="0" w:line="259" w:lineRule="auto"/>
        <w:ind w:left="14" w:firstLine="0"/>
        <w:jc w:val="left"/>
      </w:pPr>
      <w:r>
        <w:t xml:space="preserve"> </w:t>
      </w:r>
    </w:p>
    <w:p w:rsidR="00025683" w:rsidRDefault="007C2AAB">
      <w:pPr>
        <w:ind w:left="14" w:right="200"/>
      </w:pPr>
      <w:r>
        <w:t xml:space="preserve">5.Planos </w:t>
      </w:r>
    </w:p>
    <w:p w:rsidR="00025683" w:rsidRDefault="007C2AAB">
      <w:pPr>
        <w:spacing w:after="0" w:line="259" w:lineRule="auto"/>
        <w:ind w:left="14" w:firstLine="0"/>
        <w:jc w:val="left"/>
      </w:pPr>
      <w:r>
        <w:t xml:space="preserve"> </w:t>
      </w:r>
    </w:p>
    <w:p w:rsidR="00025683" w:rsidRDefault="007C2AAB">
      <w:pPr>
        <w:ind w:left="14" w:right="200"/>
      </w:pPr>
      <w:r>
        <w:t xml:space="preserve">6.Ficha del sector que integra el ámbito de la modificación menor. </w:t>
      </w:r>
    </w:p>
    <w:p w:rsidR="00025683" w:rsidRDefault="007C2AAB">
      <w:pPr>
        <w:pStyle w:val="Ttulo4"/>
        <w:ind w:left="274" w:right="418"/>
      </w:pPr>
      <w:r>
        <w:t xml:space="preserve">FUNDAMENTOS DE DERECHO </w:t>
      </w:r>
    </w:p>
    <w:p w:rsidR="00025683" w:rsidRDefault="007C2AAB">
      <w:pPr>
        <w:spacing w:after="0" w:line="259" w:lineRule="auto"/>
        <w:ind w:left="0" w:right="90" w:firstLine="0"/>
        <w:jc w:val="center"/>
      </w:pPr>
      <w:r>
        <w:t xml:space="preserve"> </w:t>
      </w:r>
    </w:p>
    <w:p w:rsidR="00025683" w:rsidRDefault="007C2AAB">
      <w:pPr>
        <w:spacing w:after="12"/>
        <w:ind w:left="14" w:right="197"/>
      </w:pPr>
      <w:r>
        <w:rPr>
          <w:b/>
        </w:rPr>
        <w:t xml:space="preserve">         Primero.- </w:t>
      </w:r>
      <w:r>
        <w:rPr>
          <w:b/>
        </w:rPr>
        <w:t>El procedimiento de evaluación ambiental estratégica de las modificaciones del plan general se regula en el artículo 86 de la Ley del Suelo y de los Espacios Naturales Protegidos de Canarias (LSENPC):</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line="238" w:lineRule="auto"/>
        <w:ind w:left="21" w:right="49"/>
      </w:pPr>
      <w:r>
        <w:rPr>
          <w:i/>
        </w:rPr>
        <w:t xml:space="preserve">         Artículo 86. Evaluación ambiental estraté</w:t>
      </w:r>
      <w:r>
        <w:rPr>
          <w:i/>
        </w:rPr>
        <w:t xml:space="preserve">gica.  </w:t>
      </w:r>
    </w:p>
    <w:p w:rsidR="00025683" w:rsidRDefault="007C2AAB">
      <w:pPr>
        <w:spacing w:after="0" w:line="259" w:lineRule="auto"/>
        <w:ind w:left="14" w:firstLine="0"/>
        <w:jc w:val="left"/>
      </w:pPr>
      <w:r>
        <w:t xml:space="preserve"> </w:t>
      </w:r>
    </w:p>
    <w:p w:rsidR="00025683" w:rsidRDefault="007C2AAB">
      <w:pPr>
        <w:numPr>
          <w:ilvl w:val="0"/>
          <w:numId w:val="6"/>
        </w:numPr>
        <w:spacing w:line="238" w:lineRule="auto"/>
        <w:ind w:right="127"/>
      </w:pPr>
      <w:r>
        <w:rPr>
          <w:i/>
        </w:rPr>
        <w:t>La aprobación, modificación sustancial y adaptación de los instrumentos de ordenación territorial, ambiental y urbanística se someterán al procedimiento de evaluación ambiental de planes y programas, en los términos contemplados en la legislación básica es</w:t>
      </w:r>
      <w:r>
        <w:rPr>
          <w:i/>
        </w:rPr>
        <w:t xml:space="preserve">tatal y en la presente ley. </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0"/>
          <w:numId w:val="6"/>
        </w:numPr>
        <w:spacing w:line="238" w:lineRule="auto"/>
        <w:ind w:right="127"/>
      </w:pPr>
      <w:r>
        <w:rPr>
          <w:i/>
        </w:rPr>
        <w:t xml:space="preserve">En el marco de la legislación básica del Estado, serán objeto de evaluación ambiental estratégica simplificada: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7"/>
        </w:numPr>
        <w:spacing w:line="238" w:lineRule="auto"/>
        <w:ind w:right="49"/>
      </w:pPr>
      <w:r>
        <w:rPr>
          <w:i/>
        </w:rPr>
        <w:t>Los instrumentos de ordenación que establezcan el uso, a nivel municipal, de zonas de redu-cida extens</w:t>
      </w:r>
      <w:r>
        <w:rPr>
          <w:i/>
        </w:rPr>
        <w:t xml:space="preserve">ión.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7"/>
        </w:numPr>
        <w:spacing w:line="238" w:lineRule="auto"/>
        <w:ind w:right="49"/>
      </w:pPr>
      <w:r>
        <w:rPr>
          <w:i/>
        </w:rPr>
        <w:t xml:space="preserve">Las modificaciones menores de los instrumentos de ordenación.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7"/>
        </w:numPr>
        <w:spacing w:line="238" w:lineRule="auto"/>
        <w:ind w:right="49"/>
      </w:pPr>
      <w:r>
        <w:rPr>
          <w:i/>
        </w:rPr>
        <w:t xml:space="preserve">Los proyectos de interés insular o autonómico que contengan ordenación.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6468" name="Group 3864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58" name="Rectangle 755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7559" name="Rectangle 755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560" name="Rectangle 756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6468" style="width:18.7031pt;height:260.874pt;position:absolute;mso-position-horizontal-relative:page;mso-position-horizontal:absolute;margin-left:662.928pt;mso-position-vertical-relative:page;margin-top:512.046pt;" coordsize="2375,33130">
                <v:rect id="Rectangle 755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755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56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350 </w:t>
                        </w:r>
                      </w:p>
                    </w:txbxContent>
                  </v:textbox>
                </v:rect>
                <w10:wrap type="square"/>
              </v:group>
            </w:pict>
          </mc:Fallback>
        </mc:AlternateContent>
      </w:r>
      <w:r>
        <w:rPr>
          <w:i/>
        </w:rPr>
        <w:t xml:space="preserve"> </w:t>
      </w:r>
    </w:p>
    <w:p w:rsidR="00025683" w:rsidRDefault="007C2AAB">
      <w:pPr>
        <w:numPr>
          <w:ilvl w:val="0"/>
          <w:numId w:val="7"/>
        </w:numPr>
        <w:spacing w:line="238" w:lineRule="auto"/>
        <w:ind w:right="49"/>
      </w:pPr>
      <w:r>
        <w:rPr>
          <w:i/>
        </w:rPr>
        <w:t xml:space="preserve">La ordenación pormenorizada de un plan general.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7"/>
        </w:numPr>
        <w:spacing w:line="238" w:lineRule="auto"/>
        <w:ind w:right="49"/>
      </w:pPr>
      <w:r>
        <w:rPr>
          <w:i/>
        </w:rPr>
        <w:t>Los planes parciales y especiales que desarrollen planes generales que hayan sido sometidos a evaluación amb</w:t>
      </w:r>
      <w:r>
        <w:rPr>
          <w:i/>
        </w:rPr>
        <w:t xml:space="preserve">iental estratégica.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09"/>
      </w:pPr>
      <w:r>
        <w:rPr>
          <w:i/>
        </w:rPr>
        <w:t>No obstante, cuando el plan parcial o el plan especial no se ajusten, en todo o en parte, a las determinaciones ambientales del plan general deberán someterse a evaluación ambiental estratégica ordinaria en la parte que no cumplan c</w:t>
      </w:r>
      <w:r>
        <w:rPr>
          <w:i/>
        </w:rPr>
        <w:t xml:space="preserve">on las mismas. </w:t>
      </w:r>
      <w:r>
        <w:rPr>
          <w:rFonts w:ascii="Times New Roman" w:eastAsia="Times New Roman" w:hAnsi="Times New Roman" w:cs="Times New Roman"/>
          <w:sz w:val="24"/>
        </w:rPr>
        <w:t xml:space="preserve"> </w:t>
      </w:r>
    </w:p>
    <w:p w:rsidR="00025683" w:rsidRDefault="007C2AAB">
      <w:pPr>
        <w:numPr>
          <w:ilvl w:val="1"/>
          <w:numId w:val="7"/>
        </w:numPr>
        <w:spacing w:line="238" w:lineRule="auto"/>
        <w:ind w:right="205"/>
      </w:pPr>
      <w:r>
        <w:rPr>
          <w:i/>
        </w:rPr>
        <w:t>En los casos en que los planes se estructurasen en distintos ámbitos jerárquicos de decisión de una misma administración pública canaria, cuando sea preciso llevar a cabo la evaluación ambiental de cada uno de ellos, esta deberá realizarse</w:t>
      </w:r>
      <w:r>
        <w:rPr>
          <w:i/>
        </w:rPr>
        <w:t xml:space="preserve"> teniendo en cuenta el contenido y el grado de especificación del plan, la fase del proceso de decisión en que se encuentre y la medida en que la evaluación de determinados aspectos pueda ser más adecuada en fases distintas de dicho proceso, con objeto de </w:t>
      </w:r>
      <w:r>
        <w:rPr>
          <w:i/>
        </w:rPr>
        <w:t>evitar la duplicidad de evaluaciones. A estos efectos, el correspondiente estudio ambiental estratégico del plan deberá elaborarse a partir de la evaluación ya realizada y de las decisiones tomadas en la evaluación del instrumento superior, sin perjuicio a</w:t>
      </w:r>
      <w:r>
        <w:rPr>
          <w:i/>
        </w:rPr>
        <w:t xml:space="preserve">demás de la utilización de la información pertinente disponible, que, estando actualizada y siendo completa en lo relativo a los efectos medioambientales del nuevo plan o programa, se hubiera aprobado en otras fases del proceso de decisión. </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1"/>
          <w:numId w:val="7"/>
        </w:numPr>
        <w:spacing w:line="238" w:lineRule="auto"/>
        <w:ind w:right="205"/>
      </w:pPr>
      <w:r>
        <w:rPr>
          <w:i/>
        </w:rPr>
        <w:t>Cuando exis</w:t>
      </w:r>
      <w:r>
        <w:rPr>
          <w:i/>
        </w:rPr>
        <w:t>ta una concurrencia de planes o programas promovidos por diferentes administraciones públicas canarias, estas deberán adoptar las medidas necesarias para evitar que se produzca una duplicidad de evaluaciones. A estos efectos, no deberán someterse a un nuev</w:t>
      </w:r>
      <w:r>
        <w:rPr>
          <w:i/>
        </w:rPr>
        <w:t xml:space="preserve">o proceso de evaluación, como consecuencia de la elaboración y aprobación de un plan de ordenación urbanística o territorial, los aspectos relativos a infraestructuras de titularidad autonómica cuya planificación sectorial haya sido sometida previamente a </w:t>
      </w:r>
      <w:r>
        <w:rPr>
          <w:i/>
        </w:rPr>
        <w:t>la correspondiente evaluación ambiental conforme a lo dispuesto en esta ley. En tales casos, la administración pública competente para la aprobación del plan de ordenación urbanística o territorial podrá exigir que se tengan en cuenta los aspectos no espec</w:t>
      </w:r>
      <w:r>
        <w:rPr>
          <w:i/>
        </w:rPr>
        <w:t>íficamente considerados en la primera evaluación ambiental.</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1"/>
          <w:numId w:val="7"/>
        </w:numPr>
        <w:spacing w:line="238" w:lineRule="auto"/>
        <w:ind w:right="205"/>
      </w:pPr>
      <w:r>
        <w:rPr>
          <w:i/>
        </w:rPr>
        <w:t>La evaluación ambiental estratégica posterior de cualquier plan o programa, aunque sea de rango superior, deberá acomodarse a la declaración ambiental estratégica o, en su caso, al informe ambiental estratégico recaído con anterioridad. En el supuesto de q</w:t>
      </w:r>
      <w:r>
        <w:rPr>
          <w:i/>
        </w:rPr>
        <w:t>ue el resultado de las evaluaciones fuera contradictorio, deberán justificarse las razones y motivaciones de la nueva evaluación así como la corrección de la anterior.</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1"/>
          <w:numId w:val="7"/>
        </w:numPr>
        <w:spacing w:line="238" w:lineRule="auto"/>
        <w:ind w:right="205"/>
      </w:pPr>
      <w:r>
        <w:rPr>
          <w:i/>
        </w:rPr>
        <w:t xml:space="preserve">A los efectos previstos en el presente artículo, tendrá la consideración de: </w:t>
      </w:r>
      <w:r>
        <w:rPr>
          <w:rFonts w:ascii="Times New Roman" w:eastAsia="Times New Roman" w:hAnsi="Times New Roman" w:cs="Times New Roman"/>
          <w:sz w:val="24"/>
        </w:rPr>
        <w:t xml:space="preserve"> </w:t>
      </w:r>
    </w:p>
    <w:p w:rsidR="00025683" w:rsidRDefault="007C2AAB">
      <w:pPr>
        <w:numPr>
          <w:ilvl w:val="0"/>
          <w:numId w:val="8"/>
        </w:numPr>
        <w:spacing w:line="238" w:lineRule="auto"/>
        <w:ind w:right="49"/>
      </w:pPr>
      <w:r>
        <w:rPr>
          <w:i/>
        </w:rPr>
        <w:t>Promot</w:t>
      </w:r>
      <w:r>
        <w:rPr>
          <w:i/>
        </w:rPr>
        <w:t>or: La persona física o jurídica, pública o privada, que tenga atribuida la iniciativa para la elaboración del correspondiente instrumento de ordenación.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numPr>
          <w:ilvl w:val="0"/>
          <w:numId w:val="8"/>
        </w:numPr>
        <w:spacing w:line="238" w:lineRule="auto"/>
        <w:ind w:right="49"/>
      </w:pPr>
      <w:r>
        <w:rPr>
          <w:i/>
        </w:rPr>
        <w:t>Órgano sustantivo: El órgano competente para su aprobación. Cuando el órgano sustantivo promueva el</w:t>
      </w:r>
      <w:r>
        <w:rPr>
          <w:i/>
        </w:rPr>
        <w:t xml:space="preserve"> instrumento de ordenación, realizará las actuaciones atribuidas al promotor.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8"/>
        </w:numPr>
        <w:spacing w:line="238" w:lineRule="auto"/>
        <w:ind w:right="49"/>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6002" name="Group 38600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670" name="Rectangle 7670"/>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7671" name="Rectangle 7671"/>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672" name="Rectangle 7672"/>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6002" style="width:18.7031pt;height:260.874pt;position:absolute;mso-position-horizontal-relative:page;mso-position-horizontal:absolute;margin-left:662.928pt;mso-position-vertical-relative:page;margin-top:512.046pt;" coordsize="2375,33130">
                <v:rect id="Rectangle 7670"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767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67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350 </w:t>
                        </w:r>
                      </w:p>
                    </w:txbxContent>
                  </v:textbox>
                </v:rect>
                <w10:wrap type="square"/>
              </v:group>
            </w:pict>
          </mc:Fallback>
        </mc:AlternateContent>
      </w:r>
      <w:r>
        <w:rPr>
          <w:i/>
        </w:rPr>
        <w:t>Órgano ambiental: en el caso de los instrumentos autonómicos, lo será el órgano que designe el Gobierno de Canarias; en cuanto a los instrumentos insulares, lo se</w:t>
      </w:r>
      <w:r>
        <w:rPr>
          <w:i/>
        </w:rPr>
        <w:t>rá el órgano que designe el cabildo o, previa delegación, el órgano ambiental autonómico; y en el caso de los instrumentos municipales, lo será el que pueda designar el ayuntamiento, si cuenta con los recursos suficientes, pudiendo delegar esta competencia</w:t>
      </w:r>
      <w:r>
        <w:rPr>
          <w:i/>
        </w:rPr>
        <w:t xml:space="preserve"> en el órgano ambiental autonómico o el órgano ambiental insular de la isla a la que pertenezca, o bien constituir un órgano ambiental en mancomunidad con otros municipios.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10"/>
      </w:pPr>
      <w:r>
        <w:rPr>
          <w:i/>
        </w:rPr>
        <w:t>Asimismo, podrá encomendarse el ejercicio de los aspectos materiales o técnicos de la competencia de los órganos ambientales, en caso de estar constituidos, mediante convenio de encomienda de gestión en los términos de la legislación básica sobre régimen j</w:t>
      </w:r>
      <w:r>
        <w:rPr>
          <w:i/>
        </w:rPr>
        <w:t xml:space="preserve">urídico del sector público.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10"/>
      </w:pPr>
      <w:r>
        <w:rPr>
          <w:i/>
        </w:rPr>
        <w:t xml:space="preserve">El acuerdo de delegación o encomienda o de aceptación de las mismas o de aprobación del convenio de encomienda deberá adoptarse por el pleno de la entidad o por el Gobierno de Canarias, según proceda.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05"/>
      </w:pPr>
      <w:r>
        <w:rPr>
          <w:i/>
        </w:rPr>
        <w:t>No obstante, en los</w:t>
      </w:r>
      <w:r>
        <w:rPr>
          <w:i/>
        </w:rPr>
        <w:t xml:space="preserve"> municipios de menos de 100.000 habitantes de derecho, la evaluación ambiental de la ordenación urbanística estructural de los planes generales de ordenación, así como en los casos de modificación sustancial de los mismos, corresponderá al órgano ambiental</w:t>
      </w:r>
      <w:r>
        <w:rPr>
          <w:i/>
        </w:rPr>
        <w:t xml:space="preserve"> autonómico.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11"/>
      </w:pPr>
      <w:r>
        <w:rPr>
          <w:i/>
        </w:rPr>
        <w:t>A estos efectos, se entiende por ordenación urbanística estructural la delimitada por el artículo 136 de esta ley, y por modificación sustancial los supuestos previstos en el artículo 163 de esta ley. Asimismo, podrá encomendarse el ejerci</w:t>
      </w:r>
      <w:r>
        <w:rPr>
          <w:i/>
        </w:rPr>
        <w:t xml:space="preserve">cio de los aspectos materiales o técnicos de la competencia de los órganos ambientales, en caso de estar constituidos, mediante convenio.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05"/>
      </w:pPr>
      <w:r>
        <w:rPr>
          <w:i/>
        </w:rPr>
        <w:t>El acuerdo de delegación deberá adoptarse por el Pleno de la entidad local, y el acuerdo de aceptación de la deleg</w:t>
      </w:r>
      <w:r>
        <w:rPr>
          <w:i/>
        </w:rPr>
        <w:t>ación o de aprobación del convenio de encomienda, por el Pleno del respectivo cabildo insular o por el Gobierno de Canarias, según proceda. No obstante, en los municipios de menos de 100.000 habitantes de derecho, la evaluación ambiental de la ordenación u</w:t>
      </w:r>
      <w:r>
        <w:rPr>
          <w:i/>
        </w:rPr>
        <w:t xml:space="preserve">rbanística estructural de los planes generales de ordenación, así como en los casos de modificación sustancial de los mismos, corresponderá al órgano ambiental autonómico.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08"/>
      </w:pPr>
      <w:r>
        <w:rPr>
          <w:i/>
        </w:rPr>
        <w:t>A estos efectos, se entiende por ordenación urbanística estructural la delimitad</w:t>
      </w:r>
      <w:r>
        <w:rPr>
          <w:i/>
        </w:rPr>
        <w:t xml:space="preserve">a por el artículo 136 de esta ley, y por modificación sustancial los supuestos previstos en el artículo 163 de esta ley. </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0"/>
          <w:numId w:val="9"/>
        </w:numPr>
        <w:spacing w:line="238" w:lineRule="auto"/>
        <w:ind w:right="49"/>
      </w:pPr>
      <w:r>
        <w:rPr>
          <w:i/>
        </w:rPr>
        <w:t>De acuerdo con la normativa europea y estatal, el órgano ambiental debe contar con separación funcional y orgánica respecto del órg</w:t>
      </w:r>
      <w:r>
        <w:rPr>
          <w:i/>
        </w:rPr>
        <w:t xml:space="preserve">ano sustantivo. </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0"/>
          <w:numId w:val="9"/>
        </w:numPr>
        <w:spacing w:line="238" w:lineRule="auto"/>
        <w:ind w:right="49"/>
      </w:pPr>
      <w:r>
        <w:rPr>
          <w:i/>
        </w:rPr>
        <w:t>La declaración ambiental estratégica tiene carácter de informe preceptivo y determinante, por lo que su no emisión en plazo podrá interrumpir el plazo de los trámites sucesivos, de conformidad con lo previsto en la legislación de proced</w:t>
      </w:r>
      <w:r>
        <w:rPr>
          <w:i/>
        </w:rPr>
        <w:t xml:space="preserve">imiento administrativo común. La falta de emisión de la declaración ambiental estratégica en ningún caso podrá entenderse que equivale a una evaluación ambiental favorable.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9"/>
        </w:numPr>
        <w:spacing w:after="3" w:line="237" w:lineRule="auto"/>
        <w:ind w:right="49"/>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8499" name="Group 38849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790" name="Rectangle 7790"/>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7791" name="Rectangle 7791"/>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792" name="Rectangle 7792"/>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8499" style="width:18.7031pt;height:260.874pt;position:absolute;mso-position-horizontal-relative:page;mso-position-horizontal:absolute;margin-left:662.928pt;mso-position-vertical-relative:page;margin-top:512.046pt;" coordsize="2375,33130">
                <v:rect id="Rectangle 7790"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779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79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350 </w:t>
                        </w:r>
                      </w:p>
                    </w:txbxContent>
                  </v:textbox>
                </v:rect>
                <w10:wrap type="square"/>
              </v:group>
            </w:pict>
          </mc:Fallback>
        </mc:AlternateContent>
      </w:r>
      <w:r>
        <w:rPr>
          <w:i/>
        </w:rPr>
        <w:t>El Gobierno establecerá reglamentariamente las normas, los criterios y la metodología a utilizar por el órg</w:t>
      </w:r>
      <w:r>
        <w:rPr>
          <w:i/>
        </w:rPr>
        <w:t xml:space="preserve">ano ambiental en el ejercicio de su función, asegurando la unidad y coherencia de la evaluación ambiental, de acuerdo con criterios públicos y conocidos de antemano, lo más objetivos y reglados que permita el estado del conocimiento científico y técnico y </w:t>
      </w:r>
      <w:r>
        <w:rPr>
          <w:i/>
        </w:rPr>
        <w:t>de los métodos de evaluación existentes. 10. En lo no previsto en la presente ley se estará a lo dispuesto en la legislación estatal básica en materia de evaluación ambiental.</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t xml:space="preserve"> </w:t>
      </w:r>
    </w:p>
    <w:p w:rsidR="00025683" w:rsidRDefault="007C2AAB">
      <w:pPr>
        <w:ind w:left="14" w:right="200"/>
      </w:pPr>
      <w:r>
        <w:t xml:space="preserve">        Es de aplicación el artículo Artículo 114 del DECRETO 181/2018, de 26</w:t>
      </w:r>
      <w:r>
        <w:t xml:space="preserve"> de diciembre, por el que se aprueba el Reglamento de Planeamiento de Canarias en cuanto a la Solicitud de inicio: </w:t>
      </w:r>
    </w:p>
    <w:p w:rsidR="00025683" w:rsidRDefault="007C2AAB">
      <w:pPr>
        <w:spacing w:after="0" w:line="259" w:lineRule="auto"/>
        <w:ind w:left="36" w:firstLine="0"/>
        <w:jc w:val="left"/>
      </w:pPr>
      <w:r>
        <w:t xml:space="preserve"> </w:t>
      </w:r>
    </w:p>
    <w:p w:rsidR="00025683" w:rsidRDefault="007C2AAB">
      <w:pPr>
        <w:ind w:left="14" w:right="200"/>
      </w:pPr>
      <w:r>
        <w:t xml:space="preserve">        1. El procedimiento de evaluación ambiental simplificada comienza con la solicitud de inicio de la evaluación. El promotor present</w:t>
      </w:r>
      <w:r>
        <w:t>ará ante el órgano sustantivo, junto a la documentación exigida por la normativa sectorial, una solicitud de inicio de la Evaluación Ambiental Simplificada, el Documento Ambiental Estratégico, con el contenido exigido por la legislación básica, y el Borrad</w:t>
      </w:r>
      <w:r>
        <w:t xml:space="preserve">or del Plan. </w:t>
      </w:r>
    </w:p>
    <w:p w:rsidR="00025683" w:rsidRDefault="007C2AAB">
      <w:pPr>
        <w:spacing w:after="0" w:line="259" w:lineRule="auto"/>
        <w:ind w:left="36" w:firstLine="0"/>
        <w:jc w:val="left"/>
      </w:pPr>
      <w:r>
        <w:t xml:space="preserve"> </w:t>
      </w:r>
    </w:p>
    <w:p w:rsidR="00025683" w:rsidRDefault="007C2AAB">
      <w:pPr>
        <w:ind w:left="14" w:right="200"/>
      </w:pPr>
      <w:r>
        <w:t xml:space="preserve">        Ley 21/2013, de 9 de diciembre, de evaluación ambiental. </w:t>
      </w:r>
    </w:p>
    <w:p w:rsidR="00025683" w:rsidRDefault="007C2AAB">
      <w:pPr>
        <w:spacing w:after="0" w:line="259" w:lineRule="auto"/>
        <w:ind w:left="36" w:firstLine="0"/>
        <w:jc w:val="left"/>
      </w:pPr>
      <w:r>
        <w:rPr>
          <w:b/>
        </w:rPr>
        <w:t xml:space="preserve"> </w:t>
      </w:r>
    </w:p>
    <w:p w:rsidR="00025683" w:rsidRDefault="007C2AAB">
      <w:pPr>
        <w:spacing w:after="0" w:line="259" w:lineRule="auto"/>
        <w:ind w:left="36" w:firstLine="0"/>
        <w:jc w:val="left"/>
      </w:pPr>
      <w:r>
        <w:rPr>
          <w:b/>
        </w:rPr>
        <w:t xml:space="preserve"> </w:t>
      </w:r>
    </w:p>
    <w:p w:rsidR="00025683" w:rsidRDefault="007C2AAB">
      <w:pPr>
        <w:spacing w:after="12"/>
        <w:ind w:left="14" w:right="197"/>
      </w:pPr>
      <w:r>
        <w:rPr>
          <w:b/>
        </w:rPr>
        <w:t xml:space="preserve">        Segundo.- </w:t>
      </w:r>
      <w:r>
        <w:rPr>
          <w:b/>
        </w:rPr>
        <w:t>Es de aplicación el acuerdo del Pleno de 24 de febrero de 2022 debidamente notificado a la Consejería de Transición Ecológica del Gobierno de Canarias en el que expresamente se dispuso:</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spacing w:line="238" w:lineRule="auto"/>
        <w:ind w:left="21" w:right="207"/>
      </w:pPr>
      <w:r>
        <w:rPr>
          <w:i/>
        </w:rPr>
        <w:t xml:space="preserve">        Primero.- </w:t>
      </w:r>
      <w:r>
        <w:rPr>
          <w:i/>
        </w:rPr>
        <w:t xml:space="preserve">Delegar en el órgano ambiental de la Comunidad Autónoma la evaluación ambiental estratégica, ordinaria o simplificada, de los instrumentos de ordenación urbanística de competencia municipal así como sus modificaciones. </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spacing w:line="238" w:lineRule="auto"/>
        <w:ind w:left="21" w:right="49"/>
      </w:pPr>
      <w:r>
        <w:rPr>
          <w:i/>
        </w:rPr>
        <w:t xml:space="preserve">       Segundo.- Delegar en el ór</w:t>
      </w:r>
      <w:r>
        <w:rPr>
          <w:i/>
        </w:rPr>
        <w:t xml:space="preserve">gano ambiental de la Comunidad Autónoma la evaluación y declaración de impacto ambiental de proyectos que deba tramitar y autorizar el Ayuntamiento. </w:t>
      </w:r>
    </w:p>
    <w:p w:rsidR="00025683" w:rsidRDefault="007C2AAB">
      <w:pPr>
        <w:spacing w:after="0" w:line="259" w:lineRule="auto"/>
        <w:ind w:left="36" w:firstLine="0"/>
        <w:jc w:val="left"/>
      </w:pPr>
      <w:r>
        <w:rPr>
          <w:i/>
        </w:rPr>
        <w:t xml:space="preserve"> </w:t>
      </w:r>
    </w:p>
    <w:p w:rsidR="00025683" w:rsidRDefault="007C2AAB">
      <w:pPr>
        <w:spacing w:after="0" w:line="259" w:lineRule="auto"/>
        <w:ind w:left="36" w:firstLine="0"/>
        <w:jc w:val="left"/>
      </w:pPr>
      <w:r>
        <w:t xml:space="preserve"> </w:t>
      </w:r>
    </w:p>
    <w:p w:rsidR="00025683" w:rsidRDefault="007C2AAB">
      <w:pPr>
        <w:ind w:left="14" w:right="200"/>
      </w:pPr>
      <w:r>
        <w:t xml:space="preserve">Por todo ello se propone al Excmo. Ayuntamiento Pleno para que ACUERDE: </w:t>
      </w:r>
    </w:p>
    <w:p w:rsidR="00025683" w:rsidRDefault="007C2AAB">
      <w:pPr>
        <w:spacing w:after="0" w:line="259" w:lineRule="auto"/>
        <w:ind w:left="29" w:firstLine="0"/>
        <w:jc w:val="left"/>
      </w:pPr>
      <w:r>
        <w:t xml:space="preserve"> </w:t>
      </w:r>
    </w:p>
    <w:p w:rsidR="00025683" w:rsidRDefault="007C2AAB">
      <w:pPr>
        <w:spacing w:after="3" w:line="259" w:lineRule="auto"/>
        <w:ind w:left="274" w:right="394" w:hanging="10"/>
        <w:jc w:val="center"/>
      </w:pPr>
      <w:r>
        <w:rPr>
          <w:b/>
        </w:rPr>
        <w:t>PROPUESTA DE ACUERDO:</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rPr>
          <w:b/>
        </w:rPr>
        <w:t xml:space="preserve"> </w:t>
      </w:r>
    </w:p>
    <w:p w:rsidR="00025683" w:rsidRDefault="007C2AAB">
      <w:pPr>
        <w:ind w:left="14" w:right="200"/>
      </w:pPr>
      <w:r>
        <w:rPr>
          <w:b/>
        </w:rPr>
        <w:t xml:space="preserve">  </w:t>
      </w:r>
      <w:r>
        <w:rPr>
          <w:b/>
        </w:rPr>
        <w:t xml:space="preserve">      Primero.- </w:t>
      </w:r>
      <w:r>
        <w:t>Tomar conocimiento de la documentación para remitir al órgano ambiental, a los efectos del inicio de la EVALUACIÓN AMBIENTAL ESTRATÉGICA y que se elabore el respectivo informe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Se toma conocimiento de la documentación presentada</w:t>
      </w:r>
      <w:r>
        <w:rPr>
          <w:sz w:val="23"/>
        </w:rPr>
        <w:t xml:space="preserve"> con fecha 28 de noviembre de 2025 y registro de entrada </w:t>
      </w:r>
      <w:r>
        <w:rPr>
          <w:b/>
        </w:rPr>
        <w:t>2025-E-RE-10599</w:t>
      </w:r>
      <w:r>
        <w:rPr>
          <w:sz w:val="23"/>
        </w:rPr>
        <w:t xml:space="preserve">, relativa a la </w:t>
      </w:r>
      <w:r>
        <w:rPr>
          <w:b/>
          <w:sz w:val="23"/>
        </w:rPr>
        <w:t xml:space="preserve">Modificación Menor de iniciativa privada del Plan General de Ordenación de Candelaria “SUSO-CA17 Lomo del Caballo” </w:t>
      </w:r>
      <w:r>
        <w:rPr>
          <w:sz w:val="23"/>
        </w:rPr>
        <w:t>presentada por Amador Felipe Díaz Ramos en representa</w:t>
      </w:r>
      <w:r>
        <w:rPr>
          <w:sz w:val="23"/>
        </w:rPr>
        <w:t>ción de Amador Díaz Ramos S.L y redactada por el arquitecto Gilberto Díaz Díaz, colegiado 2621, para el inicio del Procedimiento de Evaluación Ambiental Estratégica Simplificada.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La documentación relativa a la Modificación Menor de Planeamiento, consta </w:t>
      </w:r>
      <w:r>
        <w:rPr>
          <w:sz w:val="23"/>
        </w:rPr>
        <w:t xml:space="preserve">de los siguientes documentos: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8058" name="Group 3880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41" name="Rectangle 7941"/>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7942" name="Rectangle 7942"/>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7943" name="Rectangle 7943"/>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8058" style="width:18.7031pt;height:260.874pt;position:absolute;mso-position-horizontal-relative:page;mso-position-horizontal:absolute;margin-left:662.928pt;mso-position-vertical-relative:page;margin-top:512.046pt;" coordsize="2375,33130">
                <v:rect id="Rectangle 7941"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794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794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350 </w:t>
                        </w:r>
                      </w:p>
                    </w:txbxContent>
                  </v:textbox>
                </v:rect>
                <w10:wrap type="square"/>
              </v:group>
            </w:pict>
          </mc:Fallback>
        </mc:AlternateContent>
      </w:r>
      <w:r>
        <w:rPr>
          <w:sz w:val="23"/>
        </w:rPr>
        <w:t xml:space="preserve">    </w:t>
      </w:r>
      <w:r>
        <w:rPr>
          <w:sz w:val="23"/>
        </w:rPr>
        <w:t xml:space="preserve">O Modificación Menor del Plan General de Ordenación de Candelaria, SUSO-CA17 Lomo del Caballo, redactado por D. Gilberto Díaz Díaz arquitecto colegiado 2621 y firmada de fecha 28 de noviembre de 2025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line="247" w:lineRule="auto"/>
        <w:ind w:left="9" w:right="5752" w:hanging="10"/>
      </w:pPr>
      <w:r>
        <w:rPr>
          <w:rFonts w:ascii="Times New Roman" w:eastAsia="Times New Roman" w:hAnsi="Times New Roman" w:cs="Times New Roman"/>
        </w:rPr>
        <w:t xml:space="preserve">         7.Memoria. Alternativas          8.Normativ</w:t>
      </w:r>
      <w:r>
        <w:rPr>
          <w:rFonts w:ascii="Times New Roman" w:eastAsia="Times New Roman" w:hAnsi="Times New Roman" w:cs="Times New Roman"/>
        </w:rPr>
        <w:t xml:space="preserve">a ambiental. </w:t>
      </w:r>
    </w:p>
    <w:p w:rsidR="00025683" w:rsidRDefault="007C2AAB">
      <w:pPr>
        <w:spacing w:after="12" w:line="247" w:lineRule="auto"/>
        <w:ind w:left="9" w:right="199" w:hanging="10"/>
      </w:pPr>
      <w:r>
        <w:rPr>
          <w:rFonts w:ascii="Times New Roman" w:eastAsia="Times New Roman" w:hAnsi="Times New Roman" w:cs="Times New Roman"/>
        </w:rPr>
        <w:t xml:space="preserve">         9.Memoria de sostenibilidad económica. </w:t>
      </w:r>
    </w:p>
    <w:p w:rsidR="00025683" w:rsidRDefault="007C2AAB">
      <w:pPr>
        <w:spacing w:after="12" w:line="247" w:lineRule="auto"/>
        <w:ind w:left="9" w:right="199" w:hanging="10"/>
      </w:pPr>
      <w:r>
        <w:rPr>
          <w:rFonts w:ascii="Times New Roman" w:eastAsia="Times New Roman" w:hAnsi="Times New Roman" w:cs="Times New Roman"/>
        </w:rPr>
        <w:t xml:space="preserve">       10.Informe de impacto de género. </w:t>
      </w:r>
    </w:p>
    <w:p w:rsidR="00025683" w:rsidRDefault="007C2AAB">
      <w:pPr>
        <w:spacing w:after="12" w:line="247" w:lineRule="auto"/>
        <w:ind w:left="9" w:right="199" w:hanging="10"/>
      </w:pPr>
      <w:r>
        <w:rPr>
          <w:rFonts w:ascii="Times New Roman" w:eastAsia="Times New Roman" w:hAnsi="Times New Roman" w:cs="Times New Roman"/>
        </w:rPr>
        <w:t xml:space="preserve">       11.Planos </w:t>
      </w:r>
    </w:p>
    <w:p w:rsidR="00025683" w:rsidRDefault="007C2AAB">
      <w:pPr>
        <w:spacing w:after="12" w:line="247" w:lineRule="auto"/>
        <w:ind w:left="9" w:right="199" w:hanging="10"/>
      </w:pPr>
      <w:r>
        <w:rPr>
          <w:rFonts w:ascii="Times New Roman" w:eastAsia="Times New Roman" w:hAnsi="Times New Roman" w:cs="Times New Roman"/>
        </w:rPr>
        <w:t xml:space="preserve">       12.Ficha del sector que integra el ámbito de la modificación menor. </w:t>
      </w:r>
    </w:p>
    <w:p w:rsidR="00025683" w:rsidRDefault="007C2AAB">
      <w:pPr>
        <w:spacing w:after="12" w:line="247" w:lineRule="auto"/>
        <w:ind w:left="9" w:right="199" w:hanging="10"/>
      </w:pPr>
      <w:r>
        <w:rPr>
          <w:rFonts w:ascii="Times New Roman" w:eastAsia="Times New Roman" w:hAnsi="Times New Roman" w:cs="Times New Roman"/>
          <w:b/>
        </w:rPr>
        <w:t xml:space="preserve">        Segundo.- </w:t>
      </w:r>
      <w:r>
        <w:rPr>
          <w:rFonts w:ascii="Times New Roman" w:eastAsia="Times New Roman" w:hAnsi="Times New Roman" w:cs="Times New Roman"/>
        </w:rPr>
        <w:t xml:space="preserve">Continuar el  </w:t>
      </w:r>
      <w:r>
        <w:rPr>
          <w:rFonts w:ascii="Times New Roman" w:eastAsia="Times New Roman" w:hAnsi="Times New Roman" w:cs="Times New Roman"/>
          <w:sz w:val="24"/>
        </w:rPr>
        <w:t>Procedimiento de Evaluación Ambiental Estratégica Simplificada</w:t>
      </w:r>
      <w:r>
        <w:rPr>
          <w:rFonts w:ascii="Times New Roman" w:eastAsia="Times New Roman" w:hAnsi="Times New Roman" w:cs="Times New Roman"/>
        </w:rPr>
        <w:t xml:space="preserve">, según lo dispuesto en los artículos los artículos 114 y siguientes del Reglamento de Planeamiento de Canarias </w:t>
      </w:r>
    </w:p>
    <w:p w:rsidR="00025683" w:rsidRDefault="007C2AAB">
      <w:pPr>
        <w:spacing w:after="12" w:line="247" w:lineRule="auto"/>
        <w:ind w:left="9" w:right="199" w:hanging="10"/>
      </w:pPr>
      <w:r>
        <w:rPr>
          <w:rFonts w:ascii="Times New Roman" w:eastAsia="Times New Roman" w:hAnsi="Times New Roman" w:cs="Times New Roman"/>
        </w:rPr>
        <w:t>.</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Times New Roman" w:eastAsia="Times New Roman" w:hAnsi="Times New Roman" w:cs="Times New Roman"/>
          <w:b/>
        </w:rPr>
        <w:t xml:space="preserve"> </w:t>
      </w:r>
    </w:p>
    <w:p w:rsidR="00025683" w:rsidRDefault="007C2AAB">
      <w:pPr>
        <w:spacing w:after="12" w:line="247" w:lineRule="auto"/>
        <w:ind w:left="9" w:right="199" w:hanging="10"/>
      </w:pPr>
      <w:r>
        <w:rPr>
          <w:rFonts w:ascii="Times New Roman" w:eastAsia="Times New Roman" w:hAnsi="Times New Roman" w:cs="Times New Roman"/>
          <w:b/>
        </w:rPr>
        <w:t xml:space="preserve">        Tercero.- </w:t>
      </w:r>
      <w:r>
        <w:rPr>
          <w:rFonts w:ascii="Times New Roman" w:eastAsia="Times New Roman" w:hAnsi="Times New Roman" w:cs="Times New Roman"/>
        </w:rPr>
        <w:t>Remitir la documentación técnica debidamente autenticada electrónicamente y el certificado del acuerdo adoptado a la Consejería de Transición Ecológica, Lucha contra el Cambio Climático y Planificación Territorial del Gobierno de Canarias.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1" w:line="249" w:lineRule="auto"/>
        <w:ind w:left="17" w:right="197" w:hanging="10"/>
      </w:pPr>
      <w:r>
        <w:rPr>
          <w:b/>
          <w:sz w:val="24"/>
        </w:rPr>
        <w:t xml:space="preserve">Consta en el expediente propuesta de la alcaldesa-Presidenta al Pleno de </w:t>
      </w:r>
      <w:r>
        <w:rPr>
          <w:rFonts w:ascii="Times New Roman" w:eastAsia="Times New Roman" w:hAnsi="Times New Roman" w:cs="Times New Roman"/>
          <w:sz w:val="24"/>
        </w:rPr>
        <w:t xml:space="preserve"> </w:t>
      </w:r>
      <w:r>
        <w:rPr>
          <w:b/>
          <w:sz w:val="24"/>
        </w:rPr>
        <w:t>Toma de conocimiento de la documentación relativa a la Modificación Menor de iniciativa privada del Plan General de Candelaria. Ámbito “SUSO-CA17 Lomo del Caballo”, de fecha 17 de</w:t>
      </w:r>
      <w:r>
        <w:rPr>
          <w:b/>
          <w:sz w:val="24"/>
        </w:rPr>
        <w:t xml:space="preserve"> diciembre de 2025, que transcrito literalmente dice: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pStyle w:val="Ttulo4"/>
        <w:ind w:left="274" w:right="458"/>
      </w:pPr>
      <w:r>
        <w:rPr>
          <w:b w:val="0"/>
          <w:sz w:val="24"/>
        </w:rPr>
        <w:t xml:space="preserve"> “</w:t>
      </w:r>
      <w:r>
        <w:t>PROPUESTA</w:t>
      </w:r>
      <w:r>
        <w:rPr>
          <w:rFonts w:ascii="Times New Roman" w:eastAsia="Times New Roman" w:hAnsi="Times New Roman" w:cs="Times New Roman"/>
          <w:b w:val="0"/>
          <w:sz w:val="24"/>
        </w:rPr>
        <w:t xml:space="preserve"> </w:t>
      </w:r>
    </w:p>
    <w:p w:rsidR="00025683" w:rsidRDefault="007C2AAB">
      <w:pPr>
        <w:spacing w:after="0" w:line="259" w:lineRule="auto"/>
        <w:ind w:left="0" w:right="133" w:firstLine="0"/>
        <w:jc w:val="center"/>
      </w:pPr>
      <w:r>
        <w:t xml:space="preserve"> </w:t>
      </w:r>
    </w:p>
    <w:p w:rsidR="00025683" w:rsidRDefault="007C2AAB">
      <w:pPr>
        <w:ind w:left="14" w:right="200"/>
      </w:pPr>
      <w:r>
        <w:t xml:space="preserve">Visto el expediente </w:t>
      </w:r>
      <w:r>
        <w:rPr>
          <w:b/>
        </w:rPr>
        <w:t xml:space="preserve">9062/2025 </w:t>
      </w:r>
      <w:r>
        <w:t xml:space="preserve">relativo a la Modificación Menor de </w:t>
      </w:r>
      <w:r>
        <w:rPr>
          <w:b/>
        </w:rPr>
        <w:t xml:space="preserve">iniciativa privada del Plan General de Candelaria. Ámbito “SUSO-CA17 Lomo del Caballo” </w:t>
      </w:r>
      <w:r>
        <w:t>y visto el informe jurídico emi</w:t>
      </w:r>
      <w:r>
        <w:t>tido,que a continuación se transcribe, se eleva la siguiente propuesta al Pleno.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pStyle w:val="Ttulo4"/>
        <w:ind w:left="274" w:right="463"/>
      </w:pPr>
      <w:r>
        <w:rPr>
          <w:b w:val="0"/>
        </w:rPr>
        <w:t xml:space="preserve">“… </w:t>
      </w:r>
      <w:r>
        <w:t xml:space="preserve">INFORME JURÍDICO </w:t>
      </w:r>
      <w:r>
        <w:rPr>
          <w:rFonts w:ascii="Times New Roman" w:eastAsia="Times New Roman" w:hAnsi="Times New Roman" w:cs="Times New Roman"/>
          <w:b w:val="0"/>
          <w:sz w:val="24"/>
        </w:rPr>
        <w:t xml:space="preserve"> </w:t>
      </w:r>
    </w:p>
    <w:p w:rsidR="00025683" w:rsidRDefault="007C2AAB">
      <w:pPr>
        <w:spacing w:after="0" w:line="259" w:lineRule="auto"/>
        <w:ind w:left="0" w:right="133" w:firstLine="0"/>
        <w:jc w:val="center"/>
      </w:pPr>
      <w:r>
        <w:t xml:space="preserve"> </w:t>
      </w:r>
    </w:p>
    <w:p w:rsidR="00025683" w:rsidRDefault="007C2AAB">
      <w:pPr>
        <w:ind w:left="14" w:right="200"/>
      </w:pPr>
      <w:r>
        <w:t xml:space="preserve">La Técnico de Administración General Olga Fernández Méndez- Bencomo, en el expediente anteriormente indicado emite el siguiente informe: </w:t>
      </w:r>
    </w:p>
    <w:p w:rsidR="00025683" w:rsidRDefault="007C2AAB">
      <w:pPr>
        <w:spacing w:after="0" w:line="259" w:lineRule="auto"/>
        <w:ind w:left="14" w:firstLine="0"/>
        <w:jc w:val="left"/>
      </w:pPr>
      <w:r>
        <w:t xml:space="preserve"> </w:t>
      </w:r>
    </w:p>
    <w:p w:rsidR="00025683" w:rsidRDefault="007C2AAB">
      <w:pPr>
        <w:pStyle w:val="Ttulo4"/>
        <w:ind w:left="274" w:right="463"/>
      </w:pPr>
      <w:r>
        <w:t xml:space="preserve">ANTECEDENTES </w:t>
      </w:r>
    </w:p>
    <w:p w:rsidR="00025683" w:rsidRDefault="007C2AAB">
      <w:pPr>
        <w:spacing w:after="0" w:line="259" w:lineRule="auto"/>
        <w:ind w:left="0" w:right="133" w:firstLine="0"/>
        <w:jc w:val="center"/>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7777" name="Group 3877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078" name="Rectangle 807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8079" name="Rectangle 807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080" name="Rectangle 808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7777" style="width:18.7031pt;height:260.874pt;position:absolute;mso-position-horizontal-relative:page;mso-position-horizontal:absolute;margin-left:662.928pt;mso-position-vertical-relative:page;margin-top:512.046pt;" coordsize="2375,33130">
                <v:rect id="Rectangle 807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807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08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350 </w:t>
                        </w:r>
                      </w:p>
                    </w:txbxContent>
                  </v:textbox>
                </v:rect>
                <w10:wrap type="square"/>
              </v:group>
            </w:pict>
          </mc:Fallback>
        </mc:AlternateContent>
      </w:r>
      <w:r>
        <w:t>Visto el Expediente 9062/2025 que se trami</w:t>
      </w:r>
      <w:r>
        <w:t>ta para la Modificación menor de iniciativa privada del Plan General de Candelaria. Ámbito “SUSO-CA17 Lomo del Caballo” iniciado a instancia de D. Amador Felipe Díaz Ramos en representación de Amador Díaz Ramos S.L, con registro de entrada: 2025-E-RE-10599</w:t>
      </w:r>
      <w:r>
        <w:t xml:space="preserve"> de 28 de noviembre de 2025. </w:t>
      </w:r>
    </w:p>
    <w:p w:rsidR="00025683" w:rsidRDefault="007C2AAB">
      <w:pPr>
        <w:spacing w:after="0" w:line="259" w:lineRule="auto"/>
        <w:ind w:left="14" w:firstLine="0"/>
        <w:jc w:val="left"/>
      </w:pPr>
      <w:r>
        <w:t xml:space="preserve"> </w:t>
      </w:r>
    </w:p>
    <w:p w:rsidR="00025683" w:rsidRDefault="007C2AAB">
      <w:pPr>
        <w:ind w:left="14" w:right="200"/>
      </w:pPr>
      <w:r>
        <w:t xml:space="preserve">Consta en el expediente informe técnico emitido por la Arquitecta Municipal de fecha 16/12/2025 que transcrito literalmente dice: </w:t>
      </w:r>
    </w:p>
    <w:p w:rsidR="00025683" w:rsidRDefault="007C2AAB">
      <w:pPr>
        <w:spacing w:after="0" w:line="259" w:lineRule="auto"/>
        <w:ind w:left="14" w:firstLine="0"/>
        <w:jc w:val="left"/>
      </w:pPr>
      <w:r>
        <w:t xml:space="preserve"> </w:t>
      </w:r>
    </w:p>
    <w:p w:rsidR="00025683" w:rsidRDefault="007C2AAB">
      <w:pPr>
        <w:ind w:left="14" w:right="200"/>
      </w:pPr>
      <w:r>
        <w:t>“…Visto el expediente antedicho, Nayra Guzmán Hernández, arquitecta municipal, emite el sig</w:t>
      </w:r>
      <w:r>
        <w:t xml:space="preserve">uiente informe: </w:t>
      </w:r>
    </w:p>
    <w:p w:rsidR="00025683" w:rsidRDefault="007C2AAB">
      <w:pPr>
        <w:spacing w:after="0" w:line="259" w:lineRule="auto"/>
        <w:ind w:left="14" w:firstLine="0"/>
        <w:jc w:val="left"/>
      </w:pPr>
      <w:r>
        <w:t xml:space="preserve"> </w:t>
      </w:r>
    </w:p>
    <w:p w:rsidR="00025683" w:rsidRDefault="007C2AAB">
      <w:pPr>
        <w:spacing w:after="12"/>
        <w:ind w:left="14" w:right="197"/>
      </w:pPr>
      <w:r>
        <w:rPr>
          <w:b/>
        </w:rPr>
        <w:t xml:space="preserve">ANTECEDENTES </w:t>
      </w:r>
    </w:p>
    <w:p w:rsidR="00025683" w:rsidRDefault="007C2AAB">
      <w:pPr>
        <w:spacing w:after="0" w:line="259" w:lineRule="auto"/>
        <w:ind w:left="14" w:firstLine="0"/>
        <w:jc w:val="left"/>
      </w:pPr>
      <w:r>
        <w:rPr>
          <w:b/>
        </w:rPr>
        <w:t xml:space="preserve"> </w:t>
      </w:r>
    </w:p>
    <w:p w:rsidR="00025683" w:rsidRDefault="007C2AAB">
      <w:pPr>
        <w:ind w:left="14" w:right="200"/>
      </w:pPr>
      <w:r>
        <w:t>El objeto de la presente Modificación Menor del PGO de Candelaria, es la reordenación pormenorizada del ámbito urbanístico del Sector denominado SUSOI-</w:t>
      </w:r>
      <w:r>
        <w:t xml:space="preserve">CA17 “Lomo del Caballo”, de manera que la trama urbana propuesta por la presente Modificación Menor se ajuste a la realidad física del entorno, adaptándose a la ubicación real del puente, y el nuevo enlace vinculado a esta conexión. </w:t>
      </w:r>
    </w:p>
    <w:p w:rsidR="00025683" w:rsidRDefault="007C2AAB">
      <w:pPr>
        <w:spacing w:after="0" w:line="259" w:lineRule="auto"/>
        <w:ind w:left="14" w:firstLine="0"/>
        <w:jc w:val="left"/>
      </w:pPr>
      <w:r>
        <w:t xml:space="preserve"> </w:t>
      </w:r>
    </w:p>
    <w:p w:rsidR="00025683" w:rsidRDefault="007C2AAB">
      <w:pPr>
        <w:ind w:left="14" w:right="200"/>
      </w:pPr>
      <w:r>
        <w:t xml:space="preserve">Además, manteniendo </w:t>
      </w:r>
      <w:r>
        <w:t>la continuidad viaria con el entorno urbano colindante. Igualmente es objeto de esta modificación menor que la estructura parcelaria que resulte, mantenga la dualidad de las ideas rectoras de la ordenación que ahora se modifica, esto es, una estructura par</w:t>
      </w:r>
      <w:r>
        <w:t>celaria capaz de albergar aquellas pequeñas industrias, talleres, etc. ubicadas en la trama urbana, así como posibilitar la implantación de actividades que requieran un parcelario de cierta entidad.</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983" w:firstLine="0"/>
        <w:jc w:val="right"/>
      </w:pPr>
      <w:r>
        <w:rPr>
          <w:noProof/>
        </w:rPr>
        <w:drawing>
          <wp:inline distT="0" distB="0" distL="0" distR="0">
            <wp:extent cx="5401104" cy="2724916"/>
            <wp:effectExtent l="0" t="0" r="0" b="0"/>
            <wp:docPr id="8184" name="Picture 8184"/>
            <wp:cNvGraphicFramePr/>
            <a:graphic xmlns:a="http://schemas.openxmlformats.org/drawingml/2006/main">
              <a:graphicData uri="http://schemas.openxmlformats.org/drawingml/2006/picture">
                <pic:pic xmlns:pic="http://schemas.openxmlformats.org/drawingml/2006/picture">
                  <pic:nvPicPr>
                    <pic:cNvPr id="8184" name="Picture 8184"/>
                    <pic:cNvPicPr/>
                  </pic:nvPicPr>
                  <pic:blipFill>
                    <a:blip r:embed="rId56"/>
                    <a:stretch>
                      <a:fillRect/>
                    </a:stretch>
                  </pic:blipFill>
                  <pic:spPr>
                    <a:xfrm>
                      <a:off x="0" y="0"/>
                      <a:ext cx="5401104" cy="272491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INFORME  </w:t>
      </w:r>
    </w:p>
    <w:p w:rsidR="00025683" w:rsidRDefault="007C2AAB">
      <w:pPr>
        <w:spacing w:after="0" w:line="259" w:lineRule="auto"/>
        <w:ind w:left="14" w:firstLine="0"/>
        <w:jc w:val="left"/>
      </w:pPr>
      <w:r>
        <w:t xml:space="preserve"> </w:t>
      </w:r>
    </w:p>
    <w:p w:rsidR="00025683" w:rsidRDefault="007C2AAB">
      <w:pPr>
        <w:ind w:left="14" w:right="200"/>
      </w:pPr>
      <w:r>
        <w:t>Se toma conocimiento de la docu</w:t>
      </w:r>
      <w:r>
        <w:t xml:space="preserve">mentación presentada con fecha 28 de noviembre de 2025 y registro de entrada </w:t>
      </w:r>
      <w:r>
        <w:rPr>
          <w:b/>
        </w:rPr>
        <w:t>2025-E-RE-10599</w:t>
      </w:r>
      <w:r>
        <w:t xml:space="preserve">, relativa a la </w:t>
      </w:r>
      <w:r>
        <w:rPr>
          <w:b/>
        </w:rPr>
        <w:t xml:space="preserve">Modificación Menor de iniciativa privada del Plan General de Ordenación de Candelaria “SUSO-CA17 Lomo del Caballo” </w:t>
      </w:r>
      <w:r>
        <w:t>presentada por Amador Felipe Díaz Ramos en representación de Amador Díaz Ramos S.L y redactada por el arquitecto Gilberto Díaz Díaz, colegiado 2621, para el inicio del Procedimiento de Evaluación Ambiental Estratégica Simplificada.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La documentación rela</w:t>
      </w:r>
      <w:r>
        <w:t xml:space="preserve">tiva a la Modificación Menor de Planeamiento, consta de los siguientes documentos: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9272" name="Group 38927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87" name="Rectangle 8187"/>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8188" name="Rectangle 8188"/>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189" name="Rectangle 8189"/>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9272" style="width:18.7031pt;height:260.874pt;position:absolute;mso-position-horizontal-relative:page;mso-position-horizontal:absolute;margin-left:662.928pt;mso-position-vertical-relative:page;margin-top:512.046pt;" coordsize="2375,33130">
                <v:rect id="Rectangle 8187"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818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18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350 </w:t>
                        </w:r>
                      </w:p>
                    </w:txbxContent>
                  </v:textbox>
                </v:rect>
                <w10:wrap type="square"/>
              </v:group>
            </w:pict>
          </mc:Fallback>
        </mc:AlternateContent>
      </w:r>
      <w:r>
        <w:t xml:space="preserve">     0  Modificación Menor del Plan General de Ordenación de Candelaria, SUSO-CA17 Lomo del Caballo, redactado por D. Gilberto Díaz Díaz arquitecto colegiado 2621</w:t>
      </w:r>
      <w:r>
        <w:t xml:space="preserve"> y firmada de fecha 28 de noviembre de 2025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      1.Memoria. Alternativas.  </w:t>
      </w:r>
    </w:p>
    <w:p w:rsidR="00025683" w:rsidRDefault="007C2AAB">
      <w:pPr>
        <w:spacing w:after="0" w:line="259" w:lineRule="auto"/>
        <w:ind w:left="14" w:firstLine="0"/>
        <w:jc w:val="left"/>
      </w:pPr>
      <w:r>
        <w:t xml:space="preserve"> </w:t>
      </w:r>
    </w:p>
    <w:p w:rsidR="00025683" w:rsidRDefault="007C2AAB">
      <w:pPr>
        <w:ind w:left="14" w:right="200"/>
      </w:pPr>
      <w:r>
        <w:t xml:space="preserve">      2.Normativa ambiental. </w:t>
      </w:r>
    </w:p>
    <w:p w:rsidR="00025683" w:rsidRDefault="007C2AAB">
      <w:pPr>
        <w:spacing w:after="0" w:line="259" w:lineRule="auto"/>
        <w:ind w:left="14" w:firstLine="0"/>
        <w:jc w:val="left"/>
      </w:pPr>
      <w:r>
        <w:t xml:space="preserve"> </w:t>
      </w:r>
    </w:p>
    <w:p w:rsidR="00025683" w:rsidRDefault="007C2AAB">
      <w:pPr>
        <w:ind w:left="14" w:right="200"/>
      </w:pPr>
      <w:r>
        <w:t xml:space="preserve">      3.Memoria de sostenibilidad económica. </w:t>
      </w:r>
    </w:p>
    <w:p w:rsidR="00025683" w:rsidRDefault="007C2AAB">
      <w:pPr>
        <w:spacing w:after="0" w:line="259" w:lineRule="auto"/>
        <w:ind w:left="14" w:firstLine="0"/>
        <w:jc w:val="left"/>
      </w:pPr>
      <w:r>
        <w:t xml:space="preserve"> </w:t>
      </w:r>
    </w:p>
    <w:p w:rsidR="00025683" w:rsidRDefault="007C2AAB">
      <w:pPr>
        <w:ind w:left="14" w:right="200"/>
      </w:pPr>
      <w:r>
        <w:t xml:space="preserve">      4.Informe de impacto de género. </w:t>
      </w:r>
    </w:p>
    <w:p w:rsidR="00025683" w:rsidRDefault="007C2AAB">
      <w:pPr>
        <w:spacing w:after="0" w:line="259" w:lineRule="auto"/>
        <w:ind w:left="14" w:firstLine="0"/>
        <w:jc w:val="left"/>
      </w:pPr>
      <w:r>
        <w:t xml:space="preserve"> </w:t>
      </w:r>
    </w:p>
    <w:p w:rsidR="00025683" w:rsidRDefault="007C2AAB">
      <w:pPr>
        <w:ind w:left="14" w:right="200"/>
      </w:pPr>
      <w:r>
        <w:t xml:space="preserve">      5.Planos </w:t>
      </w:r>
    </w:p>
    <w:p w:rsidR="00025683" w:rsidRDefault="007C2AAB">
      <w:pPr>
        <w:spacing w:after="0" w:line="259" w:lineRule="auto"/>
        <w:ind w:left="14" w:firstLine="0"/>
        <w:jc w:val="left"/>
      </w:pPr>
      <w:r>
        <w:t xml:space="preserve"> </w:t>
      </w:r>
    </w:p>
    <w:p w:rsidR="00025683" w:rsidRDefault="007C2AAB">
      <w:pPr>
        <w:ind w:left="14" w:right="200"/>
      </w:pPr>
      <w:r>
        <w:t xml:space="preserve">      6.Ficha del sector que inte</w:t>
      </w:r>
      <w:r>
        <w:t xml:space="preserve">gra el ámbito de la modificación menor. </w:t>
      </w:r>
    </w:p>
    <w:p w:rsidR="00025683" w:rsidRDefault="007C2AAB">
      <w:pPr>
        <w:spacing w:after="0" w:line="259" w:lineRule="auto"/>
        <w:ind w:left="14" w:firstLine="0"/>
        <w:jc w:val="left"/>
      </w:pPr>
      <w:r>
        <w:rPr>
          <w:b/>
        </w:rPr>
        <w:t xml:space="preserve"> </w:t>
      </w:r>
    </w:p>
    <w:p w:rsidR="00025683" w:rsidRDefault="007C2AAB">
      <w:pPr>
        <w:pStyle w:val="Ttulo4"/>
        <w:ind w:left="274" w:right="418"/>
      </w:pPr>
      <w:r>
        <w:t xml:space="preserve">FUNDAMENTOS DE DERECHO </w:t>
      </w:r>
    </w:p>
    <w:p w:rsidR="00025683" w:rsidRDefault="007C2AAB">
      <w:pPr>
        <w:spacing w:after="0" w:line="259" w:lineRule="auto"/>
        <w:ind w:left="0" w:right="90" w:firstLine="0"/>
        <w:jc w:val="center"/>
      </w:pPr>
      <w:r>
        <w:t xml:space="preserve"> </w:t>
      </w:r>
    </w:p>
    <w:p w:rsidR="00025683" w:rsidRDefault="007C2AAB">
      <w:pPr>
        <w:spacing w:after="12"/>
        <w:ind w:left="14" w:right="197"/>
      </w:pPr>
      <w:r>
        <w:rPr>
          <w:b/>
        </w:rPr>
        <w:t xml:space="preserve">         Primero.- </w:t>
      </w:r>
      <w:r>
        <w:rPr>
          <w:b/>
        </w:rPr>
        <w:t>El procedimiento de evaluación ambiental estratégica de las modificaciones del plan general se regula en el artículo 86 de la Ley del Suelo y de los Espacios Naturales Protegidos de Canarias (LSENPC):</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line="238" w:lineRule="auto"/>
        <w:ind w:left="21" w:right="49"/>
      </w:pPr>
      <w:r>
        <w:rPr>
          <w:i/>
        </w:rPr>
        <w:t xml:space="preserve">         Artículo 86. Evaluación ambiental estraté</w:t>
      </w:r>
      <w:r>
        <w:rPr>
          <w:i/>
        </w:rPr>
        <w:t xml:space="preserve">gica.  </w:t>
      </w:r>
    </w:p>
    <w:p w:rsidR="00025683" w:rsidRDefault="007C2AAB">
      <w:pPr>
        <w:spacing w:after="0" w:line="259" w:lineRule="auto"/>
        <w:ind w:left="14" w:firstLine="0"/>
        <w:jc w:val="left"/>
      </w:pPr>
      <w:r>
        <w:t xml:space="preserve"> </w:t>
      </w:r>
    </w:p>
    <w:p w:rsidR="00025683" w:rsidRDefault="007C2AAB">
      <w:pPr>
        <w:numPr>
          <w:ilvl w:val="0"/>
          <w:numId w:val="10"/>
        </w:numPr>
        <w:spacing w:line="238" w:lineRule="auto"/>
        <w:ind w:right="128"/>
      </w:pPr>
      <w:r>
        <w:rPr>
          <w:i/>
        </w:rPr>
        <w:t>La aprobación, modificación sustancial y adaptación de los instrumentos de ordenación territorial, ambiental y urbanística se someterán al procedimiento de evaluación ambiental de planes y programas, en los términos contemplados en la legislación</w:t>
      </w:r>
      <w:r>
        <w:rPr>
          <w:i/>
        </w:rPr>
        <w:t xml:space="preserve"> básica estatal y en la presente ley. </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0"/>
          <w:numId w:val="10"/>
        </w:numPr>
        <w:spacing w:line="238" w:lineRule="auto"/>
        <w:ind w:right="128"/>
      </w:pPr>
      <w:r>
        <w:rPr>
          <w:i/>
        </w:rPr>
        <w:t xml:space="preserve">En el marco de la legislación básica del Estado, serán objeto de evaluación ambiental estratégica simplificada: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11"/>
        </w:numPr>
        <w:spacing w:line="238" w:lineRule="auto"/>
        <w:ind w:right="49"/>
      </w:pPr>
      <w:r>
        <w:rPr>
          <w:i/>
        </w:rPr>
        <w:t xml:space="preserve">Los instrumentos de ordenación que establezcan el uso, a nivel municipal, de </w:t>
      </w:r>
      <w:r>
        <w:rPr>
          <w:i/>
        </w:rPr>
        <w:t xml:space="preserve">zonas de reducida extensión.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11"/>
        </w:numPr>
        <w:spacing w:line="238" w:lineRule="auto"/>
        <w:ind w:right="49"/>
      </w:pPr>
      <w:r>
        <w:rPr>
          <w:i/>
        </w:rPr>
        <w:t xml:space="preserve">Las modificaciones menores de los instrumentos de ordenación.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11"/>
        </w:numPr>
        <w:spacing w:line="238" w:lineRule="auto"/>
        <w:ind w:right="49"/>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9394" name="Group 3893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12" name="Rectangle 8312"/>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8313" name="Rectangle 8313"/>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314" name="Rectangle 8314"/>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40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9394" style="width:18.7031pt;height:260.874pt;position:absolute;mso-position-horizontal-relative:page;mso-position-horizontal:absolute;margin-left:662.928pt;mso-position-vertical-relative:page;margin-top:512.046pt;" coordsize="2375,33130">
                <v:rect id="Rectangle 8312"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831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31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350 </w:t>
                        </w:r>
                      </w:p>
                    </w:txbxContent>
                  </v:textbox>
                </v:rect>
                <w10:wrap type="square"/>
              </v:group>
            </w:pict>
          </mc:Fallback>
        </mc:AlternateContent>
      </w:r>
      <w:r>
        <w:rPr>
          <w:i/>
        </w:rPr>
        <w:t xml:space="preserve">Los proyectos de interés insular o autonómico que contengan ordenación.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11"/>
        </w:numPr>
        <w:spacing w:line="238" w:lineRule="auto"/>
        <w:ind w:right="49"/>
      </w:pPr>
      <w:r>
        <w:rPr>
          <w:i/>
        </w:rPr>
        <w:t xml:space="preserve">La ordenación pormenorizada de un plan general.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11"/>
        </w:numPr>
        <w:spacing w:line="238" w:lineRule="auto"/>
        <w:ind w:right="49"/>
      </w:pPr>
      <w:r>
        <w:rPr>
          <w:i/>
        </w:rPr>
        <w:t xml:space="preserve">Los planes parciales y especiales </w:t>
      </w:r>
      <w:r>
        <w:rPr>
          <w:i/>
        </w:rPr>
        <w:t xml:space="preserve">que desarrollen planes generales que hayan sido sometidos a evaluación ambiental estratégica.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08"/>
      </w:pPr>
      <w:r>
        <w:rPr>
          <w:i/>
        </w:rPr>
        <w:t>No obstante, cuando el plan parcial o el plan especial no se ajusten, en todo o en parte, a las determinaciones ambientales del plan general deberán someterse</w:t>
      </w:r>
      <w:r>
        <w:rPr>
          <w:i/>
        </w:rPr>
        <w:t xml:space="preserve"> a evaluación ambiental estratégica ordinaria en la parte que no cumplan con las mismas. </w:t>
      </w:r>
      <w:r>
        <w:rPr>
          <w:rFonts w:ascii="Times New Roman" w:eastAsia="Times New Roman" w:hAnsi="Times New Roman" w:cs="Times New Roman"/>
          <w:sz w:val="24"/>
        </w:rPr>
        <w:t xml:space="preserve"> </w:t>
      </w:r>
    </w:p>
    <w:p w:rsidR="00025683" w:rsidRDefault="007C2AAB">
      <w:pPr>
        <w:numPr>
          <w:ilvl w:val="1"/>
          <w:numId w:val="11"/>
        </w:numPr>
        <w:spacing w:line="238" w:lineRule="auto"/>
        <w:ind w:right="205"/>
      </w:pPr>
      <w:r>
        <w:rPr>
          <w:i/>
        </w:rPr>
        <w:t>En los casos en que los planes se estructurasen en distintos ámbitos jerárquicos de decisión de una misma administración pública canaria, cuando sea preciso llevar a</w:t>
      </w:r>
      <w:r>
        <w:rPr>
          <w:i/>
        </w:rPr>
        <w:t xml:space="preserve"> cabo la evaluación ambiental de cada uno de ellos, esta deberá realizarse teniendo en cuenta el contenido y el grado de especificación del plan, la fase del proceso de decisión en que se encuentre y la medida en que la evaluación de determinados aspectos </w:t>
      </w:r>
      <w:r>
        <w:rPr>
          <w:i/>
        </w:rPr>
        <w:t>pueda ser más adecuada en fases distintas de dicho proceso, con objeto de evitar la duplicidad de evaluaciones. A estos efectos, el correspondiente estudio ambiental estratégico del plan deberá elaborarse a partir de la evaluación ya realizada y de las dec</w:t>
      </w:r>
      <w:r>
        <w:rPr>
          <w:i/>
        </w:rPr>
        <w:t>isiones tomadas en la evaluación del instrumento superior, sin perjuicio además de la utilización de la información pertinente disponible, que, estando actualizada y siendo completa en lo relativo a los efectos medioambientales del nuevo plan o programa, s</w:t>
      </w:r>
      <w:r>
        <w:rPr>
          <w:i/>
        </w:rPr>
        <w:t xml:space="preserve">e hubiera aprobado en otras fases del proceso de decisión. </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1"/>
          <w:numId w:val="11"/>
        </w:numPr>
        <w:spacing w:line="238" w:lineRule="auto"/>
        <w:ind w:right="205"/>
      </w:pPr>
      <w:r>
        <w:rPr>
          <w:i/>
        </w:rPr>
        <w:t>Cuando exista una concurrencia de planes o programas promovidos por diferentes administraciones públicas canarias, estas deberán adoptar las medidas necesarias para evitar que se produzca una d</w:t>
      </w:r>
      <w:r>
        <w:rPr>
          <w:i/>
        </w:rPr>
        <w:t>uplicidad de evaluaciones. A estos efectos, no deberán someterse a un nuevo proceso de evaluación, como consecuencia de la elaboración y aprobación de un plan de ordenación urbanística o territorial, los aspectos relativos a infraestructuras de titularidad</w:t>
      </w:r>
      <w:r>
        <w:rPr>
          <w:i/>
        </w:rPr>
        <w:t xml:space="preserve"> autonómica cuya planificación sectorial haya sido sometida previamente a la correspondiente evaluación ambiental conforme a lo dispuesto en esta ley. En tales casos, la administración pública competente para la aprobación del plan de ordenación urbanístic</w:t>
      </w:r>
      <w:r>
        <w:rPr>
          <w:i/>
        </w:rPr>
        <w:t>a o territorial podrá exigir que se tengan en cuenta los aspectos no específicamente considerados en la primera evaluación ambiental.</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1"/>
          <w:numId w:val="11"/>
        </w:numPr>
        <w:spacing w:line="238" w:lineRule="auto"/>
        <w:ind w:right="205"/>
      </w:pPr>
      <w:r>
        <w:rPr>
          <w:i/>
        </w:rPr>
        <w:t>La evaluación ambiental estratégica posterior de cualquier plan o programa, aunque sea de rango superior, deberá acomodarse a la declaración ambiental estratégica o, en su caso, al informe ambiental estratégico recaído con anterioridad. En el supuesto de q</w:t>
      </w:r>
      <w:r>
        <w:rPr>
          <w:i/>
        </w:rPr>
        <w:t>ue el resultado de las evaluaciones fuera contradictorio, deberán justificarse las razones y motivaciones de la nueva evaluación así como la corrección de la anterior.</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1"/>
          <w:numId w:val="11"/>
        </w:numPr>
        <w:spacing w:line="238" w:lineRule="auto"/>
        <w:ind w:right="205"/>
      </w:pPr>
      <w:r>
        <w:rPr>
          <w:i/>
        </w:rPr>
        <w:t xml:space="preserve">A los efectos previstos en el presente artículo, tendrá la consideración de: </w:t>
      </w:r>
      <w:r>
        <w:rPr>
          <w:rFonts w:ascii="Times New Roman" w:eastAsia="Times New Roman" w:hAnsi="Times New Roman" w:cs="Times New Roman"/>
          <w:sz w:val="24"/>
        </w:rPr>
        <w:t xml:space="preserve"> </w:t>
      </w:r>
    </w:p>
    <w:p w:rsidR="00025683" w:rsidRDefault="007C2AAB">
      <w:pPr>
        <w:numPr>
          <w:ilvl w:val="0"/>
          <w:numId w:val="12"/>
        </w:numPr>
        <w:spacing w:line="238" w:lineRule="auto"/>
        <w:ind w:right="49"/>
      </w:pPr>
      <w:r>
        <w:rPr>
          <w:i/>
        </w:rPr>
        <w:t>Promot</w:t>
      </w:r>
      <w:r>
        <w:rPr>
          <w:i/>
        </w:rPr>
        <w:t>or: La persona física o jurídica, pública o privada, que tenga atribuida la iniciativa para la elaboración del correspondiente instrumento de ordenación.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numPr>
          <w:ilvl w:val="0"/>
          <w:numId w:val="12"/>
        </w:numPr>
        <w:spacing w:line="238" w:lineRule="auto"/>
        <w:ind w:right="49"/>
      </w:pPr>
      <w:r>
        <w:rPr>
          <w:i/>
        </w:rPr>
        <w:t>Órgano sustantivo: El órgano competente para su aprobación. Cuando el órgano sustantivo promueva el</w:t>
      </w:r>
      <w:r>
        <w:rPr>
          <w:i/>
        </w:rPr>
        <w:t xml:space="preserve"> instrumento de ordenación, realizará las actuaciones atribuidas al promotor.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12"/>
        </w:numPr>
        <w:spacing w:line="238" w:lineRule="auto"/>
        <w:ind w:right="49"/>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8683" name="Group 3886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424" name="Rectangle 8424"/>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8425" name="Rectangle 8425"/>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426" name="Rectangle 8426"/>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esPublico Gesti</w:t>
                              </w:r>
                              <w:r>
                                <w:rPr>
                                  <w:sz w:val="12"/>
                                </w:rPr>
                                <w:t xml:space="preserve">ona | Página 41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8683" style="width:18.7031pt;height:260.874pt;position:absolute;mso-position-horizontal-relative:page;mso-position-horizontal:absolute;margin-left:662.928pt;mso-position-vertical-relative:page;margin-top:512.046pt;" coordsize="2375,33130">
                <v:rect id="Rectangle 8424"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842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42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350 </w:t>
                        </w:r>
                      </w:p>
                    </w:txbxContent>
                  </v:textbox>
                </v:rect>
                <w10:wrap type="square"/>
              </v:group>
            </w:pict>
          </mc:Fallback>
        </mc:AlternateContent>
      </w:r>
      <w:r>
        <w:rPr>
          <w:i/>
        </w:rPr>
        <w:t>Órgano ambiental: en el caso de los instrumentos autonómicos, lo será el órgano que designe el Gobierno de Canarias; en cuanto a los instrumentos insulares, lo será el órgano que designe el cabildo o, previa delegación, el órgano ambiental autonómico; y en</w:t>
      </w:r>
      <w:r>
        <w:rPr>
          <w:i/>
        </w:rPr>
        <w:t xml:space="preserve"> el caso de los instrumentos municipales, lo será el que pueda designar el ayuntamiento, si cuenta con los recursos suficientes, pudiendo delegar esta competencia en el órgano ambiental autonómico o el órgano ambiental insular de la isla a la que pertenezc</w:t>
      </w:r>
      <w:r>
        <w:rPr>
          <w:i/>
        </w:rPr>
        <w:t xml:space="preserve">a, o bien constituir un órgano ambiental en mancomunidad con otros municipios.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08"/>
      </w:pPr>
      <w:r>
        <w:rPr>
          <w:i/>
        </w:rPr>
        <w:t>Asimismo, podrá encomendarse el ejercicio de los aspectos materiales o técnicos de la competencia de los órganos ambientales, en caso de estar constituidos, mediante convenio de encomienda de gestión en los términos de la legislación básica sobre régimen j</w:t>
      </w:r>
      <w:r>
        <w:rPr>
          <w:i/>
        </w:rPr>
        <w:t xml:space="preserve">urídico del sector público.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08"/>
      </w:pPr>
      <w:r>
        <w:rPr>
          <w:i/>
        </w:rPr>
        <w:t xml:space="preserve">El acuerdo de delegación o encomienda o de aceptación de las mismas o de aprobación del convenio de encomienda deberá adoptarse por el pleno de la entidad o por el Gobierno de Canarias, según proceda.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07"/>
      </w:pPr>
      <w:r>
        <w:rPr>
          <w:i/>
        </w:rPr>
        <w:t>No obstante, en los</w:t>
      </w:r>
      <w:r>
        <w:rPr>
          <w:i/>
        </w:rPr>
        <w:t xml:space="preserve"> municipios de menos de 100.000 habitantes de derecho, la evaluación ambiental de la ordenación urbanística estructural de los planes generales de ordenación, así como en los casos de modificación sustancial de los mismos, corresponderá al órgano ambiental</w:t>
      </w:r>
      <w:r>
        <w:rPr>
          <w:i/>
        </w:rPr>
        <w:t xml:space="preserve"> autonómico.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08"/>
      </w:pPr>
      <w:r>
        <w:rPr>
          <w:i/>
        </w:rPr>
        <w:t>A estos efectos, se entiende por ordenación urbanística estructural la delimitada por el artículo 136 de esta ley, y por modificación sustancial los supuestos previstos en el artículo 163 de esta ley. Asimismo, podrá encomendarse el ejerci</w:t>
      </w:r>
      <w:r>
        <w:rPr>
          <w:i/>
        </w:rPr>
        <w:t xml:space="preserve">cio de los aspectos materiales o técnicos de la competencia de los órganos ambientales, en caso de estar constituidos, mediante convenio.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07"/>
      </w:pPr>
      <w:r>
        <w:rPr>
          <w:i/>
        </w:rPr>
        <w:t>El acuerdo de delegación deberá adoptarse por el Pleno de la entidad local, y el acuerdo de aceptación de la deleg</w:t>
      </w:r>
      <w:r>
        <w:rPr>
          <w:i/>
        </w:rPr>
        <w:t>ación o de aprobación del convenio de encomienda, por el Pleno del respectivo cabildo insular o por el Gobierno de Canarias, según proceda. No obstante, en los municipios de menos de 100.000 habitantes de derecho, la evaluación ambiental de la ordenación u</w:t>
      </w:r>
      <w:r>
        <w:rPr>
          <w:i/>
        </w:rPr>
        <w:t xml:space="preserve">rbanística estructural de los planes generales de ordenación, así como en los casos de modificación sustancial de los mismos, corresponderá al órgano ambiental autonómico.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spacing w:line="238" w:lineRule="auto"/>
        <w:ind w:left="21" w:right="211"/>
      </w:pPr>
      <w:r>
        <w:rPr>
          <w:i/>
        </w:rPr>
        <w:t>A estos efectos, se entiende por ordenación urbanística estructural la delimitad</w:t>
      </w:r>
      <w:r>
        <w:rPr>
          <w:i/>
        </w:rPr>
        <w:t xml:space="preserve">a por el artículo 136 de esta ley, y por modificación sustancial los supuestos previstos en el artículo 163 de esta ley. </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0"/>
          <w:numId w:val="13"/>
        </w:numPr>
        <w:spacing w:line="238" w:lineRule="auto"/>
        <w:ind w:right="49"/>
      </w:pPr>
      <w:r>
        <w:rPr>
          <w:i/>
        </w:rPr>
        <w:t>De acuerdo con la normativa europea y estatal, el órgano ambiental debe contar con separación funcional y orgánica respecto del órg</w:t>
      </w:r>
      <w:r>
        <w:rPr>
          <w:i/>
        </w:rPr>
        <w:t xml:space="preserve">ano sustantivo. </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numPr>
          <w:ilvl w:val="0"/>
          <w:numId w:val="13"/>
        </w:numPr>
        <w:spacing w:line="238" w:lineRule="auto"/>
        <w:ind w:right="49"/>
      </w:pPr>
      <w:r>
        <w:rPr>
          <w:i/>
        </w:rPr>
        <w:t>La declaración ambiental estratégica tiene carácter de informe preceptivo y determinante, por lo que su no emisión en plazo podrá interrumpir el plazo de los trámites sucesivos, de conformidad con lo previsto en la legislación de proced</w:t>
      </w:r>
      <w:r>
        <w:rPr>
          <w:i/>
        </w:rPr>
        <w:t xml:space="preserve">imiento administrativo común. La falta de emisión de la declaración ambiental estratégica en ningún caso podrá entenderse que equivale a una evaluación ambiental favorable.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i/>
        </w:rPr>
        <w:t xml:space="preserve"> </w:t>
      </w:r>
    </w:p>
    <w:p w:rsidR="00025683" w:rsidRDefault="007C2AAB">
      <w:pPr>
        <w:numPr>
          <w:ilvl w:val="0"/>
          <w:numId w:val="13"/>
        </w:numPr>
        <w:spacing w:after="3" w:line="237" w:lineRule="auto"/>
        <w:ind w:right="49"/>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9635" name="Group 3896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545" name="Rectangle 8545"/>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8546" name="Rectangle 8546"/>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547" name="Rectangle 8547"/>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42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9635" style="width:18.7031pt;height:260.874pt;position:absolute;mso-position-horizontal-relative:page;mso-position-horizontal:absolute;margin-left:662.928pt;mso-position-vertical-relative:page;margin-top:512.046pt;" coordsize="2375,33130">
                <v:rect id="Rectangle 8545"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854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54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350 </w:t>
                        </w:r>
                      </w:p>
                    </w:txbxContent>
                  </v:textbox>
                </v:rect>
                <w10:wrap type="square"/>
              </v:group>
            </w:pict>
          </mc:Fallback>
        </mc:AlternateContent>
      </w:r>
      <w:r>
        <w:rPr>
          <w:i/>
        </w:rPr>
        <w:t>El Gobierno establecerá reglamentariamente las normas, los criterios y la metodología a utilizar por el órg</w:t>
      </w:r>
      <w:r>
        <w:rPr>
          <w:i/>
        </w:rPr>
        <w:t xml:space="preserve">ano ambiental en el ejercicio de su función, asegurando la unidad y coherencia de la evaluación ambiental, de acuerdo con criterios públicos y conocidos de antemano, lo más objetivos y reglados que permita el estado del conocimiento científico y técnico y </w:t>
      </w:r>
      <w:r>
        <w:rPr>
          <w:i/>
        </w:rPr>
        <w:t>de los métodos de evaluación existentes. 10. En lo no previsto en la presente ley se estará a lo dispuesto en la legislación estatal básica en materia de evaluación ambiental.</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t xml:space="preserve"> </w:t>
      </w:r>
    </w:p>
    <w:p w:rsidR="00025683" w:rsidRDefault="007C2AAB">
      <w:pPr>
        <w:ind w:left="14" w:right="200"/>
      </w:pPr>
      <w:r>
        <w:t xml:space="preserve">        Es de aplicación el artículo Artículo 114 del DECRETO 181/2018, de 26</w:t>
      </w:r>
      <w:r>
        <w:t xml:space="preserve"> de diciembre, por el que se aprueba el Reglamento de Planeamiento de Canarias en cuanto a la Solicitud de inicio: </w:t>
      </w:r>
    </w:p>
    <w:p w:rsidR="00025683" w:rsidRDefault="007C2AAB">
      <w:pPr>
        <w:spacing w:after="0" w:line="259" w:lineRule="auto"/>
        <w:ind w:left="36" w:firstLine="0"/>
        <w:jc w:val="left"/>
      </w:pPr>
      <w:r>
        <w:t xml:space="preserve"> </w:t>
      </w:r>
    </w:p>
    <w:p w:rsidR="00025683" w:rsidRDefault="007C2AAB">
      <w:pPr>
        <w:ind w:left="14" w:right="200"/>
      </w:pPr>
      <w:r>
        <w:t xml:space="preserve">        1. El procedimiento de evaluación ambiental simplificada comienza con la solicitud de inicio de la evaluación. El promotor present</w:t>
      </w:r>
      <w:r>
        <w:t>ará ante el órgano sustantivo, junto a la documentación exigida por la normativa sectorial, una solicitud de inicio de la Evaluación Ambiental Simplificada, el Documento Ambiental Estratégico, con el contenido exigido por la legislación básica, y el Borrad</w:t>
      </w:r>
      <w:r>
        <w:t xml:space="preserve">or del Plan. </w:t>
      </w:r>
    </w:p>
    <w:p w:rsidR="00025683" w:rsidRDefault="007C2AAB">
      <w:pPr>
        <w:spacing w:after="0" w:line="259" w:lineRule="auto"/>
        <w:ind w:left="36" w:firstLine="0"/>
        <w:jc w:val="left"/>
      </w:pPr>
      <w:r>
        <w:t xml:space="preserve"> </w:t>
      </w:r>
    </w:p>
    <w:p w:rsidR="00025683" w:rsidRDefault="007C2AAB">
      <w:pPr>
        <w:ind w:left="14" w:right="200"/>
      </w:pPr>
      <w:r>
        <w:t xml:space="preserve">        Ley 21/2013, de 9 de diciembre, de evaluación ambiental. </w:t>
      </w:r>
    </w:p>
    <w:p w:rsidR="00025683" w:rsidRDefault="007C2AAB">
      <w:pPr>
        <w:spacing w:after="0" w:line="259" w:lineRule="auto"/>
        <w:ind w:left="36" w:firstLine="0"/>
        <w:jc w:val="left"/>
      </w:pPr>
      <w:r>
        <w:rPr>
          <w:b/>
        </w:rPr>
        <w:t xml:space="preserve"> </w:t>
      </w:r>
    </w:p>
    <w:p w:rsidR="00025683" w:rsidRDefault="007C2AAB">
      <w:pPr>
        <w:spacing w:after="0" w:line="259" w:lineRule="auto"/>
        <w:ind w:left="36" w:firstLine="0"/>
        <w:jc w:val="left"/>
      </w:pPr>
      <w:r>
        <w:rPr>
          <w:b/>
        </w:rPr>
        <w:t xml:space="preserve"> </w:t>
      </w:r>
    </w:p>
    <w:p w:rsidR="00025683" w:rsidRDefault="007C2AAB">
      <w:pPr>
        <w:spacing w:after="12"/>
        <w:ind w:left="14" w:right="197"/>
      </w:pPr>
      <w:r>
        <w:rPr>
          <w:b/>
        </w:rPr>
        <w:t xml:space="preserve">        Segundo.- </w:t>
      </w:r>
      <w:r>
        <w:rPr>
          <w:b/>
        </w:rPr>
        <w:t>Es de aplicación el acuerdo del Pleno de 24 de febrero de 2022 debidamente notificado a la Consejería de Transición Ecológica del Gobierno de Canarias en el que expresamente se dispuso:</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spacing w:line="238" w:lineRule="auto"/>
        <w:ind w:left="21" w:right="209"/>
      </w:pPr>
      <w:r>
        <w:rPr>
          <w:i/>
        </w:rPr>
        <w:t xml:space="preserve">        Primero.- Delegar en el órgano ambiental de la Comunidad Au</w:t>
      </w:r>
      <w:r>
        <w:rPr>
          <w:i/>
        </w:rPr>
        <w:t xml:space="preserve">tónoma la evaluación ambiental estratégica, ordinaria o simplificada, de los instrumentos de ordenación urbanística de competencia municipal así como sus modificaciones. </w:t>
      </w:r>
      <w:r>
        <w:rPr>
          <w:rFonts w:ascii="Times New Roman" w:eastAsia="Times New Roman" w:hAnsi="Times New Roman" w:cs="Times New Roman"/>
          <w:sz w:val="24"/>
        </w:rPr>
        <w:t xml:space="preserve"> </w:t>
      </w:r>
    </w:p>
    <w:p w:rsidR="00025683" w:rsidRDefault="007C2AAB">
      <w:pPr>
        <w:spacing w:after="0" w:line="259" w:lineRule="auto"/>
        <w:ind w:left="36" w:firstLine="0"/>
        <w:jc w:val="left"/>
      </w:pPr>
      <w:r>
        <w:rPr>
          <w:i/>
        </w:rPr>
        <w:t xml:space="preserve"> </w:t>
      </w:r>
    </w:p>
    <w:p w:rsidR="00025683" w:rsidRDefault="007C2AAB">
      <w:pPr>
        <w:spacing w:line="238" w:lineRule="auto"/>
        <w:ind w:left="21" w:right="49"/>
      </w:pPr>
      <w:r>
        <w:rPr>
          <w:i/>
        </w:rPr>
        <w:t xml:space="preserve">       Segundo.- </w:t>
      </w:r>
      <w:r>
        <w:rPr>
          <w:i/>
        </w:rPr>
        <w:t xml:space="preserve">Delegar en el órgano ambiental de la Comunidad Autónoma la evaluación y declaración de impacto ambiental de proyectos que deba tramitar y autorizar el Ayuntamiento. </w:t>
      </w:r>
    </w:p>
    <w:p w:rsidR="00025683" w:rsidRDefault="007C2AAB">
      <w:pPr>
        <w:spacing w:after="0" w:line="259" w:lineRule="auto"/>
        <w:ind w:left="36" w:firstLine="0"/>
        <w:jc w:val="left"/>
      </w:pPr>
      <w:r>
        <w:rPr>
          <w:i/>
        </w:rPr>
        <w:t xml:space="preserve"> </w:t>
      </w:r>
    </w:p>
    <w:p w:rsidR="00025683" w:rsidRDefault="007C2AAB">
      <w:pPr>
        <w:spacing w:after="0" w:line="259" w:lineRule="auto"/>
        <w:ind w:left="36" w:firstLine="0"/>
        <w:jc w:val="left"/>
      </w:pPr>
      <w:r>
        <w:t xml:space="preserve"> </w:t>
      </w:r>
    </w:p>
    <w:p w:rsidR="00025683" w:rsidRDefault="007C2AAB">
      <w:pPr>
        <w:ind w:left="14" w:right="200"/>
      </w:pPr>
      <w:r>
        <w:t xml:space="preserve">Por todo ello se propone al Excmo. Ayuntamiento Pleno para que ACUERDE: </w:t>
      </w:r>
    </w:p>
    <w:p w:rsidR="00025683" w:rsidRDefault="007C2AAB">
      <w:pPr>
        <w:spacing w:after="0" w:line="259" w:lineRule="auto"/>
        <w:ind w:left="29" w:firstLine="0"/>
        <w:jc w:val="left"/>
      </w:pPr>
      <w:r>
        <w:t xml:space="preserve"> </w:t>
      </w:r>
    </w:p>
    <w:p w:rsidR="00025683" w:rsidRDefault="007C2AAB">
      <w:pPr>
        <w:spacing w:after="3" w:line="259" w:lineRule="auto"/>
        <w:ind w:left="274" w:right="394" w:hanging="10"/>
        <w:jc w:val="center"/>
      </w:pPr>
      <w:r>
        <w:rPr>
          <w:b/>
        </w:rPr>
        <w:t>PROPUESTA D</w:t>
      </w:r>
      <w:r>
        <w:rPr>
          <w:b/>
        </w:rPr>
        <w:t>E ACUERDO:</w:t>
      </w:r>
      <w:r>
        <w:rPr>
          <w:rFonts w:ascii="Times New Roman" w:eastAsia="Times New Roman" w:hAnsi="Times New Roman" w:cs="Times New Roman"/>
          <w:sz w:val="24"/>
        </w:rPr>
        <w:t xml:space="preserve"> </w:t>
      </w:r>
    </w:p>
    <w:p w:rsidR="00025683" w:rsidRDefault="007C2AAB">
      <w:pPr>
        <w:spacing w:after="0" w:line="259" w:lineRule="auto"/>
        <w:ind w:left="29" w:firstLine="0"/>
        <w:jc w:val="left"/>
      </w:pPr>
      <w:r>
        <w:rPr>
          <w:b/>
        </w:rPr>
        <w:t xml:space="preserve"> </w:t>
      </w:r>
    </w:p>
    <w:p w:rsidR="00025683" w:rsidRDefault="007C2AAB">
      <w:pPr>
        <w:ind w:left="14" w:right="200"/>
      </w:pPr>
      <w:r>
        <w:rPr>
          <w:b/>
        </w:rPr>
        <w:t xml:space="preserve">        Primero.- </w:t>
      </w:r>
      <w:r>
        <w:t>Tomar conocimiento de la documentación para remitir al órgano ambiental, a los efectos del inicio de la EVALUACIÓN AMBIENTAL ESTRATÉGICA y que se elabore el respectivo informe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Se toma conocimiento de la document</w:t>
      </w:r>
      <w:r>
        <w:rPr>
          <w:sz w:val="23"/>
        </w:rPr>
        <w:t xml:space="preserve">ación presentada con fecha 28 de noviembre de 2025 y registro de entrada </w:t>
      </w:r>
      <w:r>
        <w:rPr>
          <w:b/>
        </w:rPr>
        <w:t>2025-E-RE-10599</w:t>
      </w:r>
      <w:r>
        <w:rPr>
          <w:sz w:val="23"/>
        </w:rPr>
        <w:t xml:space="preserve">, relativa a la </w:t>
      </w:r>
      <w:r>
        <w:rPr>
          <w:b/>
          <w:sz w:val="23"/>
        </w:rPr>
        <w:t xml:space="preserve">Modificación Menor de iniciativa privada del Plan General de Ordenación de Candelaria “SUSO-CA17 Lomo del Caballo” </w:t>
      </w:r>
      <w:r>
        <w:rPr>
          <w:sz w:val="23"/>
        </w:rPr>
        <w:t>presentada por Amador Felipe Díaz Ram</w:t>
      </w:r>
      <w:r>
        <w:rPr>
          <w:sz w:val="23"/>
        </w:rPr>
        <w:t>os en representación de Amador Díaz Ramos S.L y redactada por el arquitecto Gilberto Díaz Díaz, colegiado 2621, para el inicio del Procedimiento de Evaluación Ambiental Estratégica Simplificada.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La documentación relativa a la Modificación Menor de Plane</w:t>
      </w:r>
      <w:r>
        <w:rPr>
          <w:sz w:val="23"/>
        </w:rPr>
        <w:t xml:space="preserve">amiento, consta de los siguientes documentos: </w:t>
      </w:r>
    </w:p>
    <w:p w:rsidR="00025683" w:rsidRDefault="007C2AAB">
      <w:pPr>
        <w:spacing w:after="0" w:line="259" w:lineRule="auto"/>
        <w:ind w:left="14" w:firstLine="0"/>
        <w:jc w:val="left"/>
      </w:pPr>
      <w:r>
        <w:rPr>
          <w:sz w:val="23"/>
        </w:rP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0306" name="Group 3903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97" name="Rectangle 8697"/>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8698" name="Rectangle 8698"/>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699" name="Rectangle 8699"/>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43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0306" style="width:18.7031pt;height:260.874pt;position:absolute;mso-position-horizontal-relative:page;mso-position-horizontal:absolute;margin-left:662.928pt;mso-position-vertical-relative:page;margin-top:512.046pt;" coordsize="2375,33130">
                <v:rect id="Rectangle 8697"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869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69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350 </w:t>
                        </w:r>
                      </w:p>
                    </w:txbxContent>
                  </v:textbox>
                </v:rect>
                <w10:wrap type="square"/>
              </v:group>
            </w:pict>
          </mc:Fallback>
        </mc:AlternateContent>
      </w:r>
      <w:r>
        <w:t xml:space="preserve">    </w:t>
      </w:r>
      <w:r>
        <w:t xml:space="preserve">O Modificación Menor del Plan General de Ordenación de Candelaria, SUSO-CA17 Lomo del Caballo, redactado por D. Gilberto Díaz Díaz arquitecto colegiado 2621 y firmada de fecha 28 de noviembre de 2025  </w:t>
      </w:r>
    </w:p>
    <w:p w:rsidR="00025683" w:rsidRDefault="007C2AAB">
      <w:pPr>
        <w:spacing w:after="0" w:line="259" w:lineRule="auto"/>
        <w:ind w:left="14" w:firstLine="0"/>
        <w:jc w:val="left"/>
      </w:pPr>
      <w:r>
        <w:rPr>
          <w:b/>
        </w:rPr>
        <w:t xml:space="preserve"> </w:t>
      </w:r>
    </w:p>
    <w:p w:rsidR="00025683" w:rsidRDefault="007C2AAB">
      <w:pPr>
        <w:ind w:left="14" w:right="200"/>
      </w:pPr>
      <w:r>
        <w:t xml:space="preserve">         7.Memoria. Alternativas </w:t>
      </w:r>
    </w:p>
    <w:p w:rsidR="00025683" w:rsidRDefault="007C2AAB">
      <w:pPr>
        <w:ind w:left="14" w:right="200"/>
      </w:pPr>
      <w:r>
        <w:t xml:space="preserve">         8.Normati</w:t>
      </w:r>
      <w:r>
        <w:t xml:space="preserve">va ambiental. </w:t>
      </w:r>
    </w:p>
    <w:p w:rsidR="00025683" w:rsidRDefault="007C2AAB">
      <w:pPr>
        <w:ind w:left="14" w:right="200"/>
      </w:pPr>
      <w:r>
        <w:t xml:space="preserve">         9.Memoria de sostenibilidad económica. </w:t>
      </w:r>
    </w:p>
    <w:p w:rsidR="00025683" w:rsidRDefault="007C2AAB">
      <w:pPr>
        <w:ind w:left="14" w:right="200"/>
      </w:pPr>
      <w:r>
        <w:t xml:space="preserve">       10.Informe de impacto de género. </w:t>
      </w:r>
    </w:p>
    <w:p w:rsidR="00025683" w:rsidRDefault="007C2AAB">
      <w:pPr>
        <w:ind w:left="14" w:right="200"/>
      </w:pPr>
      <w:r>
        <w:t xml:space="preserve">       11.Planos </w:t>
      </w:r>
    </w:p>
    <w:p w:rsidR="00025683" w:rsidRDefault="007C2AAB">
      <w:pPr>
        <w:ind w:left="14" w:right="200"/>
      </w:pPr>
      <w:r>
        <w:t xml:space="preserve">       12.Ficha del sector que integra el ámbito de la modificación menor.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rPr>
          <w:b/>
        </w:rPr>
        <w:t xml:space="preserve">        Segundo.- </w:t>
      </w:r>
      <w:r>
        <w:t>Continuar el  Procedimiento de Evaluación Ambiental Estratégica Simplificada, según lo dispuesto en los artículos los artículos 114 y siguientes del Reglamento de Planeamiento de Canarias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        Tercero.- </w:t>
      </w:r>
      <w:r>
        <w:t xml:space="preserve">Remitir la documentación técnica debidamente </w:t>
      </w:r>
      <w:r>
        <w:t>autenticada electrónicamente y el certificado del acuerdo adoptado a la Consejería de Transición Ecológica, Lucha contra el Cambio Climático y Planificación Territorial del Gobierno de Canarias.</w:t>
      </w:r>
      <w:r>
        <w:rPr>
          <w:rFonts w:ascii="Times New Roman" w:eastAsia="Times New Roman" w:hAnsi="Times New Roman" w:cs="Times New Roman"/>
          <w:sz w:val="24"/>
        </w:rPr>
        <w:t xml:space="preserve"> </w:t>
      </w:r>
    </w:p>
    <w:p w:rsidR="00025683" w:rsidRDefault="007C2AAB">
      <w:pPr>
        <w:spacing w:after="0" w:line="259" w:lineRule="auto"/>
        <w:ind w:left="722" w:firstLine="0"/>
        <w:jc w:val="left"/>
      </w:pPr>
      <w:r>
        <w:t xml:space="preserve"> </w:t>
      </w:r>
    </w:p>
    <w:p w:rsidR="00025683" w:rsidRDefault="007C2AAB">
      <w:pPr>
        <w:spacing w:after="0" w:line="259" w:lineRule="auto"/>
        <w:ind w:left="14" w:firstLine="0"/>
        <w:jc w:val="left"/>
      </w:pPr>
      <w:r>
        <w:rPr>
          <w:sz w:val="24"/>
        </w:rPr>
        <w:t xml:space="preserve"> </w:t>
      </w:r>
    </w:p>
    <w:p w:rsidR="00025683" w:rsidRDefault="007C2AAB">
      <w:pPr>
        <w:ind w:left="14" w:right="200"/>
      </w:pPr>
      <w:r>
        <w:t>Por lo que se eleva a esta propuesta al Pleno del Ayunta</w:t>
      </w:r>
      <w:r>
        <w:t>miento, que resolverá como mejor proceda”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firstLine="708"/>
      </w:pPr>
      <w:r>
        <w:rPr>
          <w:b/>
        </w:rPr>
        <w:t>DICTAMEN FAVORABLE DE 22 DE DICIEMBRE DE LA COMISIÓN INFORMATIVA DE P. y G. URBANÍSTICA Y AMBIENTAL, OBRAS Y SERVICIOS PÚBLICOS.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722" w:right="200"/>
      </w:pPr>
      <w:r>
        <w:t xml:space="preserve">Los 7 concejales presentes quedaron enterados: </w:t>
      </w:r>
    </w:p>
    <w:p w:rsidR="00025683" w:rsidRDefault="007C2AAB">
      <w:pPr>
        <w:spacing w:after="0" w:line="259" w:lineRule="auto"/>
        <w:ind w:left="722" w:firstLine="0"/>
        <w:jc w:val="left"/>
      </w:pPr>
      <w:r>
        <w:t xml:space="preserve"> </w:t>
      </w:r>
    </w:p>
    <w:p w:rsidR="00025683" w:rsidRDefault="007C2AAB">
      <w:pPr>
        <w:ind w:left="14" w:right="200" w:firstLine="708"/>
      </w:pPr>
      <w:r>
        <w:t xml:space="preserve">4 concejales del Grupo Socialista, Don Reinaldo José Triviño Blanco, Don Airam Pérez Chinea, Doña Margarita Eva Tendero Barroso y Doña María del Carmen Clemente Díaz. </w:t>
      </w:r>
    </w:p>
    <w:p w:rsidR="00025683" w:rsidRDefault="007C2AAB">
      <w:pPr>
        <w:spacing w:after="0" w:line="259" w:lineRule="auto"/>
        <w:ind w:left="14" w:firstLine="0"/>
        <w:jc w:val="left"/>
      </w:pPr>
      <w:r>
        <w:t xml:space="preserve"> </w:t>
      </w:r>
    </w:p>
    <w:p w:rsidR="00025683" w:rsidRDefault="007C2AAB">
      <w:pPr>
        <w:ind w:left="14" w:right="200" w:firstLine="708"/>
      </w:pPr>
      <w:r>
        <w:t>2 de los concejales del Grupo Popular, Don Jacobo López Fariña y Doña Sheila Castellan</w:t>
      </w:r>
      <w:r>
        <w:t xml:space="preserve">o Batista.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(USP), Doña Violeta López Jiménez. </w:t>
      </w:r>
    </w:p>
    <w:p w:rsidR="00025683" w:rsidRDefault="007C2AAB">
      <w:pPr>
        <w:spacing w:after="0" w:line="259" w:lineRule="auto"/>
        <w:ind w:left="722" w:firstLine="0"/>
        <w:jc w:val="left"/>
      </w:pPr>
      <w:r>
        <w:t xml:space="preserve"> </w:t>
      </w:r>
    </w:p>
    <w:p w:rsidR="00025683" w:rsidRDefault="007C2AAB">
      <w:pPr>
        <w:spacing w:after="0" w:line="259" w:lineRule="auto"/>
        <w:ind w:left="722" w:firstLine="0"/>
        <w:jc w:val="left"/>
      </w:pPr>
      <w:r>
        <w:t xml:space="preserve"> </w:t>
      </w:r>
    </w:p>
    <w:p w:rsidR="00025683" w:rsidRDefault="007C2AAB">
      <w:pPr>
        <w:spacing w:after="12"/>
        <w:ind w:left="722" w:right="2173"/>
      </w:pPr>
      <w:r>
        <w:rPr>
          <w:b/>
        </w:rPr>
        <w:t xml:space="preserve">JUNTA DE PORTAVOCES DE 22 DE DICIEMBRE DE 2025. </w:t>
      </w:r>
      <w:r>
        <w:t xml:space="preserve">Quedó oída. </w:t>
      </w:r>
    </w:p>
    <w:p w:rsidR="00025683" w:rsidRDefault="007C2AAB">
      <w:pPr>
        <w:spacing w:after="0" w:line="238" w:lineRule="auto"/>
        <w:ind w:left="14" w:right="9444" w:firstLine="0"/>
        <w:jc w:val="left"/>
      </w:pPr>
      <w:r>
        <w:t xml:space="preserve">   </w:t>
      </w:r>
    </w:p>
    <w:p w:rsidR="00025683" w:rsidRDefault="007C2AAB">
      <w:pPr>
        <w:spacing w:after="12"/>
        <w:ind w:left="722" w:right="197"/>
      </w:pPr>
      <w:r>
        <w:rPr>
          <w:b/>
        </w:rPr>
        <w:t xml:space="preserve">TOMA DE CONOCIMIENTO EN EL PLENO DE 29 DE DICIEMBRE DE 2025. </w:t>
      </w:r>
    </w:p>
    <w:p w:rsidR="00025683" w:rsidRDefault="007C2AAB">
      <w:pPr>
        <w:spacing w:after="0" w:line="259" w:lineRule="auto"/>
        <w:ind w:left="14" w:firstLine="0"/>
        <w:jc w:val="left"/>
      </w:pPr>
      <w:r>
        <w:rPr>
          <w:b/>
        </w:rPr>
        <w:t xml:space="preserve"> </w:t>
      </w:r>
    </w:p>
    <w:p w:rsidR="00025683" w:rsidRDefault="007C2AAB">
      <w:pPr>
        <w:ind w:left="722" w:right="200"/>
      </w:pPr>
      <w:r>
        <w:t xml:space="preserve">Los 19 concejales presentes quedaron enterados: </w:t>
      </w:r>
    </w:p>
    <w:p w:rsidR="00025683" w:rsidRDefault="007C2AAB">
      <w:pPr>
        <w:spacing w:after="0" w:line="259" w:lineRule="auto"/>
        <w:ind w:left="14" w:firstLine="0"/>
        <w:jc w:val="left"/>
      </w:pPr>
      <w:r>
        <w:t xml:space="preserve"> </w:t>
      </w:r>
    </w:p>
    <w:p w:rsidR="00025683" w:rsidRDefault="007C2AAB">
      <w:pPr>
        <w:ind w:left="14" w:right="200" w:firstLine="708"/>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0857" name="Group 3908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813" name="Rectangle 8813"/>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8814" name="Rectangle 8814"/>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815" name="Rectangle 8815"/>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44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0857" style="width:18.7031pt;height:260.874pt;position:absolute;mso-position-horizontal-relative:page;mso-position-horizontal:absolute;margin-left:662.928pt;mso-position-vertical-relative:page;margin-top:512.046pt;" coordsize="2375,33130">
                <v:rect id="Rectangle 8813"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881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81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350 </w:t>
                        </w:r>
                      </w:p>
                    </w:txbxContent>
                  </v:textbox>
                </v:rect>
                <w10:wrap type="square"/>
              </v:group>
            </w:pict>
          </mc:Fallback>
        </mc:AlternateContent>
      </w:r>
      <w:r>
        <w:t>11 conc</w:t>
      </w:r>
      <w:r>
        <w:t>ejales del Grupo Socialista: Dª. María Concepción Brito Núñez, D. Jorge Baute Delgado, D. José Francisco Pinto Ramos, Dª. Olivia Concepción Pérez, D. Reinaldo José Triviño Blanco, D. Manuel Alberto González Pestano, Dª. Margarita Eva Tendero Barroso, D. Ai</w:t>
      </w:r>
      <w:r>
        <w:t xml:space="preserve">ram Pérez Chinea, Dª. María del Carmen Clemente Díaz, D. Olegario Francisco Alonso Bello, Dª. Mónica Monserrat Yanes Delgado.  </w:t>
      </w:r>
    </w:p>
    <w:p w:rsidR="00025683" w:rsidRDefault="007C2AAB">
      <w:pPr>
        <w:spacing w:after="0" w:line="259" w:lineRule="auto"/>
        <w:ind w:left="14" w:firstLine="0"/>
        <w:jc w:val="left"/>
      </w:pPr>
      <w:r>
        <w:t xml:space="preserve"> </w:t>
      </w:r>
    </w:p>
    <w:p w:rsidR="00025683" w:rsidRDefault="007C2AAB">
      <w:pPr>
        <w:ind w:left="722" w:right="200"/>
      </w:pPr>
      <w:r>
        <w:t xml:space="preserve">5 concejales del Grupo Popular: D. Jacobo López Fariña, D. Miguel Eduardo Hernández </w:t>
      </w:r>
    </w:p>
    <w:p w:rsidR="00025683" w:rsidRDefault="007C2AAB">
      <w:pPr>
        <w:ind w:left="14" w:right="200"/>
      </w:pPr>
      <w:r>
        <w:t xml:space="preserve">Chitty, Dª. Raquel Martín Castro, Dª. María Carlota Díaz González, D. José Daniel Sosa González.  </w:t>
      </w:r>
    </w:p>
    <w:p w:rsidR="00025683" w:rsidRDefault="007C2AAB">
      <w:pPr>
        <w:spacing w:after="0" w:line="259" w:lineRule="auto"/>
        <w:ind w:left="14" w:firstLine="0"/>
        <w:jc w:val="left"/>
      </w:pPr>
      <w:r>
        <w:t xml:space="preserve"> </w:t>
      </w:r>
    </w:p>
    <w:p w:rsidR="00025683" w:rsidRDefault="007C2AAB">
      <w:pPr>
        <w:ind w:left="722" w:right="200"/>
      </w:pPr>
      <w:r>
        <w:t xml:space="preserve">1 concejal del Grupo Mixto (CC), Dª. Ángela Cruz Perera. </w:t>
      </w:r>
    </w:p>
    <w:p w:rsidR="00025683" w:rsidRDefault="007C2AAB">
      <w:pPr>
        <w:spacing w:after="0" w:line="259" w:lineRule="auto"/>
        <w:ind w:left="14" w:firstLine="0"/>
        <w:jc w:val="left"/>
      </w:pPr>
      <w:r>
        <w:t xml:space="preserve"> </w:t>
      </w:r>
    </w:p>
    <w:p w:rsidR="00025683" w:rsidRDefault="007C2AAB">
      <w:pPr>
        <w:ind w:left="722" w:right="200"/>
      </w:pPr>
      <w:r>
        <w:t>1 de la concejal del Grupo Mixto (USP), Dª. Violeta López Jiménez.</w:t>
      </w:r>
      <w:r>
        <w:rPr>
          <w:rFonts w:ascii="Times New Roman" w:eastAsia="Times New Roman" w:hAnsi="Times New Roman" w:cs="Times New Roman"/>
          <w:sz w:val="24"/>
        </w:rPr>
        <w:t xml:space="preserve"> </w:t>
      </w:r>
    </w:p>
    <w:p w:rsidR="00025683" w:rsidRDefault="007C2AAB">
      <w:pPr>
        <w:spacing w:after="0" w:line="259" w:lineRule="auto"/>
        <w:ind w:left="722" w:firstLine="0"/>
        <w:jc w:val="left"/>
      </w:pPr>
      <w:r>
        <w:rPr>
          <w:color w:val="FFFFFF"/>
        </w:rPr>
        <w:t xml:space="preserve"> </w:t>
      </w:r>
    </w:p>
    <w:p w:rsidR="00025683" w:rsidRDefault="007C2AAB">
      <w:pPr>
        <w:ind w:left="722" w:right="200"/>
      </w:pPr>
      <w:r>
        <w:t>1 del concejal del Grupo Mixto (Vox). D. José Tortosa Pallarés.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722" w:firstLine="0"/>
        <w:jc w:val="left"/>
      </w:pPr>
      <w:r>
        <w:rPr>
          <w:color w:val="FF0000"/>
        </w:rPr>
        <w:t xml:space="preserve"> </w:t>
      </w:r>
    </w:p>
    <w:p w:rsidR="00025683" w:rsidRDefault="007C2AAB">
      <w:pPr>
        <w:spacing w:after="0" w:line="259" w:lineRule="auto"/>
        <w:ind w:left="14" w:firstLine="0"/>
        <w:jc w:val="left"/>
      </w:pPr>
      <w:r>
        <w:rPr>
          <w:b/>
        </w:rPr>
        <w:t xml:space="preserve">                                   </w:t>
      </w:r>
    </w:p>
    <w:p w:rsidR="00025683" w:rsidRDefault="007C2AAB">
      <w:pPr>
        <w:spacing w:after="98" w:line="259" w:lineRule="auto"/>
        <w:ind w:left="1433" w:firstLine="0"/>
        <w:jc w:val="left"/>
      </w:pPr>
      <w:r>
        <w:rPr>
          <w:b/>
        </w:rPr>
        <w:t xml:space="preserve"> </w:t>
      </w:r>
    </w:p>
    <w:p w:rsidR="00025683" w:rsidRDefault="007C2AAB">
      <w:pPr>
        <w:spacing w:after="98" w:line="259" w:lineRule="auto"/>
        <w:ind w:left="1433" w:firstLine="0"/>
        <w:jc w:val="left"/>
      </w:pPr>
      <w:r>
        <w:rPr>
          <w:b/>
        </w:rPr>
        <w:t xml:space="preserve"> </w:t>
      </w:r>
    </w:p>
    <w:p w:rsidR="00025683" w:rsidRDefault="007C2AAB">
      <w:pPr>
        <w:spacing w:after="100" w:line="259" w:lineRule="auto"/>
        <w:ind w:left="1433" w:firstLine="0"/>
        <w:jc w:val="left"/>
      </w:pPr>
      <w:r>
        <w:rPr>
          <w:b/>
        </w:rPr>
        <w:t xml:space="preserve"> </w:t>
      </w:r>
    </w:p>
    <w:p w:rsidR="00025683" w:rsidRDefault="007C2AAB">
      <w:pPr>
        <w:spacing w:after="98" w:line="259" w:lineRule="auto"/>
        <w:ind w:left="1433" w:firstLine="0"/>
        <w:jc w:val="left"/>
      </w:pPr>
      <w:r>
        <w:rPr>
          <w:b/>
        </w:rPr>
        <w:t xml:space="preserve"> </w:t>
      </w:r>
    </w:p>
    <w:p w:rsidR="00025683" w:rsidRDefault="007C2AAB">
      <w:pPr>
        <w:spacing w:after="100" w:line="259" w:lineRule="auto"/>
        <w:ind w:left="1433"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100" w:line="259" w:lineRule="auto"/>
        <w:ind w:left="1433" w:firstLine="0"/>
        <w:jc w:val="left"/>
      </w:pPr>
      <w:r>
        <w:rPr>
          <w:b/>
        </w:rPr>
        <w:t xml:space="preserve"> </w:t>
      </w:r>
    </w:p>
    <w:p w:rsidR="00025683" w:rsidRDefault="007C2AAB">
      <w:pPr>
        <w:spacing w:after="98" w:line="259" w:lineRule="auto"/>
        <w:ind w:left="1433" w:firstLine="0"/>
        <w:jc w:val="left"/>
      </w:pPr>
      <w:r>
        <w:rPr>
          <w:b/>
        </w:rPr>
        <w:t xml:space="preserve"> </w:t>
      </w:r>
    </w:p>
    <w:p w:rsidR="00025683" w:rsidRDefault="007C2AAB">
      <w:pPr>
        <w:spacing w:after="108"/>
        <w:ind w:left="1433" w:right="197"/>
      </w:pPr>
      <w:r>
        <w:rPr>
          <w:b/>
        </w:rPr>
        <w:t xml:space="preserve">ACUERDO DEL PLENO DE 29 DE DICIEMBRE DE 2025.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w:t>
      </w:r>
      <w:r>
        <w:rPr>
          <w:b/>
        </w:rPr>
        <w:t>PRIMERO: Tomar conocimiento de la documentación para remitir al órgano ambiental, a los efectos del inicio de la EVALUACIÓN AMBIENTAL ESTRATÉGICA y que se elabore el respectivo informe.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SEGUNDO: Continuar el Procedimiento de Evaluación Ambiental </w:t>
      </w:r>
      <w:r>
        <w:rPr>
          <w:b/>
        </w:rPr>
        <w:t xml:space="preserve">Estratégica Simplificada, según lo dispuesto en los artículos los artículos 114 y siguientes del </w:t>
      </w:r>
    </w:p>
    <w:p w:rsidR="00025683" w:rsidRDefault="007C2AAB">
      <w:pPr>
        <w:spacing w:after="12"/>
        <w:ind w:left="14" w:right="197"/>
      </w:pPr>
      <w:r>
        <w:rPr>
          <w:b/>
        </w:rPr>
        <w:t>Reglamento de Planeamiento de Canarias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TERCERO: Remitir la documentación técnica debidamente autenticada electrónicamente y el certificado del acuer</w:t>
      </w:r>
      <w:r>
        <w:rPr>
          <w:b/>
        </w:rPr>
        <w:t>do adoptado a la Consejería de Transición Ecológica, Lucha contra el Cambio Climático y Planificación Territorial del Gobierno de Canarias.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1461" name="Group 3914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914" name="Rectangle 8914"/>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8915" name="Rectangle 8915"/>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8916" name="Rectangle 8916"/>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45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1461" style="width:18.7031pt;height:260.874pt;position:absolute;mso-position-horizontal-relative:page;mso-position-horizontal:absolute;margin-left:662.928pt;mso-position-vertical-relative:page;margin-top:512.046pt;" coordsize="2375,33130">
                <v:rect id="Rectangle 8914"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891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891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350 </w:t>
                        </w:r>
                      </w:p>
                    </w:txbxContent>
                  </v:textbox>
                </v:rect>
                <w10:wrap type="topAndBottom"/>
              </v:group>
            </w:pict>
          </mc:Fallback>
        </mc:AlternateContent>
      </w: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38" w:line="259" w:lineRule="auto"/>
        <w:ind w:left="14" w:firstLine="0"/>
        <w:jc w:val="left"/>
      </w:pPr>
      <w:r>
        <w:rPr>
          <w:b/>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4" w:line="245" w:lineRule="auto"/>
        <w:ind w:left="9" w:right="193" w:hanging="10"/>
      </w:pPr>
      <w:r>
        <w:rPr>
          <w:rFonts w:ascii="Calibri" w:eastAsia="Calibri" w:hAnsi="Calibri" w:cs="Calibri"/>
          <w:noProof/>
        </w:rPr>
        <mc:AlternateContent>
          <mc:Choice Requires="wpg">
            <w:drawing>
              <wp:anchor distT="0" distB="0" distL="114300" distR="114300" simplePos="0" relativeHeight="251707392" behindDoc="1" locked="0" layoutInCell="1" allowOverlap="1">
                <wp:simplePos x="0" y="0"/>
                <wp:positionH relativeFrom="column">
                  <wp:posOffset>9144</wp:posOffset>
                </wp:positionH>
                <wp:positionV relativeFrom="paragraph">
                  <wp:posOffset>-9319</wp:posOffset>
                </wp:positionV>
                <wp:extent cx="5941441" cy="620268"/>
                <wp:effectExtent l="0" t="0" r="0" b="0"/>
                <wp:wrapNone/>
                <wp:docPr id="392446" name="Group 392446"/>
                <wp:cNvGraphicFramePr/>
                <a:graphic xmlns:a="http://schemas.openxmlformats.org/drawingml/2006/main">
                  <a:graphicData uri="http://schemas.microsoft.com/office/word/2010/wordprocessingGroup">
                    <wpg:wgp>
                      <wpg:cNvGrpSpPr/>
                      <wpg:grpSpPr>
                        <a:xfrm>
                          <a:off x="0" y="0"/>
                          <a:ext cx="5941441" cy="620268"/>
                          <a:chOff x="0" y="0"/>
                          <a:chExt cx="5941441" cy="620268"/>
                        </a:xfrm>
                      </wpg:grpSpPr>
                      <wps:wsp>
                        <wps:cNvPr id="446644" name="Shape 446644"/>
                        <wps:cNvSpPr/>
                        <wps:spPr>
                          <a:xfrm>
                            <a:off x="269748" y="0"/>
                            <a:ext cx="5671693" cy="210312"/>
                          </a:xfrm>
                          <a:custGeom>
                            <a:avLst/>
                            <a:gdLst/>
                            <a:ahLst/>
                            <a:cxnLst/>
                            <a:rect l="0" t="0" r="0" b="0"/>
                            <a:pathLst>
                              <a:path w="5671693" h="210312">
                                <a:moveTo>
                                  <a:pt x="0" y="0"/>
                                </a:moveTo>
                                <a:lnTo>
                                  <a:pt x="5671693" y="0"/>
                                </a:lnTo>
                                <a:lnTo>
                                  <a:pt x="5671693"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6645" name="Shape 446645"/>
                        <wps:cNvSpPr/>
                        <wps:spPr>
                          <a:xfrm>
                            <a:off x="0" y="205740"/>
                            <a:ext cx="5941441" cy="210312"/>
                          </a:xfrm>
                          <a:custGeom>
                            <a:avLst/>
                            <a:gdLst/>
                            <a:ahLst/>
                            <a:cxnLst/>
                            <a:rect l="0" t="0" r="0" b="0"/>
                            <a:pathLst>
                              <a:path w="5941441" h="210312">
                                <a:moveTo>
                                  <a:pt x="0" y="0"/>
                                </a:moveTo>
                                <a:lnTo>
                                  <a:pt x="5941441" y="0"/>
                                </a:lnTo>
                                <a:lnTo>
                                  <a:pt x="5941441"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6646" name="Shape 446646"/>
                        <wps:cNvSpPr/>
                        <wps:spPr>
                          <a:xfrm>
                            <a:off x="0" y="409956"/>
                            <a:ext cx="2470658" cy="210312"/>
                          </a:xfrm>
                          <a:custGeom>
                            <a:avLst/>
                            <a:gdLst/>
                            <a:ahLst/>
                            <a:cxnLst/>
                            <a:rect l="0" t="0" r="0" b="0"/>
                            <a:pathLst>
                              <a:path w="2470658" h="210312">
                                <a:moveTo>
                                  <a:pt x="0" y="0"/>
                                </a:moveTo>
                                <a:lnTo>
                                  <a:pt x="2470658" y="0"/>
                                </a:lnTo>
                                <a:lnTo>
                                  <a:pt x="2470658"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w:pict>
              <v:group id="Group 392446" style="width:467.83pt;height:48.84pt;position:absolute;z-index:-2147483615;mso-position-horizontal-relative:text;mso-position-horizontal:absolute;margin-left:0.720001pt;mso-position-vertical-relative:text;margin-top:-0.733826pt;" coordsize="59414,6202">
                <v:shape id="Shape 446647" style="position:absolute;width:56716;height:2103;left:2697;top:0;" coordsize="5671693,210312" path="m0,0l5671693,0l5671693,210312l0,210312l0,0">
                  <v:stroke weight="0pt" endcap="square" joinstyle="miter" miterlimit="10" on="false" color="#000000" opacity="0"/>
                  <v:fill on="true" color="#f5f7f9"/>
                </v:shape>
                <v:shape id="Shape 446648" style="position:absolute;width:59414;height:2103;left:0;top:2057;" coordsize="5941441,210312" path="m0,0l5941441,0l5941441,210312l0,210312l0,0">
                  <v:stroke weight="0pt" endcap="square" joinstyle="miter" miterlimit="10" on="false" color="#000000" opacity="0"/>
                  <v:fill on="true" color="#f5f7f9"/>
                </v:shape>
                <v:shape id="Shape 446649" style="position:absolute;width:24706;height:2103;left:0;top:4099;" coordsize="2470658,210312" path="m0,0l2470658,0l2470658,210312l0,210312l0,0">
                  <v:stroke weight="0pt" endcap="square" joinstyle="miter" miterlimit="10" on="false" color="#000000" opacity="0"/>
                  <v:fill on="true" color="#f5f7f9"/>
                </v:shape>
              </v:group>
            </w:pict>
          </mc:Fallback>
        </mc:AlternateContent>
      </w:r>
      <w:r>
        <w:rPr>
          <w:b/>
          <w:sz w:val="28"/>
        </w:rPr>
        <w:t xml:space="preserve">5.- </w:t>
      </w:r>
      <w:r>
        <w:rPr>
          <w:b/>
          <w:sz w:val="28"/>
          <w:u w:val="single" w:color="000000"/>
        </w:rPr>
        <w:t>Expediente 3101/2023</w:t>
      </w:r>
      <w:r>
        <w:rPr>
          <w:b/>
          <w:color w:val="2F3E4D"/>
          <w:sz w:val="28"/>
        </w:rPr>
        <w:t xml:space="preserve">. </w:t>
      </w:r>
      <w:r>
        <w:rPr>
          <w:b/>
          <w:sz w:val="28"/>
        </w:rPr>
        <w:t>J203. Propuesta de la Alcaldesa-</w:t>
      </w:r>
      <w:r>
        <w:rPr>
          <w:b/>
          <w:sz w:val="28"/>
        </w:rPr>
        <w:t>Presidenta de la Aprobación inicial Plan especial del Parque Periurbano de Pasacola, T.M. de Candelaria.</w:t>
      </w:r>
      <w:r>
        <w:rPr>
          <w:rFonts w:ascii="Times New Roman" w:eastAsia="Times New Roman" w:hAnsi="Times New Roman" w:cs="Times New Roman"/>
          <w:sz w:val="28"/>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 w:line="249" w:lineRule="auto"/>
        <w:ind w:left="17" w:right="197" w:hanging="10"/>
      </w:pPr>
      <w:r>
        <w:rPr>
          <w:b/>
          <w:sz w:val="24"/>
        </w:rPr>
        <w:t>Consta en el expediente Informe jurídico emitido por Dña. Olga Fernández MéndezBencomo, Técnico de Administración General, de fecha 17 de diciembr</w:t>
      </w:r>
      <w:r>
        <w:rPr>
          <w:b/>
          <w:sz w:val="24"/>
        </w:rPr>
        <w:t xml:space="preserve">e de 2025, del siguiente tenor literal: </w:t>
      </w:r>
    </w:p>
    <w:p w:rsidR="00025683" w:rsidRDefault="007C2AAB">
      <w:pPr>
        <w:spacing w:after="0" w:line="259" w:lineRule="auto"/>
        <w:ind w:left="14" w:firstLine="0"/>
        <w:jc w:val="left"/>
      </w:pPr>
      <w:r>
        <w:rPr>
          <w:b/>
          <w:color w:val="FF0000"/>
          <w:sz w:val="24"/>
        </w:rPr>
        <w:t xml:space="preserve"> </w:t>
      </w:r>
    </w:p>
    <w:p w:rsidR="00025683" w:rsidRDefault="007C2AAB">
      <w:pPr>
        <w:spacing w:after="14" w:line="259" w:lineRule="auto"/>
        <w:ind w:left="14" w:firstLine="0"/>
        <w:jc w:val="left"/>
      </w:pPr>
      <w:r>
        <w:rPr>
          <w:b/>
          <w:color w:val="FF0000"/>
        </w:rPr>
        <w:t xml:space="preserve"> </w:t>
      </w:r>
    </w:p>
    <w:p w:rsidR="00025683" w:rsidRDefault="007C2AAB">
      <w:pPr>
        <w:pStyle w:val="Ttulo4"/>
        <w:ind w:left="274" w:right="458"/>
      </w:pPr>
      <w:r>
        <w:rPr>
          <w:b w:val="0"/>
          <w:sz w:val="24"/>
        </w:rPr>
        <w:t>“</w:t>
      </w:r>
      <w:r>
        <w:t xml:space="preserve">INFORME JURÍDICO </w:t>
      </w:r>
      <w:r>
        <w:rPr>
          <w:rFonts w:ascii="Times New Roman" w:eastAsia="Times New Roman" w:hAnsi="Times New Roman" w:cs="Times New Roman"/>
          <w:b w:val="0"/>
          <w:sz w:val="24"/>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t xml:space="preserve"> </w:t>
      </w:r>
    </w:p>
    <w:p w:rsidR="00025683" w:rsidRDefault="007C2AAB">
      <w:pPr>
        <w:spacing w:after="0" w:line="259" w:lineRule="auto"/>
        <w:ind w:left="14" w:firstLine="0"/>
        <w:jc w:val="left"/>
      </w:pPr>
      <w:r>
        <w:rPr>
          <w:sz w:val="24"/>
        </w:rPr>
        <w:t xml:space="preserve"> </w:t>
      </w:r>
    </w:p>
    <w:p w:rsidR="00025683" w:rsidRDefault="007C2AAB">
      <w:pPr>
        <w:ind w:left="14" w:right="200"/>
      </w:pPr>
      <w:r>
        <w:t xml:space="preserve"> La Técnico de Administración General Olga Fernández Méndez- </w:t>
      </w:r>
      <w:r>
        <w:t>Bencomo, en el expediente anteriormente indicado, emite el siguiente informe conformado por el Secretario General Octavio Manuel Fernández Hernández:</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pStyle w:val="Ttulo4"/>
        <w:ind w:left="274" w:right="463"/>
      </w:pPr>
      <w:r>
        <w:rPr>
          <w:b w:val="0"/>
          <w:sz w:val="24"/>
        </w:rPr>
        <w:t xml:space="preserve"> </w:t>
      </w:r>
      <w:r>
        <w:t>ANTECEDENTES</w:t>
      </w:r>
      <w:r>
        <w:rPr>
          <w:rFonts w:ascii="Times New Roman" w:eastAsia="Times New Roman" w:hAnsi="Times New Roman" w:cs="Times New Roman"/>
          <w:b w:val="0"/>
          <w:sz w:val="24"/>
        </w:rP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2452" name="Group 3924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030" name="Rectangle 9030"/>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031" name="Rectangle 9031"/>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032" name="Rectangle 9032"/>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46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2452" style="width:18.7031pt;height:260.874pt;position:absolute;mso-position-horizontal-relative:page;mso-position-horizontal:absolute;margin-left:662.928pt;mso-position-vertical-relative:page;margin-top:512.046pt;" coordsize="2375,33130">
                <v:rect id="Rectangle 9030"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03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03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350 </w:t>
                        </w:r>
                      </w:p>
                    </w:txbxContent>
                  </v:textbox>
                </v:rect>
                <w10:wrap type="square"/>
              </v:group>
            </w:pict>
          </mc:Fallback>
        </mc:AlternateContent>
      </w:r>
      <w:r>
        <w:t>Visto el expediente número 3101/2023 que se tramita en esta Corporación en relación a la aprobación del Pla</w:t>
      </w:r>
      <w:r>
        <w:t>n Especial de ordenación del Parque Periurbano de Pasacola encomendado a Gesplan SA por acuerdo del Pleno de fecha 30 de marzo de 2023, para el desarrollo de la ordenación pormenorizada atendiendo a las directrices y criterios de ordenación establecidos en</w:t>
      </w:r>
      <w:r>
        <w:t xml:space="preserve"> el vigente Plan General de Ordenación aprobado definitivamente el 10 de noviembre de 2006 y publicado el 10 de mayo de 2007. </w:t>
      </w:r>
    </w:p>
    <w:p w:rsidR="00025683" w:rsidRDefault="007C2AAB">
      <w:pPr>
        <w:ind w:left="14" w:right="200"/>
      </w:pPr>
      <w:r>
        <w:t>Visto que con fecha 23 de enero de 2025 se dictó la Resolución n.º 15, en virtud de la cual se inició el procedimiento de evaluac</w:t>
      </w:r>
      <w:r>
        <w:t>ión ambiental estratégica ordinaria relativo al Plan Especial Parque Periurbano Pasacola, en el término municipal de Candelaria y se sometió a consultas de las administraciones públicas afectadas y de las personas interesadas el documento inicial estratégi</w:t>
      </w:r>
      <w:r>
        <w:t xml:space="preserve">co y el borrador del citado instrumento de ordenación urbanística. Se publicó anuncio en el Boletín Oficial de Canarias (BOC nº 26, de 6 de febrero de 2025) y en la dirección web del Gobierno de Canarias. </w:t>
      </w:r>
    </w:p>
    <w:p w:rsidR="00025683" w:rsidRDefault="007C2AAB">
      <w:pPr>
        <w:spacing w:after="0" w:line="259" w:lineRule="auto"/>
        <w:ind w:left="14" w:firstLine="0"/>
        <w:jc w:val="left"/>
      </w:pPr>
      <w:r>
        <w:t xml:space="preserve"> </w:t>
      </w:r>
    </w:p>
    <w:p w:rsidR="00025683" w:rsidRDefault="007C2AAB">
      <w:pPr>
        <w:ind w:left="14" w:right="200"/>
      </w:pPr>
      <w:r>
        <w:t>Visto que mediante resolución de La Comisión Aut</w:t>
      </w:r>
      <w:r>
        <w:t>onómica de Evaluación Ambiental, en sesión celebrada el 24 de abril de 2025, se acordó formular, el DOCUMENTO DE ALCANCE en el procedimiento de la Evaluación Ambiental Estratégica Ordinaria del Plan Especial de Ordenación del Parque Periurbano de Pasacola,</w:t>
      </w:r>
      <w:r>
        <w:t xml:space="preserve"> en el Término Municipal de Candelaria que se incorpora como Anexo. </w:t>
      </w:r>
    </w:p>
    <w:p w:rsidR="00025683" w:rsidRDefault="007C2AAB">
      <w:pPr>
        <w:spacing w:after="0" w:line="259" w:lineRule="auto"/>
        <w:ind w:left="14" w:firstLine="0"/>
        <w:jc w:val="left"/>
      </w:pPr>
      <w:r>
        <w:t xml:space="preserve"> </w:t>
      </w:r>
    </w:p>
    <w:p w:rsidR="00025683" w:rsidRDefault="007C2AAB">
      <w:pPr>
        <w:ind w:left="14" w:right="200"/>
      </w:pPr>
      <w:r>
        <w:t xml:space="preserve">Vista la documentación que obra en el expediente para la aprobación inicial de este Plan Especial y que son los siguientes: </w:t>
      </w:r>
    </w:p>
    <w:p w:rsidR="00025683" w:rsidRDefault="007C2AAB">
      <w:pPr>
        <w:spacing w:after="0" w:line="259" w:lineRule="auto"/>
        <w:ind w:left="14" w:firstLine="0"/>
        <w:jc w:val="left"/>
      </w:pPr>
      <w:r>
        <w:t xml:space="preserve"> </w:t>
      </w:r>
    </w:p>
    <w:p w:rsidR="00025683" w:rsidRDefault="007C2AAB">
      <w:pPr>
        <w:ind w:left="14" w:right="200"/>
      </w:pPr>
      <w:r>
        <w:t xml:space="preserve">Documento de Información: </w:t>
      </w:r>
    </w:p>
    <w:p w:rsidR="00025683" w:rsidRDefault="007C2AAB">
      <w:pPr>
        <w:ind w:left="14" w:right="200"/>
      </w:pPr>
      <w:r>
        <w:t xml:space="preserve">Tomo I.A Memoria de Información y Diagnóstico </w:t>
      </w:r>
    </w:p>
    <w:p w:rsidR="00025683" w:rsidRDefault="007C2AAB">
      <w:pPr>
        <w:ind w:left="14" w:right="200"/>
      </w:pPr>
      <w:r>
        <w:t xml:space="preserve">Tomo I.B.1 Planos de Información </w:t>
      </w:r>
    </w:p>
    <w:p w:rsidR="00025683" w:rsidRDefault="007C2AAB">
      <w:pPr>
        <w:ind w:left="14" w:right="200"/>
      </w:pPr>
      <w:r>
        <w:t xml:space="preserve">Tomo I.B.2 Planos de Diagnóstico </w:t>
      </w:r>
    </w:p>
    <w:p w:rsidR="00025683" w:rsidRDefault="007C2AAB">
      <w:pPr>
        <w:spacing w:after="0" w:line="259" w:lineRule="auto"/>
        <w:ind w:left="14" w:firstLine="0"/>
        <w:jc w:val="left"/>
      </w:pPr>
      <w:r>
        <w:t xml:space="preserve"> </w:t>
      </w:r>
    </w:p>
    <w:p w:rsidR="00025683" w:rsidRDefault="007C2AAB">
      <w:pPr>
        <w:ind w:left="14" w:right="200"/>
      </w:pPr>
      <w:r>
        <w:t xml:space="preserve">Anexo I Tomo I Análisis Histórico  </w:t>
      </w:r>
    </w:p>
    <w:p w:rsidR="00025683" w:rsidRDefault="007C2AAB">
      <w:pPr>
        <w:ind w:left="14" w:right="200"/>
      </w:pPr>
      <w:r>
        <w:t xml:space="preserve">Anexo II Tomo I Análisis Patrimonial  </w:t>
      </w:r>
    </w:p>
    <w:p w:rsidR="00025683" w:rsidRDefault="007C2AAB">
      <w:pPr>
        <w:ind w:left="14" w:right="200"/>
      </w:pPr>
      <w:r>
        <w:t>Anexo III Tomo I Análisis Socioeconómico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t xml:space="preserve">Tomo II.B Planos de Ordenación  </w:t>
      </w:r>
    </w:p>
    <w:p w:rsidR="00025683" w:rsidRDefault="007C2AAB">
      <w:pPr>
        <w:ind w:left="14" w:right="200"/>
      </w:pPr>
      <w:r>
        <w:t xml:space="preserve">Tomo II.C Normativa  </w:t>
      </w:r>
    </w:p>
    <w:p w:rsidR="00025683" w:rsidRDefault="007C2AAB">
      <w:pPr>
        <w:ind w:left="14" w:right="200"/>
      </w:pPr>
      <w:r>
        <w:t xml:space="preserve">Tomo II.D Informe de Sostenibilidad Económica  </w:t>
      </w:r>
    </w:p>
    <w:p w:rsidR="00025683" w:rsidRDefault="007C2AAB">
      <w:pPr>
        <w:ind w:left="14" w:right="200"/>
      </w:pPr>
      <w:r>
        <w:t>Anexo I Tomo II Criterios de diseño para el Parque Periurbano de Pasacol</w:t>
      </w:r>
      <w:r>
        <w:t xml:space="preserve">a.  </w:t>
      </w:r>
    </w:p>
    <w:p w:rsidR="00025683" w:rsidRDefault="007C2AAB">
      <w:pPr>
        <w:spacing w:after="0" w:line="259" w:lineRule="auto"/>
        <w:ind w:left="14" w:firstLine="0"/>
        <w:jc w:val="left"/>
      </w:pP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 xml:space="preserve">Tomo III.B Planos de Información Ambiental  </w:t>
      </w:r>
    </w:p>
    <w:p w:rsidR="00025683" w:rsidRDefault="007C2AAB">
      <w:pPr>
        <w:ind w:left="14" w:right="1714"/>
      </w:pPr>
      <w:r>
        <w:t xml:space="preserve">Anexo I Tomo III Resumen no Técnico del Estudio Ambiental Estratégico  Anexo II Tomo III Análisis de Integración Paisajística. </w:t>
      </w:r>
    </w:p>
    <w:p w:rsidR="00025683" w:rsidRDefault="007C2AAB">
      <w:pPr>
        <w:spacing w:after="0" w:line="259" w:lineRule="auto"/>
        <w:ind w:left="14" w:firstLine="0"/>
        <w:jc w:val="left"/>
      </w:pPr>
      <w:r>
        <w:t xml:space="preserve"> </w:t>
      </w:r>
    </w:p>
    <w:p w:rsidR="00025683" w:rsidRDefault="007C2AAB">
      <w:pPr>
        <w:ind w:left="14" w:right="200"/>
      </w:pPr>
      <w:r>
        <w:t>Consta e</w:t>
      </w:r>
      <w:r>
        <w:t xml:space="preserve">n el expediente informe técnico emitido por la Arquitecta Municipal de fecha 15/12/2025 que transcrito literalmente dice: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2128" name="Group 3921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142" name="Rectangle 9142"/>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143" name="Rectangle 9143"/>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144" name="Rectangle 9144"/>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47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2128" style="width:18.7031pt;height:260.874pt;position:absolute;mso-position-horizontal-relative:page;mso-position-horizontal:absolute;margin-left:662.928pt;mso-position-vertical-relative:page;margin-top:512.046pt;" coordsize="2375,33130">
                <v:rect id="Rectangle 9142"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14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14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350 </w:t>
                        </w:r>
                      </w:p>
                    </w:txbxContent>
                  </v:textbox>
                </v:rect>
                <w10:wrap type="square"/>
              </v:group>
            </w:pict>
          </mc:Fallback>
        </mc:AlternateContent>
      </w:r>
      <w:r>
        <w:t xml:space="preserve">“…Visto el expediente antedicho, Nayra Guzmán Hernández, arquitecta municipal, emite el siguiente informe: </w:t>
      </w:r>
    </w:p>
    <w:p w:rsidR="00025683" w:rsidRDefault="007C2AAB">
      <w:pPr>
        <w:spacing w:after="0" w:line="259" w:lineRule="auto"/>
        <w:ind w:left="14" w:firstLine="0"/>
        <w:jc w:val="left"/>
      </w:pPr>
      <w:r>
        <w:t xml:space="preserve"> </w:t>
      </w:r>
    </w:p>
    <w:p w:rsidR="00025683" w:rsidRDefault="007C2AAB">
      <w:pPr>
        <w:ind w:left="14" w:right="200"/>
      </w:pPr>
      <w:r>
        <w:t xml:space="preserve">ANTECEDENTES </w:t>
      </w:r>
    </w:p>
    <w:p w:rsidR="00025683" w:rsidRDefault="007C2AAB">
      <w:pPr>
        <w:spacing w:after="0" w:line="259" w:lineRule="auto"/>
        <w:ind w:left="14" w:firstLine="0"/>
        <w:jc w:val="left"/>
      </w:pPr>
      <w:r>
        <w:t xml:space="preserve"> </w:t>
      </w:r>
    </w:p>
    <w:p w:rsidR="00025683" w:rsidRDefault="007C2AAB">
      <w:pPr>
        <w:ind w:left="14" w:right="200"/>
      </w:pPr>
      <w:r>
        <w:t>Con fecha 23 de enero de 2025 se dic</w:t>
      </w:r>
      <w:r>
        <w:t>tó la Resolución n.º 15, en virtud de la cual se inició el procedimiento de evaluación ambiental estratégica ordinaria relativo al Plan Especial Parque Periurbano Pasacola, en el término municipal de Candelaria y se sometió a consultas de las administracio</w:t>
      </w:r>
      <w:r>
        <w:t>nes públicas afectadas y de las personas interesadas el documento inicial estratégico y el borrador del citado instrumento de ordenación urbanística. Se publicó anuncio en el Boletín Oficial de Canarias (BOC nº 26, de 6 de febrero de 2025) y en la direcció</w:t>
      </w:r>
      <w:r>
        <w:t xml:space="preserve">n web del Gobierno de Canarias. </w:t>
      </w:r>
    </w:p>
    <w:p w:rsidR="00025683" w:rsidRDefault="007C2AAB">
      <w:pPr>
        <w:ind w:left="14" w:right="200"/>
      </w:pPr>
      <w:r>
        <w:t>Cabe destacar el informe de la Dirección Insular de Planificación Territorial, Paisaje y Patrimonio Histórico del Cabildo Insular de Tenerife, que informa en relación con las competencias en materia de patrimonio histórico:</w:t>
      </w:r>
      <w:r>
        <w:t xml:space="preserve"> </w:t>
      </w:r>
    </w:p>
    <w:p w:rsidR="00025683" w:rsidRDefault="007C2AAB">
      <w:pPr>
        <w:spacing w:after="0" w:line="259" w:lineRule="auto"/>
        <w:ind w:left="14" w:firstLine="0"/>
        <w:jc w:val="left"/>
      </w:pPr>
      <w:r>
        <w:t xml:space="preserve"> </w:t>
      </w:r>
    </w:p>
    <w:p w:rsidR="00025683" w:rsidRDefault="007C2AAB">
      <w:pPr>
        <w:ind w:left="14" w:right="200"/>
      </w:pPr>
      <w:r>
        <w:t>“La zona de Pasacola se incluyó expresamente en la delimitación del Camino de Candelaria precisamente por sus elementos patrimoniales presentes, por su valor cultural y ambiental conformado por antiguos bancales de cultivo hoy en cultivo y por constitu</w:t>
      </w:r>
      <w:r>
        <w:t xml:space="preserve">ir un paisaje casi prístino, muy poco alterado y con una calidad visual y patrimonial de primer orden.  </w:t>
      </w:r>
    </w:p>
    <w:p w:rsidR="00025683" w:rsidRDefault="007C2AAB">
      <w:pPr>
        <w:ind w:left="14" w:right="200"/>
      </w:pPr>
      <w:r>
        <w:t>Frente a esa realidad, algunas de las alternativas de ordenación plantean una transformación del mismo, introduciendo zonas de juegos infantiles, apert</w:t>
      </w:r>
      <w:r>
        <w:t>ura de nuevos senderos, miradores y, en general, elementos invasivos que transforman un espacio con un valor tradicional de primer orden y que generan un impacto considerable. La propia idea de transformar la actual caja del camino o la creación de un espa</w:t>
      </w:r>
      <w:r>
        <w:t xml:space="preserve">cio de aparcamiento vulneran de manera directa y contundente la imagen patrimonial que hoy tiene todo este sector.  </w:t>
      </w:r>
    </w:p>
    <w:p w:rsidR="00025683" w:rsidRDefault="007C2AAB">
      <w:pPr>
        <w:ind w:left="14" w:right="200"/>
      </w:pPr>
      <w:r>
        <w:t xml:space="preserve">Por este motivo y dado que se trata de un ámbito en el que las obras y actuaciones que se realicen requieren de la preceptiva autorización </w:t>
      </w:r>
      <w:r>
        <w:t>del Cabildo Insular, se advierte que la mayoría de las intervenciones previstas en las Alternativas 2 y 3 no responden a los criterios de intervención que utiliza esta Unidad Técnica y, por lo tanto, se consideran inadecuadas para el espacio que nos ocupa.</w:t>
      </w:r>
      <w:r>
        <w:t xml:space="preserve"> Posiblemente, el mismo concepto de parque periurbano no parece encajar en este ámbito, sensiblemente alejado de cualquier núcleo urbano y con unos rasgos que invitan a no intervenir en el mismo o hacerlo mínimamente. Ciertamente, se trata de un ámbito en </w:t>
      </w:r>
      <w:r>
        <w:t xml:space="preserve">el que debe primar el principio de intervención mínima expresado en la Alternativa 1, pero reduciendo incluso alguna de las actuaciones que propone.” </w:t>
      </w:r>
    </w:p>
    <w:p w:rsidR="00025683" w:rsidRDefault="007C2AAB">
      <w:pPr>
        <w:spacing w:after="0" w:line="259" w:lineRule="auto"/>
        <w:ind w:left="14" w:firstLine="0"/>
        <w:jc w:val="left"/>
      </w:pPr>
      <w:r>
        <w:t xml:space="preserve"> </w:t>
      </w:r>
    </w:p>
    <w:p w:rsidR="00025683" w:rsidRDefault="007C2AAB">
      <w:pPr>
        <w:ind w:left="14" w:right="200"/>
      </w:pPr>
      <w:r>
        <w:t xml:space="preserve">La Comisión Autonómica de Evaluación Ambiental, en sesión celebrada el 24 de abril de 2025, acordó formular, el DOCUMENTO DE ALCANCE en el procedimiento de la Evaluación Ambiental Estratégica Ordinaria del Plan Especial de Ordenación del Parque Periurbano </w:t>
      </w:r>
      <w:r>
        <w:t xml:space="preserve">de Pasacola, en el Término Municipal de Candelaria que se incorpora como Anexo. </w:t>
      </w:r>
    </w:p>
    <w:p w:rsidR="00025683" w:rsidRDefault="007C2AAB">
      <w:pPr>
        <w:spacing w:after="0" w:line="259" w:lineRule="auto"/>
        <w:ind w:left="14" w:firstLine="0"/>
        <w:jc w:val="left"/>
      </w:pPr>
      <w:r>
        <w:t xml:space="preserve"> </w:t>
      </w:r>
    </w:p>
    <w:p w:rsidR="00025683" w:rsidRDefault="007C2AAB">
      <w:pPr>
        <w:ind w:left="14" w:right="200"/>
      </w:pPr>
      <w:r>
        <w:t xml:space="preserve">DOCUMENTACIÓN INTEGRANTE DE LA APROBACION INICIAL </w:t>
      </w:r>
    </w:p>
    <w:p w:rsidR="00025683" w:rsidRDefault="007C2AAB">
      <w:pPr>
        <w:spacing w:after="0" w:line="259" w:lineRule="auto"/>
        <w:ind w:left="14" w:firstLine="0"/>
        <w:jc w:val="left"/>
      </w:pPr>
      <w:r>
        <w:t xml:space="preserve"> </w:t>
      </w:r>
    </w:p>
    <w:p w:rsidR="00025683" w:rsidRDefault="007C2AAB">
      <w:pPr>
        <w:ind w:left="14" w:right="200"/>
      </w:pPr>
      <w:r>
        <w:t>Con fecha 3 de octubre de 2025 y con registro de entrada 2025-E-RC-9385 Ainoha Castro Díaz, en representación de GESPLAN</w:t>
      </w:r>
      <w:r>
        <w:t xml:space="preserve"> S.A, aporta los siguientes documentos, para la aprobación inicial:  </w:t>
      </w:r>
    </w:p>
    <w:p w:rsidR="00025683" w:rsidRDefault="007C2AAB">
      <w:pPr>
        <w:ind w:left="14" w:right="200"/>
      </w:pPr>
      <w:r>
        <w:t xml:space="preserve">Los documentos que integran este Plan Especial son los siguientes: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2655" name="Group 39265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262" name="Rectangle 9262"/>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263" name="Rectangle 9263"/>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264" name="Rectangle 9264"/>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48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2655" style="width:18.7031pt;height:260.874pt;position:absolute;mso-position-horizontal-relative:page;mso-position-horizontal:absolute;margin-left:662.928pt;mso-position-vertical-relative:page;margin-top:512.046pt;" coordsize="2375,33130">
                <v:rect id="Rectangle 9262"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26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26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350 </w:t>
                        </w:r>
                      </w:p>
                    </w:txbxContent>
                  </v:textbox>
                </v:rect>
                <w10:wrap type="square"/>
              </v:group>
            </w:pict>
          </mc:Fallback>
        </mc:AlternateContent>
      </w:r>
      <w:r>
        <w:t xml:space="preserve"> </w:t>
      </w:r>
    </w:p>
    <w:p w:rsidR="00025683" w:rsidRDefault="007C2AAB">
      <w:pPr>
        <w:ind w:left="14" w:right="200"/>
      </w:pPr>
      <w:r>
        <w:t xml:space="preserve">Documento de Información: </w:t>
      </w:r>
    </w:p>
    <w:p w:rsidR="00025683" w:rsidRDefault="007C2AAB">
      <w:pPr>
        <w:ind w:left="14" w:right="200"/>
      </w:pPr>
      <w:r>
        <w:t xml:space="preserve">Tomo I.A Memoria de Información y Diagnóstico </w:t>
      </w:r>
    </w:p>
    <w:p w:rsidR="00025683" w:rsidRDefault="007C2AAB">
      <w:pPr>
        <w:ind w:left="14" w:right="200"/>
      </w:pPr>
      <w:r>
        <w:t xml:space="preserve">Tomo I.B.1 Planos de Información </w:t>
      </w:r>
    </w:p>
    <w:p w:rsidR="00025683" w:rsidRDefault="007C2AAB">
      <w:pPr>
        <w:ind w:left="14" w:right="200"/>
      </w:pPr>
      <w:r>
        <w:t xml:space="preserve">Tomo I.B.2 Planos de Diagnóstico </w:t>
      </w:r>
    </w:p>
    <w:p w:rsidR="00025683" w:rsidRDefault="007C2AAB">
      <w:pPr>
        <w:spacing w:after="0" w:line="259" w:lineRule="auto"/>
        <w:ind w:left="14" w:firstLine="0"/>
        <w:jc w:val="left"/>
      </w:pPr>
      <w:r>
        <w:t xml:space="preserve"> </w:t>
      </w:r>
    </w:p>
    <w:p w:rsidR="00025683" w:rsidRDefault="007C2AAB">
      <w:pPr>
        <w:ind w:left="14" w:right="200"/>
      </w:pPr>
      <w:r>
        <w:t>Anexo I Tomo I A</w:t>
      </w:r>
      <w:r>
        <w:t xml:space="preserve">nálisis Histórico  </w:t>
      </w:r>
    </w:p>
    <w:p w:rsidR="00025683" w:rsidRDefault="007C2AAB">
      <w:pPr>
        <w:ind w:left="14" w:right="200"/>
      </w:pPr>
      <w:r>
        <w:t xml:space="preserve">Anexo II Tomo I Análisis Patrimonial  </w:t>
      </w:r>
    </w:p>
    <w:p w:rsidR="00025683" w:rsidRDefault="007C2AAB">
      <w:pPr>
        <w:ind w:left="14" w:right="200"/>
      </w:pPr>
      <w:r>
        <w:t xml:space="preserve">Anexo III Tomo I Análisis Socioeconómico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t xml:space="preserve">Tomo II.B Planos de Ordenación  </w:t>
      </w:r>
    </w:p>
    <w:p w:rsidR="00025683" w:rsidRDefault="007C2AAB">
      <w:pPr>
        <w:ind w:left="14" w:right="200"/>
      </w:pPr>
      <w:r>
        <w:t xml:space="preserve">Tomo II.C Normativa  </w:t>
      </w:r>
    </w:p>
    <w:p w:rsidR="00025683" w:rsidRDefault="007C2AAB">
      <w:pPr>
        <w:ind w:left="14" w:right="200"/>
      </w:pPr>
      <w:r>
        <w:t>Tomo II.D Info</w:t>
      </w:r>
      <w:r>
        <w:t xml:space="preserve">rme de Sostenibilidad Económica  </w:t>
      </w:r>
    </w:p>
    <w:p w:rsidR="00025683" w:rsidRDefault="007C2AAB">
      <w:pPr>
        <w:ind w:left="14" w:right="200"/>
      </w:pPr>
      <w:r>
        <w:t xml:space="preserve">Anexo I Tomo II Criterios de diseño para el Parque Periurbano de Pasacola.  </w:t>
      </w:r>
    </w:p>
    <w:p w:rsidR="00025683" w:rsidRDefault="007C2AAB">
      <w:pPr>
        <w:spacing w:after="0" w:line="259" w:lineRule="auto"/>
        <w:ind w:left="14" w:firstLine="0"/>
        <w:jc w:val="left"/>
      </w:pP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 xml:space="preserve">Tomo III.B Planos de Información Ambiental  </w:t>
      </w:r>
    </w:p>
    <w:p w:rsidR="00025683" w:rsidRDefault="007C2AAB">
      <w:pPr>
        <w:ind w:left="14" w:right="200"/>
      </w:pPr>
      <w:r>
        <w:t xml:space="preserve">Anexo I Tomo III Resumen no Técnico del Estudio Ambiental Estratégico  </w:t>
      </w:r>
    </w:p>
    <w:p w:rsidR="00025683" w:rsidRDefault="007C2AAB">
      <w:pPr>
        <w:ind w:left="14" w:right="200"/>
      </w:pPr>
      <w:r>
        <w:t xml:space="preserve">Anexo II Tomo III Análisis de Integración Paisajística </w:t>
      </w:r>
    </w:p>
    <w:p w:rsidR="00025683" w:rsidRDefault="007C2AAB">
      <w:pPr>
        <w:spacing w:after="0" w:line="259" w:lineRule="auto"/>
        <w:ind w:left="14" w:firstLine="0"/>
        <w:jc w:val="left"/>
      </w:pPr>
      <w:r>
        <w:t xml:space="preserve"> </w:t>
      </w:r>
    </w:p>
    <w:p w:rsidR="00025683" w:rsidRDefault="007C2AAB">
      <w:pPr>
        <w:ind w:left="14" w:right="200"/>
      </w:pPr>
      <w:r>
        <w:t xml:space="preserve">OBJETO DE LA MODIFICACION  </w:t>
      </w:r>
    </w:p>
    <w:p w:rsidR="00025683" w:rsidRDefault="007C2AAB">
      <w:pPr>
        <w:spacing w:after="0" w:line="259" w:lineRule="auto"/>
        <w:ind w:left="14" w:firstLine="0"/>
        <w:jc w:val="left"/>
      </w:pPr>
      <w:r>
        <w:t xml:space="preserve"> </w:t>
      </w:r>
    </w:p>
    <w:p w:rsidR="00025683" w:rsidRDefault="007C2AAB">
      <w:pPr>
        <w:ind w:left="14" w:right="200"/>
      </w:pPr>
      <w:r>
        <w:t>La finalidad del presente Plan Especial de Ordenación es desarrollar la ordenación pormenorizada</w:t>
      </w:r>
      <w:r>
        <w:t xml:space="preserve"> del Parque Periurbano de Pasacola atendiendo a las directrices y criterios de ordenación establecidos desde el vigente Plan General de Ordenación, que se pueden sintetizar en:  </w:t>
      </w:r>
    </w:p>
    <w:p w:rsidR="00025683" w:rsidRDefault="007C2AAB">
      <w:pPr>
        <w:spacing w:after="0" w:line="259" w:lineRule="auto"/>
        <w:ind w:left="14" w:firstLine="0"/>
        <w:jc w:val="left"/>
      </w:pPr>
      <w:r>
        <w:t xml:space="preserve"> </w:t>
      </w:r>
    </w:p>
    <w:p w:rsidR="00025683" w:rsidRDefault="007C2AAB">
      <w:pPr>
        <w:numPr>
          <w:ilvl w:val="0"/>
          <w:numId w:val="14"/>
        </w:numPr>
        <w:ind w:right="200" w:hanging="137"/>
      </w:pPr>
      <w:r>
        <w:t>Recuperación de la estructura de bancales, los caminos y el sistema de rieg</w:t>
      </w:r>
      <w:r>
        <w:t xml:space="preserve">o existente.  </w:t>
      </w:r>
    </w:p>
    <w:p w:rsidR="00025683" w:rsidRDefault="007C2AAB">
      <w:pPr>
        <w:numPr>
          <w:ilvl w:val="0"/>
          <w:numId w:val="14"/>
        </w:numPr>
        <w:ind w:right="200" w:hanging="137"/>
      </w:pPr>
      <w:r>
        <w:t xml:space="preserve">Recuperación de las edificaciones tradicionales existentes.  </w:t>
      </w:r>
    </w:p>
    <w:p w:rsidR="00025683" w:rsidRDefault="007C2AAB">
      <w:pPr>
        <w:numPr>
          <w:ilvl w:val="0"/>
          <w:numId w:val="14"/>
        </w:numPr>
        <w:ind w:right="200" w:hanging="137"/>
      </w:pPr>
      <w:r>
        <w:t xml:space="preserve">Las nuevas edificaciones seguirán las pautas de la arquitectura tradicional de la zona.  </w:t>
      </w:r>
    </w:p>
    <w:p w:rsidR="00025683" w:rsidRDefault="007C2AAB">
      <w:pPr>
        <w:numPr>
          <w:ilvl w:val="0"/>
          <w:numId w:val="14"/>
        </w:numPr>
        <w:ind w:right="200" w:hanging="137"/>
      </w:pPr>
      <w:r>
        <w:t xml:space="preserve">Recuperación de los cultivos agrícolas tradicionales del Municipio.  </w:t>
      </w:r>
    </w:p>
    <w:p w:rsidR="00025683" w:rsidRDefault="007C2AAB">
      <w:pPr>
        <w:numPr>
          <w:ilvl w:val="0"/>
          <w:numId w:val="14"/>
        </w:numPr>
        <w:spacing w:after="3" w:line="238" w:lineRule="auto"/>
        <w:ind w:right="200" w:hanging="137"/>
      </w:pPr>
      <w:r>
        <w:t>El aparcamiento se situará junto al acceso entre vegetación de porte.</w:t>
      </w:r>
      <w:r>
        <w:rPr>
          <w:rFonts w:ascii="Times New Roman" w:eastAsia="Times New Roman" w:hAnsi="Times New Roman" w:cs="Times New Roman"/>
          <w:sz w:val="24"/>
        </w:rPr>
        <w:t xml:space="preserve"> </w:t>
      </w:r>
      <w:r>
        <w:t xml:space="preserve">- El arbolado a introducir serán especies canarias (Drago, Palmera, Mocán, etc.)  - Mejora del viario de acceso.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2442" name="Group 3924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360" name="Rectangle 9360"/>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361" name="Rectangle 9361"/>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362" name="Rectangle 9362"/>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49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2442" style="width:18.7031pt;height:260.874pt;position:absolute;mso-position-horizontal-relative:page;mso-position-horizontal:absolute;margin-left:662.928pt;mso-position-vertical-relative:page;margin-top:512.046pt;" coordsize="2375,33130">
                <v:rect id="Rectangle 9360"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36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36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350 </w:t>
                        </w:r>
                      </w:p>
                    </w:txbxContent>
                  </v:textbox>
                </v:rect>
                <w10:wrap type="square"/>
              </v:group>
            </w:pict>
          </mc:Fallback>
        </mc:AlternateContent>
      </w:r>
      <w:r>
        <w:t>Se establece, por lo tanto, para esta actuación un doble objetivo ligado, por una parte, al especial interé</w:t>
      </w:r>
      <w:r>
        <w:t>s de recuperación de los bancales de cultivo y las edificaciones tradicionales existentes propiciando la protección de elementos de interés y de su entorno inmediato y, por otra parte, la implantación de actividades que satisfagan las necesidades de ocio y</w:t>
      </w:r>
      <w:r>
        <w:t xml:space="preserve"> esparcimiento de los vecinos de Candelaria. </w:t>
      </w:r>
    </w:p>
    <w:p w:rsidR="00025683" w:rsidRDefault="007C2AAB">
      <w:pPr>
        <w:spacing w:after="0" w:line="259" w:lineRule="auto"/>
        <w:ind w:left="14" w:firstLine="0"/>
        <w:jc w:val="left"/>
      </w:pPr>
      <w:r>
        <w:t xml:space="preserve"> </w:t>
      </w:r>
    </w:p>
    <w:p w:rsidR="00025683" w:rsidRDefault="007C2AAB">
      <w:pPr>
        <w:ind w:left="14" w:right="200"/>
      </w:pPr>
      <w:r>
        <w:t>Su delimitación es coincidente con la zona agrícola tradicional abancalada situada bajo el camino de Candelaria entre el Barranco de Chajarche y el Barranco de Arepo. Alberga el antiguo caserío de Pasacola, q</w:t>
      </w:r>
      <w:r>
        <w:t xml:space="preserve">ue se asentaba cerca de Igueste, en el antiguo Camino Real, que lo comunica con Barranco Hondo, contando con una extensión de 32.586,50, m2s.  </w:t>
      </w:r>
    </w:p>
    <w:p w:rsidR="00025683" w:rsidRDefault="007C2AAB">
      <w:pPr>
        <w:spacing w:after="0" w:line="259" w:lineRule="auto"/>
        <w:ind w:left="14" w:firstLine="0"/>
        <w:jc w:val="left"/>
      </w:pPr>
      <w:r>
        <w:t xml:space="preserve"> </w:t>
      </w:r>
    </w:p>
    <w:p w:rsidR="00025683" w:rsidRDefault="007C2AAB">
      <w:pPr>
        <w:ind w:left="14" w:right="200"/>
      </w:pPr>
      <w:r>
        <w:t>Este ámbito se encontraba constituido por varios edificios, con sus corrales, cuevas y casas de típica arquite</w:t>
      </w:r>
      <w:r>
        <w:t xml:space="preserve">ctura canaria, estaban construidas con piedras y barro o argamasa, hoy en estado ruinoso y de abandono.  </w:t>
      </w:r>
    </w:p>
    <w:p w:rsidR="00025683" w:rsidRDefault="007C2AAB">
      <w:pPr>
        <w:ind w:left="14" w:right="200"/>
      </w:pPr>
      <w:r>
        <w:t>Su valor e interés histórico ha llevado a integrar el ámbito en el Bien de Interés Cultural en categoría de Sitio Histórico del Camino La Candelaria (</w:t>
      </w:r>
      <w:r>
        <w:t>DECRETO 227/2008, de 25 de noviembre, por el que se declara Bien de Interés Cultural, con categoría de Sitio Histórico “El Camino de Candelaria”, situado entre los términos municipales de El Rosario y Candelaria, isla de Tenerife).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826" w:firstLine="0"/>
        <w:jc w:val="right"/>
      </w:pPr>
      <w:r>
        <w:rPr>
          <w:noProof/>
        </w:rPr>
        <w:drawing>
          <wp:inline distT="0" distB="0" distL="0" distR="0">
            <wp:extent cx="4876672" cy="3238562"/>
            <wp:effectExtent l="0" t="0" r="0" b="0"/>
            <wp:docPr id="9396" name="Picture 9396"/>
            <wp:cNvGraphicFramePr/>
            <a:graphic xmlns:a="http://schemas.openxmlformats.org/drawingml/2006/main">
              <a:graphicData uri="http://schemas.openxmlformats.org/drawingml/2006/picture">
                <pic:pic xmlns:pic="http://schemas.openxmlformats.org/drawingml/2006/picture">
                  <pic:nvPicPr>
                    <pic:cNvPr id="9396" name="Picture 9396"/>
                    <pic:cNvPicPr/>
                  </pic:nvPicPr>
                  <pic:blipFill>
                    <a:blip r:embed="rId57"/>
                    <a:stretch>
                      <a:fillRect/>
                    </a:stretch>
                  </pic:blipFill>
                  <pic:spPr>
                    <a:xfrm>
                      <a:off x="0" y="0"/>
                      <a:ext cx="4876672" cy="3238562"/>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 xml:space="preserve">Parque Periurbano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2321" name="Group 3923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401" name="Rectangle 9401"/>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402" name="Rectangle 9402"/>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403" name="Rectangle 9403"/>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50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2321" style="width:18.7031pt;height:260.874pt;position:absolute;mso-position-horizontal-relative:page;mso-position-horizontal:absolute;margin-left:662.928pt;mso-position-vertical-relative:page;margin-top:512.046pt;" coordsize="2375,33130">
                <v:rect id="Rectangle 9401"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40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40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350 </w:t>
                        </w:r>
                      </w:p>
                    </w:txbxContent>
                  </v:textbox>
                </v:rect>
                <w10:wrap type="square"/>
              </v:group>
            </w:pict>
          </mc:Fallback>
        </mc:AlternateContent>
      </w:r>
      <w:r>
        <w:rPr>
          <w:b/>
        </w:rPr>
        <w:t xml:space="preserve"> </w:t>
      </w:r>
    </w:p>
    <w:p w:rsidR="00025683" w:rsidRDefault="007C2AAB">
      <w:pPr>
        <w:spacing w:after="0" w:line="259" w:lineRule="auto"/>
        <w:ind w:left="0" w:right="1915" w:firstLine="0"/>
        <w:jc w:val="right"/>
      </w:pPr>
      <w:r>
        <w:rPr>
          <w:noProof/>
        </w:rPr>
        <w:drawing>
          <wp:inline distT="0" distB="0" distL="0" distR="0">
            <wp:extent cx="4804518" cy="3201735"/>
            <wp:effectExtent l="0" t="0" r="0" b="0"/>
            <wp:docPr id="9398" name="Picture 9398"/>
            <wp:cNvGraphicFramePr/>
            <a:graphic xmlns:a="http://schemas.openxmlformats.org/drawingml/2006/main">
              <a:graphicData uri="http://schemas.openxmlformats.org/drawingml/2006/picture">
                <pic:pic xmlns:pic="http://schemas.openxmlformats.org/drawingml/2006/picture">
                  <pic:nvPicPr>
                    <pic:cNvPr id="9398" name="Picture 9398"/>
                    <pic:cNvPicPr/>
                  </pic:nvPicPr>
                  <pic:blipFill>
                    <a:blip r:embed="rId58"/>
                    <a:stretch>
                      <a:fillRect/>
                    </a:stretch>
                  </pic:blipFill>
                  <pic:spPr>
                    <a:xfrm>
                      <a:off x="0" y="0"/>
                      <a:ext cx="4804518" cy="3201735"/>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12"/>
        <w:ind w:left="14" w:right="197"/>
      </w:pPr>
      <w:r>
        <w:rPr>
          <w:b/>
        </w:rPr>
        <w:t>Suelo rústico de protección cultura. Ámbito del BIC.</w:t>
      </w:r>
      <w:r>
        <w:rPr>
          <w:b/>
        </w:rPr>
        <w:t xml:space="preserve"> </w:t>
      </w:r>
    </w:p>
    <w:p w:rsidR="00025683" w:rsidRDefault="007C2AAB">
      <w:pPr>
        <w:spacing w:after="0" w:line="259" w:lineRule="auto"/>
        <w:ind w:left="-2536" w:right="1071" w:firstLine="0"/>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2119" name="Group 39211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437" name="Rectangle 9437"/>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438" name="Rectangle 9438"/>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439" name="Rectangle 9439"/>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51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2119" style="width:18.7031pt;height:260.874pt;position:absolute;mso-position-horizontal-relative:page;mso-position-horizontal:absolute;margin-left:662.928pt;mso-position-vertical-relative:page;margin-top:512.046pt;" coordsize="2375,33130">
                <v:rect id="Rectangle 9437"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43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43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350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column">
                  <wp:posOffset>8839</wp:posOffset>
                </wp:positionH>
                <wp:positionV relativeFrom="paragraph">
                  <wp:posOffset>-4482867</wp:posOffset>
                </wp:positionV>
                <wp:extent cx="5394171" cy="7790706"/>
                <wp:effectExtent l="0" t="0" r="0" b="0"/>
                <wp:wrapSquare wrapText="bothSides"/>
                <wp:docPr id="392118" name="Group 392118"/>
                <wp:cNvGraphicFramePr/>
                <a:graphic xmlns:a="http://schemas.openxmlformats.org/drawingml/2006/main">
                  <a:graphicData uri="http://schemas.microsoft.com/office/word/2010/wordprocessingGroup">
                    <wpg:wgp>
                      <wpg:cNvGrpSpPr/>
                      <wpg:grpSpPr>
                        <a:xfrm>
                          <a:off x="0" y="0"/>
                          <a:ext cx="5394171" cy="7790706"/>
                          <a:chOff x="0" y="0"/>
                          <a:chExt cx="5394171" cy="7790706"/>
                        </a:xfrm>
                      </wpg:grpSpPr>
                      <pic:pic xmlns:pic="http://schemas.openxmlformats.org/drawingml/2006/picture">
                        <pic:nvPicPr>
                          <pic:cNvPr id="9432" name="Picture 9432"/>
                          <pic:cNvPicPr/>
                        </pic:nvPicPr>
                        <pic:blipFill>
                          <a:blip r:embed="rId59"/>
                          <a:stretch>
                            <a:fillRect/>
                          </a:stretch>
                        </pic:blipFill>
                        <pic:spPr>
                          <a:xfrm>
                            <a:off x="0" y="0"/>
                            <a:ext cx="5383651" cy="4619382"/>
                          </a:xfrm>
                          <a:prstGeom prst="rect">
                            <a:avLst/>
                          </a:prstGeom>
                        </pic:spPr>
                      </pic:pic>
                      <pic:pic xmlns:pic="http://schemas.openxmlformats.org/drawingml/2006/picture">
                        <pic:nvPicPr>
                          <pic:cNvPr id="9434" name="Picture 9434"/>
                          <pic:cNvPicPr/>
                        </pic:nvPicPr>
                        <pic:blipFill>
                          <a:blip r:embed="rId60"/>
                          <a:stretch>
                            <a:fillRect/>
                          </a:stretch>
                        </pic:blipFill>
                        <pic:spPr>
                          <a:xfrm>
                            <a:off x="0" y="4619380"/>
                            <a:ext cx="5394171" cy="3171326"/>
                          </a:xfrm>
                          <a:prstGeom prst="rect">
                            <a:avLst/>
                          </a:prstGeom>
                        </pic:spPr>
                      </pic:pic>
                    </wpg:wgp>
                  </a:graphicData>
                </a:graphic>
              </wp:anchor>
            </w:drawing>
          </mc:Choice>
          <mc:Fallback xmlns:a="http://schemas.openxmlformats.org/drawingml/2006/main">
            <w:pict>
              <v:group id="Group 392118" style="width:424.738pt;height:613.441pt;position:absolute;mso-position-horizontal-relative:text;mso-position-horizontal:absolute;margin-left:0.696014pt;mso-position-vertical-relative:text;margin-top:-352.982pt;" coordsize="53941,77907">
                <v:shape id="Picture 9432" style="position:absolute;width:53836;height:46193;left:0;top:0;" filled="f">
                  <v:imagedata r:id="rId61"/>
                </v:shape>
                <v:shape id="Picture 9434" style="position:absolute;width:53941;height:31713;left:0;top:46193;" filled="f">
                  <v:imagedata r:id="rId62"/>
                </v:shape>
                <w10:wrap type="square"/>
              </v:group>
            </w:pict>
          </mc:Fallback>
        </mc:AlternateContent>
      </w:r>
    </w:p>
    <w:p w:rsidR="00025683" w:rsidRDefault="007C2AAB">
      <w:pPr>
        <w:spacing w:after="0" w:line="259" w:lineRule="auto"/>
        <w:ind w:left="0" w:right="983" w:firstLine="0"/>
        <w:jc w:val="right"/>
      </w:pPr>
      <w:r>
        <w:rPr>
          <w:noProof/>
        </w:rPr>
        <w:drawing>
          <wp:inline distT="0" distB="0" distL="0" distR="0">
            <wp:extent cx="5400985" cy="867066"/>
            <wp:effectExtent l="0" t="0" r="0" b="0"/>
            <wp:docPr id="9541" name="Picture 9541"/>
            <wp:cNvGraphicFramePr/>
            <a:graphic xmlns:a="http://schemas.openxmlformats.org/drawingml/2006/main">
              <a:graphicData uri="http://schemas.openxmlformats.org/drawingml/2006/picture">
                <pic:pic xmlns:pic="http://schemas.openxmlformats.org/drawingml/2006/picture">
                  <pic:nvPicPr>
                    <pic:cNvPr id="9541" name="Picture 9541"/>
                    <pic:cNvPicPr/>
                  </pic:nvPicPr>
                  <pic:blipFill>
                    <a:blip r:embed="rId63"/>
                    <a:stretch>
                      <a:fillRect/>
                    </a:stretch>
                  </pic:blipFill>
                  <pic:spPr>
                    <a:xfrm>
                      <a:off x="0" y="0"/>
                      <a:ext cx="5400985" cy="86706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ALTERNATIVA SELECCIONADA </w:t>
      </w:r>
    </w:p>
    <w:p w:rsidR="00025683" w:rsidRDefault="007C2AAB">
      <w:pPr>
        <w:spacing w:after="0" w:line="259" w:lineRule="auto"/>
        <w:ind w:left="14" w:firstLine="0"/>
        <w:jc w:val="left"/>
      </w:pPr>
      <w:r>
        <w:t xml:space="preserve"> </w:t>
      </w:r>
    </w:p>
    <w:p w:rsidR="00025683" w:rsidRDefault="007C2AAB">
      <w:pPr>
        <w:ind w:left="14" w:right="200"/>
      </w:pPr>
      <w:r>
        <w:t>La propuesta de ordenación para el Parque Periurbano de Pasacola parte de la Alternativa 1 – Un Espacio para la Historia, que plantea la recuperación del ámbito en condiciones lo más cercanas posible a su estado original, concibiéndolo como un espacio de e</w:t>
      </w:r>
      <w:r>
        <w:t xml:space="preserve">sparcimiento al servicio del municipio, en el que se conserven e integren los vestigios del antiguo asentamiento de Pasacola.  </w:t>
      </w:r>
    </w:p>
    <w:p w:rsidR="00025683" w:rsidRDefault="007C2AAB">
      <w:pPr>
        <w:ind w:left="14" w:right="200"/>
      </w:pPr>
      <w:r>
        <w:t xml:space="preserve">Esta propuesta se fundamenta en un modelo de intervención mínima, respetuoso con la memoria histórica y los valores ambientales </w:t>
      </w:r>
      <w:r>
        <w:t>del lugar, que prioriza la restauración del paisaje agrario tradicional y la activación de usos compatibles con su carácter patrimonial y productivo.  El espacio del parque se concibe como un ámbito de regeneración ambiental y patrimonial, diseñado para re</w:t>
      </w:r>
      <w:r>
        <w:t>cuperar y poner en valor tanto los ecosistemas naturales como la memoria histórica del lugar. Este espacio estará abierto a la visita pública y contará con un recorrido interpretativo que permitirá a los visitantes descubrir y comprender los restos históri</w:t>
      </w:r>
      <w:r>
        <w:t xml:space="preserve">cos del antiguo caserío de Pasacola, cuyas huellas forman parte del legado cultural del territorio.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0979" name="Group 3909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544" name="Rectangle 9544"/>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545" name="Rectangle 9545"/>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546" name="Rectangle 9546"/>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w:t>
                              </w:r>
                              <w:r>
                                <w:rPr>
                                  <w:sz w:val="12"/>
                                </w:rPr>
                                <w:t xml:space="preserve">orma esPublico Gestiona | Página 52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0979" style="width:18.7031pt;height:260.874pt;position:absolute;mso-position-horizontal-relative:page;mso-position-horizontal:absolute;margin-left:662.928pt;mso-position-vertical-relative:page;margin-top:512.046pt;" coordsize="2375,33130">
                <v:rect id="Rectangle 9544"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54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54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350 </w:t>
                        </w:r>
                      </w:p>
                    </w:txbxContent>
                  </v:textbox>
                </v:rect>
                <w10:wrap type="square"/>
              </v:group>
            </w:pict>
          </mc:Fallback>
        </mc:AlternateContent>
      </w:r>
      <w:r>
        <w:t>A través de paneles informativos, señalización temática y elementos museográficos al aire libre, de baja intensidad visual, el recorrido ofrecerá una experiencia educativa dirigida a diversos públicos, fomentando</w:t>
      </w:r>
      <w:r>
        <w:t xml:space="preserve"> el conocimiento del patrimonio rural y la relación entre la comunidad y su entorno. Además, el parque integrará áreas de descanso estratégicamente ubicadas, que invitarán a la contemplación y la pausa, ligados al camino tradicional de La Candelaria, refor</w:t>
      </w:r>
      <w:r>
        <w:t xml:space="preserve">zando su dimensión cultural y paisajística.  </w:t>
      </w:r>
    </w:p>
    <w:p w:rsidR="00025683" w:rsidRDefault="007C2AAB">
      <w:pPr>
        <w:ind w:left="14" w:right="200"/>
      </w:pPr>
      <w:r>
        <w:t xml:space="preserve">El diseño del parque priorizará criterios de sostenibilidad, restauración ecológica y accesibilidad universal, de modo que se convierta en un referente de intervención respetuosa con el medio ambiente y con el </w:t>
      </w:r>
      <w:r>
        <w:t>patrimonio material e inmaterial.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De esta manera, se aspira a que el espacio se consolide como un lugar de encuentro, aprendizaje y recreación para la población local y los visitantes, al tiempo que contribuye a la protección y revitalización de los val</w:t>
      </w:r>
      <w:r>
        <w:t xml:space="preserve">ores identitarios del territorio.  </w:t>
      </w:r>
    </w:p>
    <w:p w:rsidR="00025683" w:rsidRDefault="007C2AAB">
      <w:pPr>
        <w:spacing w:after="0" w:line="259" w:lineRule="auto"/>
        <w:ind w:left="14" w:firstLine="0"/>
        <w:jc w:val="left"/>
      </w:pPr>
      <w:r>
        <w:t xml:space="preserve"> </w:t>
      </w:r>
    </w:p>
    <w:p w:rsidR="00025683" w:rsidRDefault="007C2AAB">
      <w:pPr>
        <w:ind w:left="14" w:right="200"/>
      </w:pPr>
      <w:r>
        <w:t xml:space="preserve">Los objetivos que orientan la ordenación se precisan así de la siguiente forma:  </w:t>
      </w:r>
    </w:p>
    <w:p w:rsidR="00025683" w:rsidRDefault="007C2AAB">
      <w:pPr>
        <w:spacing w:after="0" w:line="259" w:lineRule="auto"/>
        <w:ind w:left="14" w:firstLine="0"/>
        <w:jc w:val="left"/>
      </w:pPr>
      <w:r>
        <w:t xml:space="preserve"> </w:t>
      </w:r>
    </w:p>
    <w:p w:rsidR="00025683" w:rsidRDefault="007C2AAB">
      <w:pPr>
        <w:numPr>
          <w:ilvl w:val="0"/>
          <w:numId w:val="15"/>
        </w:numPr>
        <w:ind w:right="200"/>
      </w:pPr>
      <w:r>
        <w:t>Identificar, categorizar y favorecer la conservación y puesta en valor el patrimonio cultural del ámbito de Pasacola, con el fin de de</w:t>
      </w:r>
      <w:r>
        <w:t xml:space="preserve">sarrollar todo su potencial y garantizar un nivel adecuado de conservación, uso y mantenimiento.  </w:t>
      </w:r>
    </w:p>
    <w:p w:rsidR="00025683" w:rsidRDefault="007C2AAB">
      <w:pPr>
        <w:numPr>
          <w:ilvl w:val="0"/>
          <w:numId w:val="15"/>
        </w:numPr>
        <w:ind w:right="200"/>
      </w:pPr>
      <w:r>
        <w:t xml:space="preserve">Adoptación de medidas de conservación, mejora y protección de la naturaleza y del patrimonio natural de Pasacola.  </w:t>
      </w:r>
    </w:p>
    <w:p w:rsidR="00025683" w:rsidRDefault="007C2AAB">
      <w:pPr>
        <w:numPr>
          <w:ilvl w:val="0"/>
          <w:numId w:val="15"/>
        </w:numPr>
        <w:ind w:right="200"/>
      </w:pPr>
      <w:r>
        <w:t>Implantación limitada de los usos, con especial atención a las características geomorfológicas del territorio y a los valores patrimoniales existentes, garantizando en todo momento un desarrollo sostenible que respete el medioambiente y los recursos natura</w:t>
      </w:r>
      <w:r>
        <w:t xml:space="preserve">les.  </w:t>
      </w:r>
    </w:p>
    <w:p w:rsidR="00025683" w:rsidRDefault="007C2AAB">
      <w:pPr>
        <w:numPr>
          <w:ilvl w:val="0"/>
          <w:numId w:val="15"/>
        </w:numPr>
        <w:ind w:right="200"/>
      </w:pPr>
      <w:r>
        <w:t xml:space="preserve">Fomentar actuaciones basadas en estrategias de movilidad sostenible considerando las limitaciones propias del lugar.  </w:t>
      </w:r>
    </w:p>
    <w:p w:rsidR="00025683" w:rsidRDefault="007C2AAB">
      <w:pPr>
        <w:numPr>
          <w:ilvl w:val="0"/>
          <w:numId w:val="15"/>
        </w:numPr>
        <w:ind w:right="200"/>
      </w:pPr>
      <w:r>
        <w:t xml:space="preserve">Inclusión de la perspectiva de género en el diseño y ejecución de las distintas zonas y recorridos.  </w:t>
      </w:r>
    </w:p>
    <w:p w:rsidR="00025683" w:rsidRDefault="007C2AAB">
      <w:pPr>
        <w:numPr>
          <w:ilvl w:val="0"/>
          <w:numId w:val="15"/>
        </w:numPr>
        <w:ind w:right="200"/>
      </w:pPr>
      <w:r>
        <w:t>Recuperación de la estructur</w:t>
      </w:r>
      <w:r>
        <w:t xml:space="preserve">a de bancales tradicionales, reestableciendo así el carácter del ámbito.  </w:t>
      </w:r>
    </w:p>
    <w:p w:rsidR="00025683" w:rsidRDefault="007C2AAB">
      <w:pPr>
        <w:numPr>
          <w:ilvl w:val="0"/>
          <w:numId w:val="15"/>
        </w:numPr>
        <w:ind w:right="200"/>
      </w:pPr>
      <w:r>
        <w:t xml:space="preserve">Conservación y mantenimiento de los vestigios arqueológicos del caserío de Pasacola en su estado actual.  </w:t>
      </w:r>
    </w:p>
    <w:p w:rsidR="00025683" w:rsidRDefault="007C2AAB">
      <w:pPr>
        <w:numPr>
          <w:ilvl w:val="0"/>
          <w:numId w:val="15"/>
        </w:numPr>
        <w:ind w:right="200"/>
      </w:pPr>
      <w:r>
        <w:t>Difundir los valores naturales e históricos existentes en el ámbito procur</w:t>
      </w:r>
      <w:r>
        <w:t xml:space="preserve">ando potenciar su identidad y fomentando la conservación y mejora del entorno, con la incorporación de discurso interpretativo del caserío.  </w:t>
      </w:r>
    </w:p>
    <w:p w:rsidR="00025683" w:rsidRDefault="007C2AAB">
      <w:pPr>
        <w:numPr>
          <w:ilvl w:val="0"/>
          <w:numId w:val="15"/>
        </w:numPr>
        <w:ind w:right="200"/>
      </w:pPr>
      <w:r>
        <w:t>Recualificación del paisaje a través de la recuperación carácter agrícola del ámbito mediante la recuperación de l</w:t>
      </w:r>
      <w:r>
        <w:t>os trazados y los elementos que se conservan del caserío original, con especial relevancia a los bancales de cultivo existentes, quedando integradas en la ordenación propuesta.  - Protección de restos de vegetación potencial que constituyen hábitats natura</w:t>
      </w:r>
      <w:r>
        <w:t xml:space="preserve">les de interés comunitario.  </w:t>
      </w:r>
    </w:p>
    <w:p w:rsidR="00025683" w:rsidRDefault="007C2AAB">
      <w:pPr>
        <w:numPr>
          <w:ilvl w:val="0"/>
          <w:numId w:val="15"/>
        </w:numPr>
        <w:ind w:right="200"/>
      </w:pPr>
      <w:r>
        <w:t>Eliminación de especies invasoras detectadas, entre ellas el piteral, el tuneral y el rabo de gato.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89986" name="Group 38998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625" name="Rectangle 9625"/>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626" name="Rectangle 9626"/>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627" name="Rectangle 9627"/>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Documento firmado ele</w:t>
                              </w:r>
                              <w:r>
                                <w:rPr>
                                  <w:sz w:val="12"/>
                                </w:rPr>
                                <w:t xml:space="preserve">ctrónicamente desde la plataforma esPublico Gestiona | Página 53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9986" style="width:18.7031pt;height:260.874pt;position:absolute;mso-position-horizontal-relative:page;mso-position-horizontal:absolute;margin-left:662.928pt;mso-position-vertical-relative:page;margin-top:512.046pt;" coordsize="2375,33130">
                <v:rect id="Rectangle 9625"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62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62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350 </w:t>
                        </w:r>
                      </w:p>
                    </w:txbxContent>
                  </v:textbox>
                </v:rect>
                <w10:wrap type="topAndBottom"/>
              </v:group>
            </w:pict>
          </mc:Fallback>
        </mc:AlternateContent>
      </w:r>
      <w:r>
        <w:rPr>
          <w:b/>
        </w:rPr>
        <w:t xml:space="preserve"> </w:t>
      </w:r>
    </w:p>
    <w:p w:rsidR="00025683" w:rsidRDefault="007C2AAB">
      <w:pPr>
        <w:spacing w:after="0" w:line="259" w:lineRule="auto"/>
        <w:ind w:left="0" w:right="1015" w:firstLine="0"/>
        <w:jc w:val="right"/>
      </w:pPr>
      <w:r>
        <w:rPr>
          <w:noProof/>
        </w:rPr>
        <w:drawing>
          <wp:inline distT="0" distB="0" distL="0" distR="0">
            <wp:extent cx="5379354" cy="4933237"/>
            <wp:effectExtent l="0" t="0" r="0" b="0"/>
            <wp:docPr id="9622" name="Picture 9622"/>
            <wp:cNvGraphicFramePr/>
            <a:graphic xmlns:a="http://schemas.openxmlformats.org/drawingml/2006/main">
              <a:graphicData uri="http://schemas.openxmlformats.org/drawingml/2006/picture">
                <pic:pic xmlns:pic="http://schemas.openxmlformats.org/drawingml/2006/picture">
                  <pic:nvPicPr>
                    <pic:cNvPr id="9622" name="Picture 9622"/>
                    <pic:cNvPicPr/>
                  </pic:nvPicPr>
                  <pic:blipFill>
                    <a:blip r:embed="rId64"/>
                    <a:stretch>
                      <a:fillRect/>
                    </a:stretch>
                  </pic:blipFill>
                  <pic:spPr>
                    <a:xfrm>
                      <a:off x="0" y="0"/>
                      <a:ext cx="5379354" cy="4933237"/>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 xml:space="preserve">Teniendo en cuenta todas las consideraciones y condicionantes previos, se propone una zonificación dentro del ámbito del Plan Especial, con el objetivo de ordenar y regular los usos y las posibles intervenciones. Se delimitan tres zonas de ordenación:  </w:t>
      </w:r>
    </w:p>
    <w:p w:rsidR="00025683" w:rsidRDefault="007C2AAB">
      <w:pPr>
        <w:spacing w:after="0" w:line="259" w:lineRule="auto"/>
        <w:ind w:left="14" w:firstLine="0"/>
        <w:jc w:val="left"/>
      </w:pPr>
      <w:r>
        <w:t xml:space="preserve"> </w:t>
      </w:r>
    </w:p>
    <w:p w:rsidR="00025683" w:rsidRDefault="007C2AAB">
      <w:pPr>
        <w:numPr>
          <w:ilvl w:val="0"/>
          <w:numId w:val="15"/>
        </w:numPr>
        <w:ind w:right="200"/>
      </w:pPr>
      <w:r>
        <w:t xml:space="preserve">Zona A – Caserío de Pasacola  </w:t>
      </w:r>
    </w:p>
    <w:p w:rsidR="00025683" w:rsidRDefault="007C2AAB">
      <w:pPr>
        <w:numPr>
          <w:ilvl w:val="0"/>
          <w:numId w:val="15"/>
        </w:numPr>
        <w:ind w:right="200"/>
      </w:pPr>
      <w:r>
        <w:t xml:space="preserve">Zona B – Bancales tradicionales  </w:t>
      </w:r>
    </w:p>
    <w:p w:rsidR="00025683" w:rsidRDefault="007C2AAB">
      <w:pPr>
        <w:numPr>
          <w:ilvl w:val="0"/>
          <w:numId w:val="15"/>
        </w:numPr>
        <w:ind w:right="200"/>
      </w:pPr>
      <w:r>
        <w:t xml:space="preserve">Zona C – Rehabilitación ambiental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ZONA A – CASERÍO DE PASACOLA  </w:t>
      </w:r>
    </w:p>
    <w:p w:rsidR="00025683" w:rsidRDefault="007C2AAB">
      <w:pPr>
        <w:spacing w:after="0" w:line="259" w:lineRule="auto"/>
        <w:ind w:left="14" w:firstLine="0"/>
        <w:jc w:val="left"/>
      </w:pPr>
      <w:r>
        <w:t xml:space="preserve"> </w:t>
      </w:r>
    </w:p>
    <w:p w:rsidR="00025683" w:rsidRDefault="007C2AAB">
      <w:pPr>
        <w:ind w:left="14" w:right="200"/>
      </w:pPr>
      <w:r>
        <w:t xml:space="preserve">Se delimita la Zona A – </w:t>
      </w:r>
      <w:r>
        <w:t>Caserío de Pasacola, que recoge los restos reconocibles del antiguo asentamiento, integrados por vestigios de edificaciones, hornos, la era comunitaria, una cueva cercana y restos de material disperso. Esta zona incluye además el sendero tradicional que pa</w:t>
      </w:r>
      <w:r>
        <w:t xml:space="preserve">rte del camino de La Candelaria y culmina en la zona de la era.  </w:t>
      </w:r>
    </w:p>
    <w:p w:rsidR="00025683" w:rsidRDefault="007C2AAB">
      <w:pPr>
        <w:ind w:left="14" w:right="200"/>
      </w:pPr>
      <w:r>
        <w:t>En esta zona se plantea la consolidación y el mantenimiento de los restos del caserío, acompañados de la incorporación de un recorrido interpretativo que se apoye en los senderos y caminos e</w:t>
      </w:r>
      <w:r>
        <w:t>xistentes. Este discurso interpretativo partirá del camino de La</w:t>
      </w:r>
      <w:r>
        <w:rPr>
          <w:rFonts w:ascii="Times New Roman" w:eastAsia="Times New Roman" w:hAnsi="Times New Roman" w:cs="Times New Roman"/>
          <w:sz w:val="24"/>
        </w:rPr>
        <w:t xml:space="preserve"> </w:t>
      </w:r>
    </w:p>
    <w:p w:rsidR="00025683" w:rsidRDefault="007C2AAB">
      <w:pPr>
        <w:ind w:left="14" w:right="200"/>
      </w:pPr>
      <w:r>
        <w:t xml:space="preserve">Candelaria, diseñado para atraer a los transeúntes mediante elementos de baja intensidad visual y un diseño cuidado, basado en paneles explicativos.  </w:t>
      </w:r>
    </w:p>
    <w:p w:rsidR="00025683" w:rsidRDefault="007C2AAB">
      <w:pPr>
        <w:ind w:left="14" w:right="200"/>
      </w:pPr>
      <w:r>
        <w:t>El acondicionamiento de los caminos man</w:t>
      </w:r>
      <w:r>
        <w:t xml:space="preserve">tendrá el firme de tierra actual para preservar la naturalidad del entorno.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1101" name="Group 39110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766" name="Rectangle 9766"/>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767" name="Rectangle 9767"/>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768" name="Rectangle 9768"/>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54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1101" style="width:18.7031pt;height:260.874pt;position:absolute;mso-position-horizontal-relative:page;mso-position-horizontal:absolute;margin-left:662.928pt;mso-position-vertical-relative:page;margin-top:512.046pt;" coordsize="2375,33130">
                <v:rect id="Rectangle 9766"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76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76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350 </w:t>
                        </w:r>
                      </w:p>
                    </w:txbxContent>
                  </v:textbox>
                </v:rect>
                <w10:wrap type="square"/>
              </v:group>
            </w:pict>
          </mc:Fallback>
        </mc:AlternateContent>
      </w:r>
      <w:r>
        <w:t xml:space="preserve">Además, se diseñará una zona de mirador en la parte baja del caserío, situada en un punto óptimo para la contemplación del Valle y la Montaña de Güímar, donde el </w:t>
      </w:r>
      <w:r>
        <w:t xml:space="preserve">mobiliario y la urbanización serán de mínima intervención, evitando competir visual y estéticamente con las características naturales del entorno.  </w:t>
      </w:r>
    </w:p>
    <w:p w:rsidR="00025683" w:rsidRDefault="007C2AAB">
      <w:pPr>
        <w:spacing w:after="0" w:line="259" w:lineRule="auto"/>
        <w:ind w:left="14" w:firstLine="0"/>
        <w:jc w:val="left"/>
      </w:pPr>
      <w:r>
        <w:t xml:space="preserve"> </w:t>
      </w:r>
    </w:p>
    <w:p w:rsidR="00025683" w:rsidRDefault="007C2AAB">
      <w:pPr>
        <w:ind w:left="14" w:right="200"/>
      </w:pPr>
      <w:r>
        <w:t xml:space="preserve">ZONA B – BANCALES TRADICIONALES  </w:t>
      </w:r>
    </w:p>
    <w:p w:rsidR="00025683" w:rsidRDefault="007C2AAB">
      <w:pPr>
        <w:spacing w:after="0" w:line="259" w:lineRule="auto"/>
        <w:ind w:left="14" w:firstLine="0"/>
        <w:jc w:val="left"/>
      </w:pPr>
      <w:r>
        <w:t xml:space="preserve"> </w:t>
      </w:r>
    </w:p>
    <w:p w:rsidR="00025683" w:rsidRDefault="007C2AAB">
      <w:pPr>
        <w:ind w:left="14" w:right="200"/>
      </w:pPr>
      <w:r>
        <w:t xml:space="preserve">Se delimita la Zona B – Bancales Tradicionales, recogiendo las áreas </w:t>
      </w:r>
      <w:r>
        <w:t xml:space="preserve">abancaladas originales que se encuentran en mejor estado de conservación, considerando que tienen suficiente valor para su recuperación.  </w:t>
      </w:r>
    </w:p>
    <w:p w:rsidR="00025683" w:rsidRDefault="007C2AAB">
      <w:pPr>
        <w:ind w:left="14" w:right="200"/>
      </w:pPr>
      <w:r>
        <w:t>Se plantea la recuperación de las estructuras originales de muros y bancales, así como la restauración de los sistema</w:t>
      </w:r>
      <w:r>
        <w:t xml:space="preserve">s de abastecimiento de agua existentes, con el fin de recuperar el carácter agrícola tradicional de la zona.  </w:t>
      </w:r>
    </w:p>
    <w:p w:rsidR="00025683" w:rsidRDefault="007C2AAB">
      <w:pPr>
        <w:ind w:left="14" w:right="200"/>
      </w:pPr>
      <w:r>
        <w:t>Estos ámbitos se proponen tanto como espacios de interpretación de las técnicas de cultivo ancestral, combinando la puesta en producción agrícola</w:t>
      </w:r>
      <w:r>
        <w:t xml:space="preserve">, como zonas estanciales destinadas al descanso y la contemplación, de acuerdo con los objetivos y necesidades del órgano promotor.  </w:t>
      </w:r>
    </w:p>
    <w:p w:rsidR="00025683" w:rsidRDefault="007C2AAB">
      <w:pPr>
        <w:spacing w:after="0" w:line="259" w:lineRule="auto"/>
        <w:ind w:left="14" w:firstLine="0"/>
        <w:jc w:val="left"/>
      </w:pPr>
      <w:r>
        <w:t xml:space="preserve"> </w:t>
      </w:r>
    </w:p>
    <w:p w:rsidR="00025683" w:rsidRDefault="007C2AAB">
      <w:pPr>
        <w:ind w:left="14" w:right="200"/>
      </w:pPr>
      <w:r>
        <w:t xml:space="preserve">ZONA C – REHABILITACIÓN AMBIENTAL  </w:t>
      </w:r>
    </w:p>
    <w:p w:rsidR="00025683" w:rsidRDefault="007C2AAB">
      <w:pPr>
        <w:spacing w:after="0" w:line="259" w:lineRule="auto"/>
        <w:ind w:left="14" w:firstLine="0"/>
        <w:jc w:val="left"/>
      </w:pPr>
      <w:r>
        <w:t xml:space="preserve"> </w:t>
      </w:r>
    </w:p>
    <w:p w:rsidR="00025683" w:rsidRDefault="007C2AAB">
      <w:pPr>
        <w:ind w:left="14" w:right="200"/>
      </w:pPr>
      <w:r>
        <w:t>El resto del ámbito del Plan Especial se recoge en la Zona C – Rehabilitación Ambi</w:t>
      </w:r>
      <w:r>
        <w:t>ental, compuesta por suelos que, debido a sus características orográficas, su difícil acceso o por tratarse de zonas de bancales perdidos, no son aptos para intervenciones intensivas. En estos sectores se plantea únicamente la regeneración y limpieza del e</w:t>
      </w:r>
      <w:r>
        <w:t xml:space="preserve">ntorno, priorizando la conservación y el mantenimiento de los hábitats naturales existentes.  </w:t>
      </w:r>
    </w:p>
    <w:p w:rsidR="00025683" w:rsidRDefault="007C2AAB">
      <w:pPr>
        <w:ind w:left="14" w:right="200"/>
      </w:pPr>
      <w:r>
        <w:t>En las áreas susceptibles de revegetación, se fomentará la plantación de especies autóctonas propias del piso bioclimático. Asimismo, se procederá a la eliminaci</w:t>
      </w:r>
      <w:r>
        <w:t>ón de especies invasoras detectadas, entre ellas el piteral, el tuneral y el rabo de gato.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1158" name="Group 39115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808" name="Rectangle 980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809" name="Rectangle 980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810" name="Rectangle 981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w:t>
                              </w:r>
                              <w:r>
                                <w:rPr>
                                  <w:sz w:val="12"/>
                                </w:rPr>
                                <w:t xml:space="preserve">sPublico Gestiona | Página 55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1158" style="width:18.7031pt;height:260.874pt;position:absolute;mso-position-horizontal-relative:page;mso-position-horizontal:absolute;margin-left:662.928pt;mso-position-vertical-relative:page;margin-top:512.046pt;" coordsize="2375,33130">
                <v:rect id="Rectangle 980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80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81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350 </w:t>
                        </w:r>
                      </w:p>
                    </w:txbxContent>
                  </v:textbox>
                </v:rect>
                <w10:wrap type="topAndBottom"/>
              </v:group>
            </w:pict>
          </mc:Fallback>
        </mc:AlternateContent>
      </w:r>
      <w:r>
        <w:rPr>
          <w:b/>
        </w:rPr>
        <w:t xml:space="preserve"> </w:t>
      </w:r>
    </w:p>
    <w:p w:rsidR="00025683" w:rsidRDefault="007C2AAB">
      <w:pPr>
        <w:spacing w:after="0" w:line="259" w:lineRule="auto"/>
        <w:ind w:left="0" w:right="1646" w:firstLine="0"/>
        <w:jc w:val="right"/>
      </w:pPr>
      <w:r>
        <w:rPr>
          <w:noProof/>
        </w:rPr>
        <w:drawing>
          <wp:inline distT="0" distB="0" distL="0" distR="0">
            <wp:extent cx="4962993" cy="5867351"/>
            <wp:effectExtent l="0" t="0" r="0" b="0"/>
            <wp:docPr id="9805" name="Picture 9805"/>
            <wp:cNvGraphicFramePr/>
            <a:graphic xmlns:a="http://schemas.openxmlformats.org/drawingml/2006/main">
              <a:graphicData uri="http://schemas.openxmlformats.org/drawingml/2006/picture">
                <pic:pic xmlns:pic="http://schemas.openxmlformats.org/drawingml/2006/picture">
                  <pic:nvPicPr>
                    <pic:cNvPr id="9805" name="Picture 9805"/>
                    <pic:cNvPicPr/>
                  </pic:nvPicPr>
                  <pic:blipFill>
                    <a:blip r:embed="rId65"/>
                    <a:stretch>
                      <a:fillRect/>
                    </a:stretch>
                  </pic:blipFill>
                  <pic:spPr>
                    <a:xfrm>
                      <a:off x="0" y="0"/>
                      <a:ext cx="4962993" cy="586735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523" w:firstLine="0"/>
        <w:jc w:val="right"/>
      </w:pPr>
      <w:r>
        <w:rPr>
          <w:noProof/>
        </w:rPr>
        <w:drawing>
          <wp:inline distT="0" distB="0" distL="0" distR="0">
            <wp:extent cx="5047098" cy="1761676"/>
            <wp:effectExtent l="0" t="0" r="0" b="0"/>
            <wp:docPr id="9900" name="Picture 9900"/>
            <wp:cNvGraphicFramePr/>
            <a:graphic xmlns:a="http://schemas.openxmlformats.org/drawingml/2006/main">
              <a:graphicData uri="http://schemas.openxmlformats.org/drawingml/2006/picture">
                <pic:pic xmlns:pic="http://schemas.openxmlformats.org/drawingml/2006/picture">
                  <pic:nvPicPr>
                    <pic:cNvPr id="9900" name="Picture 9900"/>
                    <pic:cNvPicPr/>
                  </pic:nvPicPr>
                  <pic:blipFill>
                    <a:blip r:embed="rId66"/>
                    <a:stretch>
                      <a:fillRect/>
                    </a:stretch>
                  </pic:blipFill>
                  <pic:spPr>
                    <a:xfrm>
                      <a:off x="0" y="0"/>
                      <a:ext cx="5047098" cy="176167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CONCLUSIONES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De acuerdo a todo lo expuesto anteriormente, se informa FAVORABLE la aprobación inicial del Plan Especial Parque Periurbano de Pasacola, T.M. de Candelaria </w:t>
      </w:r>
    </w:p>
    <w:p w:rsidR="00025683" w:rsidRDefault="007C2AAB">
      <w:pPr>
        <w:spacing w:after="0" w:line="259" w:lineRule="auto"/>
        <w:ind w:left="14" w:firstLine="0"/>
        <w:jc w:val="left"/>
      </w:pPr>
      <w:r>
        <w:t xml:space="preserve"> </w:t>
      </w:r>
    </w:p>
    <w:p w:rsidR="00025683" w:rsidRDefault="007C2AAB">
      <w:pPr>
        <w:pStyle w:val="Ttulo4"/>
        <w:ind w:left="274" w:right="464"/>
      </w:pPr>
      <w:r>
        <w:t xml:space="preserve">CONSIDERACIONES JURÍDICAS </w:t>
      </w:r>
    </w:p>
    <w:p w:rsidR="00025683" w:rsidRDefault="007C2AAB">
      <w:pPr>
        <w:spacing w:after="0" w:line="259" w:lineRule="auto"/>
        <w:ind w:left="0" w:right="133" w:firstLine="0"/>
        <w:jc w:val="center"/>
      </w:pPr>
      <w:r>
        <w:t xml:space="preserve"> </w:t>
      </w:r>
    </w:p>
    <w:p w:rsidR="00025683" w:rsidRDefault="007C2AAB">
      <w:pPr>
        <w:ind w:left="14" w:right="200"/>
      </w:pPr>
      <w:r>
        <w:t>PRIMERA. - El artículo 146.1 de la Ley 4/2017, de 13 de julio, del Suelo y de los Espacios Naturales Protegidos de Canarias que los Planes Especiales de Ordenación tienen por objeto desarrollar o completar las determinaciones d</w:t>
      </w:r>
      <w:r>
        <w:t xml:space="preserve">e los planes generales, ordenando elementos específicos de un ámbito territorial determinado.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89894" name="Group 38989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03" name="Rectangle 9903"/>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9904" name="Rectangle 9904"/>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9905" name="Rectangle 9905"/>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56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89894" style="width:18.7031pt;height:260.874pt;position:absolute;mso-position-horizontal-relative:page;mso-position-horizontal:absolute;margin-left:662.928pt;mso-position-vertical-relative:page;margin-top:512.046pt;" coordsize="2375,33130">
                <v:rect id="Rectangle 9903"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990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990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350 </w:t>
                        </w:r>
                      </w:p>
                    </w:txbxContent>
                  </v:textbox>
                </v:rect>
                <w10:wrap type="square"/>
              </v:group>
            </w:pict>
          </mc:Fallback>
        </mc:AlternateContent>
      </w:r>
      <w:r>
        <w:t>Conforme al artículo 146.2, los ayuntamientos podrán aprobar planes especiales, en desarrollo del plan general o de forma autónoma, con las siguientes finalidades</w:t>
      </w:r>
      <w:r>
        <w:t xml:space="preserve">: </w:t>
      </w:r>
    </w:p>
    <w:p w:rsidR="00025683" w:rsidRDefault="007C2AAB">
      <w:pPr>
        <w:spacing w:after="3" w:line="238" w:lineRule="auto"/>
        <w:ind w:left="9" w:right="210" w:hanging="10"/>
        <w:jc w:val="left"/>
      </w:pPr>
      <w:r>
        <w:t xml:space="preserve">“a) Establecer la ordenación pormenorizada precisa para la ejecución del planeamiento, en todo o en parte, del suelo urbano consolidado y del suelo rústico de asentamiento rural. b) Conservar y mejorar el medio natural y el paisaje natural y urbano. </w:t>
      </w:r>
    </w:p>
    <w:p w:rsidR="00025683" w:rsidRDefault="007C2AAB">
      <w:pPr>
        <w:numPr>
          <w:ilvl w:val="0"/>
          <w:numId w:val="16"/>
        </w:numPr>
        <w:ind w:right="200"/>
      </w:pPr>
      <w:r>
        <w:t>Pr</w:t>
      </w:r>
      <w:r>
        <w:t xml:space="preserve">oteger, conservar y rehabilitar el patrimonio histórico canario. </w:t>
      </w:r>
    </w:p>
    <w:p w:rsidR="00025683" w:rsidRDefault="007C2AAB">
      <w:pPr>
        <w:numPr>
          <w:ilvl w:val="0"/>
          <w:numId w:val="16"/>
        </w:numPr>
        <w:ind w:right="200"/>
      </w:pPr>
      <w:r>
        <w:t>Establecer la ordenación pormenorizada de las áreas urbanas sometidas a operaciones de reforma o de renovación urbanas, sin perjuicio de las actuaciones sobre el medio urbano previstas en es</w:t>
      </w:r>
      <w:r>
        <w:t xml:space="preserve">ta ley. </w:t>
      </w:r>
    </w:p>
    <w:p w:rsidR="00025683" w:rsidRDefault="007C2AAB">
      <w:pPr>
        <w:numPr>
          <w:ilvl w:val="0"/>
          <w:numId w:val="16"/>
        </w:numPr>
        <w:ind w:right="200"/>
      </w:pPr>
      <w:r>
        <w:t xml:space="preserve">Definir las actuaciones en los núcleos o zonas turísticas a rehabilitar. </w:t>
      </w:r>
    </w:p>
    <w:p w:rsidR="00025683" w:rsidRDefault="007C2AAB">
      <w:pPr>
        <w:numPr>
          <w:ilvl w:val="0"/>
          <w:numId w:val="16"/>
        </w:numPr>
        <w:spacing w:after="27"/>
        <w:ind w:right="200"/>
      </w:pPr>
      <w:r>
        <w:t xml:space="preserve">Ordenar los sistemas generales, cuando así lo determine el plan general. </w:t>
      </w:r>
    </w:p>
    <w:p w:rsidR="00025683" w:rsidRDefault="007C2AAB">
      <w:pPr>
        <w:numPr>
          <w:ilvl w:val="0"/>
          <w:numId w:val="16"/>
        </w:numPr>
        <w:ind w:right="200"/>
      </w:pPr>
      <w:r>
        <w:t xml:space="preserve">Cualesquiera otras análogas que se prevean reglamentariamente.” </w:t>
      </w:r>
    </w:p>
    <w:p w:rsidR="00025683" w:rsidRDefault="007C2AAB">
      <w:pPr>
        <w:spacing w:after="0" w:line="259" w:lineRule="auto"/>
        <w:ind w:left="14" w:firstLine="0"/>
        <w:jc w:val="left"/>
      </w:pPr>
      <w:r>
        <w:t xml:space="preserve"> </w:t>
      </w:r>
    </w:p>
    <w:p w:rsidR="00025683" w:rsidRDefault="007C2AAB">
      <w:pPr>
        <w:ind w:left="14" w:right="200"/>
      </w:pPr>
      <w:r>
        <w:t>El artículo 147. de la Ley 4/201</w:t>
      </w:r>
      <w:r>
        <w:t xml:space="preserve">7, de 13 de julio, del Suelo y de los Espacios Naturales Protegidos de Canarias </w:t>
      </w:r>
    </w:p>
    <w:p w:rsidR="00025683" w:rsidRDefault="007C2AAB">
      <w:pPr>
        <w:numPr>
          <w:ilvl w:val="0"/>
          <w:numId w:val="17"/>
        </w:numPr>
        <w:ind w:right="200"/>
      </w:pPr>
      <w:r>
        <w:t xml:space="preserve">establece que cualquier sujeto, público o privado, podrá elaborar y proponer planes parciales y planes especiales, en los términos fijados por el plan general.  </w:t>
      </w:r>
    </w:p>
    <w:p w:rsidR="00025683" w:rsidRDefault="007C2AAB">
      <w:pPr>
        <w:numPr>
          <w:ilvl w:val="0"/>
          <w:numId w:val="17"/>
        </w:numPr>
        <w:ind w:right="200"/>
      </w:pPr>
      <w:r>
        <w:t>Formulado el instrumento de planeamiento, se procederá a su aprobación inicial por el órgano competente de acuerdo con la legislación de régimen local, previo informe de los servicios técnicos y jurídicos municipales. Cuando se trate de un instrumento de i</w:t>
      </w:r>
      <w:r>
        <w:t xml:space="preserve">niciativa particular solo podrá denegarse su aprobación inicial por razones de legalidad, que resulten insubsanables. En todo caso, la aprobación inicial no condicionará en modo alguno la resolución que se derive de la tramitación del procedimiento. </w:t>
      </w:r>
    </w:p>
    <w:p w:rsidR="00025683" w:rsidRDefault="007C2AAB">
      <w:pPr>
        <w:numPr>
          <w:ilvl w:val="0"/>
          <w:numId w:val="17"/>
        </w:numPr>
        <w:ind w:right="200"/>
      </w:pPr>
      <w:r>
        <w:t>El do</w:t>
      </w:r>
      <w:r>
        <w:t>cumento aprobado inicialmente se someterá a los trámites de información pública y de consulta a las administraciones afectadas por el plazo fijado por la legislación ambiental o sectorial aplicable o, en su defecto, de un mes, computados a partir de la pub</w:t>
      </w:r>
      <w:r>
        <w:t xml:space="preserve">licación del correspondiente anuncio en el Boletín Oficial de Canarias. El periodo de información pública se anunciará en, al menos, uno de los periódicos de mayor difusión de la isla y en la sede electrónica del ayuntamiento. </w:t>
      </w:r>
    </w:p>
    <w:p w:rsidR="00025683" w:rsidRDefault="007C2AAB">
      <w:pPr>
        <w:ind w:left="14" w:right="200"/>
      </w:pPr>
      <w:r>
        <w:t>La falta de emisión de los i</w:t>
      </w:r>
      <w:r>
        <w:t>nformes no interrumpirá la tramitación del procedimiento. Los informes que no se emitan dentro del plazo conferido podrán no ser tenidos en cuenta para adoptar la aprobación definitiva. La documentación que se someta a información pública deberá contener l</w:t>
      </w:r>
      <w:r>
        <w:t xml:space="preserve">os resúmenes ejecutivos y no técnicos previstos en la legislación estatal básica.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SEGUNDA. - </w:t>
      </w:r>
      <w:r>
        <w:t>Resultan de aplicación los artículos 14 y siguientes del Reglamento de Planeamiento de Canarias donde se regulan los trámites comunes de la elaboración de los instrumentos de ordenación sometidos a evaluación ambiental estratégica ordinaria.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En el artic</w:t>
      </w:r>
      <w:r>
        <w:t xml:space="preserve">ulo 22 del Reglamento de Planeamiento de Canarias, aprobado por Decreto 181/2018, de 26 de diciembre que señala lo siguiente: </w:t>
      </w:r>
    </w:p>
    <w:p w:rsidR="00025683" w:rsidRDefault="007C2AAB">
      <w:pPr>
        <w:spacing w:after="0" w:line="259" w:lineRule="auto"/>
        <w:ind w:left="14" w:firstLine="0"/>
        <w:jc w:val="left"/>
      </w:pPr>
      <w:r>
        <w:t xml:space="preserve"> </w:t>
      </w:r>
    </w:p>
    <w:p w:rsidR="00025683" w:rsidRDefault="007C2AAB">
      <w:pPr>
        <w:numPr>
          <w:ilvl w:val="0"/>
          <w:numId w:val="18"/>
        </w:numPr>
        <w:ind w:right="200"/>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1524" name="Group 39152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018" name="Rectangle 1001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0019" name="Rectangle 1001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020" name="Rectangle 1002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Documento firmado elect</w:t>
                              </w:r>
                              <w:r>
                                <w:rPr>
                                  <w:sz w:val="12"/>
                                </w:rPr>
                                <w:t xml:space="preserve">rónicamente desde la plataforma esPublico Gestiona | Página 57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1524" style="width:18.7031pt;height:260.874pt;position:absolute;mso-position-horizontal-relative:page;mso-position-horizontal:absolute;margin-left:662.928pt;mso-position-vertical-relative:page;margin-top:512.046pt;" coordsize="2375,33130">
                <v:rect id="Rectangle 1001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001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02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350 </w:t>
                        </w:r>
                      </w:p>
                    </w:txbxContent>
                  </v:textbox>
                </v:rect>
                <w10:wrap type="square"/>
              </v:group>
            </w:pict>
          </mc:Fallback>
        </mc:AlternateContent>
      </w:r>
      <w:r>
        <w:t xml:space="preserve">A la vista del resultado de los trámites anteriores, se elaborará el documento del plan que vaya a someterse a la aprobación inicial, seleccionándose aquellas alternativas que resulten </w:t>
      </w:r>
      <w:r>
        <w:t xml:space="preserve">más equilibradas desde la perspectiva del desarrollo sostenible, previa ponderación de los aspectos económicos, sociales, territoriales y ambientales; y, de ser preciso, se modificará el contenido del estudio ambiental estratégico. </w:t>
      </w:r>
    </w:p>
    <w:p w:rsidR="00025683" w:rsidRDefault="007C2AAB">
      <w:pPr>
        <w:numPr>
          <w:ilvl w:val="0"/>
          <w:numId w:val="18"/>
        </w:numPr>
        <w:ind w:right="200"/>
      </w:pPr>
      <w:r>
        <w:t>Con el fin de dar cumpl</w:t>
      </w:r>
      <w:r>
        <w:t xml:space="preserve">imiento a lo dispuesto en el apartado anterior, el órgano competente elegirá la alternativa o alternativas más adecuadas a la vista de la propuesta que le formulen los servicios administrativos. </w:t>
      </w:r>
    </w:p>
    <w:p w:rsidR="00025683" w:rsidRDefault="007C2AAB">
      <w:pPr>
        <w:numPr>
          <w:ilvl w:val="0"/>
          <w:numId w:val="18"/>
        </w:numPr>
        <w:ind w:right="200"/>
      </w:pPr>
      <w:r>
        <w:t>El documento resultante, que incorporará la alternativa o alternativas seleccionadas, se someterá a informe de los servicios técnicos y jurídicos, así como de las distintas áreas y organismos dependientes o adscritos a la Administración promotora que pueda</w:t>
      </w:r>
      <w:r>
        <w:t>n resultar afectados por el plan en razón de las competencias que ejercen, en el plazo máximo de un mes. En el caso de que los informes internos se contradigan se elevará el conflicto al órgano correspondiente, para que resuelva la discrepancia mediante la</w:t>
      </w:r>
      <w:r>
        <w:t xml:space="preserve"> emisión de un informe final. </w:t>
      </w:r>
    </w:p>
    <w:p w:rsidR="00025683" w:rsidRDefault="007C2AAB">
      <w:pPr>
        <w:spacing w:after="0" w:line="259" w:lineRule="auto"/>
        <w:ind w:left="14" w:firstLine="0"/>
        <w:jc w:val="left"/>
      </w:pPr>
      <w:r>
        <w:t xml:space="preserve"> </w:t>
      </w:r>
    </w:p>
    <w:p w:rsidR="00025683" w:rsidRDefault="007C2AAB">
      <w:pPr>
        <w:ind w:left="14" w:right="200"/>
      </w:pPr>
      <w:r>
        <w:t xml:space="preserve">TERCERA.- Artículo 23 Información pública, consulta e informes preceptivos de la aprobación inicial </w:t>
      </w:r>
    </w:p>
    <w:p w:rsidR="00025683" w:rsidRDefault="007C2AAB">
      <w:pPr>
        <w:numPr>
          <w:ilvl w:val="0"/>
          <w:numId w:val="19"/>
        </w:numPr>
        <w:ind w:right="200"/>
      </w:pPr>
      <w:r>
        <w:t>El documento aprobado inicialmente se someterá a los trámites de información pública, consulta de las administraciones púb</w:t>
      </w:r>
      <w:r>
        <w:t xml:space="preserve">licas cuyas competencias pudiesen resultar afectadas y de las personas interesadas que hayan sido previamente consultadas y solicitud de los informes sectoriales preceptivos, en los términos previstos en el artículo 21 del presente Reglamento. </w:t>
      </w:r>
    </w:p>
    <w:p w:rsidR="00025683" w:rsidRDefault="007C2AAB">
      <w:pPr>
        <w:numPr>
          <w:ilvl w:val="0"/>
          <w:numId w:val="19"/>
        </w:numPr>
        <w:ind w:right="200"/>
      </w:pPr>
      <w:r>
        <w:t>Transcurrid</w:t>
      </w:r>
      <w:r>
        <w:t xml:space="preserve">o el plazo de información pública, consulta e informes preceptivos se introducirán las modificaciones que, como consecuencia de dicho proceso participativo, se estimen oportunas, actualizándose, en su caso, el estudio ambiental estratégico. </w:t>
      </w:r>
    </w:p>
    <w:p w:rsidR="00025683" w:rsidRDefault="007C2AAB">
      <w:pPr>
        <w:numPr>
          <w:ilvl w:val="0"/>
          <w:numId w:val="19"/>
        </w:numPr>
        <w:ind w:right="200"/>
      </w:pPr>
      <w:r>
        <w:t>Si como consec</w:t>
      </w:r>
      <w:r>
        <w:t>uencia de las alegaciones formuladas o de los informes emitidos se introdujeran cambios sustanciales en relación con el documento aprobado inicialmente, por el órgano promotor se llevará a cabo un nuevo periodo de información pública, consulta y de solicit</w:t>
      </w:r>
      <w:r>
        <w:t xml:space="preserve">ud de informes preceptivos por plazo de cuarenta y cinco días. </w:t>
      </w:r>
    </w:p>
    <w:p w:rsidR="00025683" w:rsidRDefault="007C2AAB">
      <w:pPr>
        <w:spacing w:after="0" w:line="259" w:lineRule="auto"/>
        <w:ind w:left="14" w:firstLine="0"/>
        <w:jc w:val="left"/>
      </w:pPr>
      <w:r>
        <w:t xml:space="preserve"> </w:t>
      </w:r>
    </w:p>
    <w:p w:rsidR="00025683" w:rsidRDefault="007C2AAB">
      <w:pPr>
        <w:ind w:left="14" w:right="200"/>
      </w:pPr>
      <w:r>
        <w:t>Visto cuanto antecede, se considera que el expediente ha seguido la tramitación establecida en la Legislación aplicable, procediendo su aprobación por el Pleno, por mayoría absoluta del núme</w:t>
      </w:r>
      <w:r>
        <w:t>ro legal de miembros de la Corporación, de conformidad con los artículos 70.2 del Reglamento de Planeamiento de Canarias, aprobado por Decreto 181/2018, de 26 de diciembre, y 22.2.c) y 47.2.ll) de la Ley 7/1985, de 2 de abril, Reguladora de las Bases del R</w:t>
      </w:r>
      <w:r>
        <w:t xml:space="preserve">égimen Local. </w:t>
      </w:r>
    </w:p>
    <w:p w:rsidR="00025683" w:rsidRDefault="007C2AAB">
      <w:pPr>
        <w:spacing w:after="0" w:line="259" w:lineRule="auto"/>
        <w:ind w:left="14" w:firstLine="0"/>
        <w:jc w:val="left"/>
      </w:pPr>
      <w:r>
        <w:t xml:space="preserve"> </w:t>
      </w:r>
    </w:p>
    <w:p w:rsidR="00025683" w:rsidRDefault="007C2AAB">
      <w:pPr>
        <w:ind w:left="14" w:right="200"/>
      </w:pPr>
      <w:r>
        <w:t>Por ello, de conformidad con lo establecido en el artículo 175 del Reglamento de Organización, Funcionamiento y Régimen Jurídico de las Entidades Locales, aprobado por Real Decreto 2568/1986, de 28 de noviembre, el que suscribe eleva la si</w:t>
      </w:r>
      <w:r>
        <w:t xml:space="preserve">guiente propuesta de resolución: </w:t>
      </w:r>
    </w:p>
    <w:p w:rsidR="00025683" w:rsidRDefault="007C2AAB">
      <w:pPr>
        <w:spacing w:after="0" w:line="259" w:lineRule="auto"/>
        <w:ind w:left="0" w:right="133" w:firstLine="0"/>
        <w:jc w:val="center"/>
      </w:pPr>
      <w:r>
        <w:rPr>
          <w:b/>
        </w:rPr>
        <w:t xml:space="preserve"> </w:t>
      </w:r>
    </w:p>
    <w:p w:rsidR="00025683" w:rsidRDefault="007C2AAB">
      <w:pPr>
        <w:pStyle w:val="Ttulo4"/>
        <w:ind w:left="274" w:right="457"/>
      </w:pPr>
      <w:r>
        <w:t xml:space="preserve">PROPUESTA DE RESOLUCIÓN </w:t>
      </w:r>
    </w:p>
    <w:p w:rsidR="00025683" w:rsidRDefault="007C2AAB">
      <w:pPr>
        <w:spacing w:after="0" w:line="259" w:lineRule="auto"/>
        <w:ind w:left="0" w:right="133" w:firstLine="0"/>
        <w:jc w:val="center"/>
      </w:pPr>
      <w:r>
        <w:t xml:space="preserve"> </w:t>
      </w:r>
    </w:p>
    <w:p w:rsidR="00025683" w:rsidRDefault="007C2AAB">
      <w:pPr>
        <w:ind w:left="14" w:right="200"/>
      </w:pPr>
      <w:r>
        <w:t>PRIMERO. – Aprobar inicialmente el Plan Especial Parque Periurbano de Pasacola, T.M. de Candelaria , según lo indicado en el informe técnico favorable emitido con fecha 15/12/2025 que a continu</w:t>
      </w:r>
      <w:r>
        <w:t xml:space="preserve">ación se transcribe: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ANTECEDENTES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1838" name="Group 3918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133" name="Rectangle 10133"/>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0134" name="Rectangle 10134"/>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135" name="Rectangle 10135"/>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58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1838" style="width:18.7031pt;height:260.874pt;position:absolute;mso-position-horizontal-relative:page;mso-position-horizontal:absolute;margin-left:662.928pt;mso-position-vertical-relative:page;margin-top:512.046pt;" coordsize="2375,33130">
                <v:rect id="Rectangle 10133"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013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13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350 </w:t>
                        </w:r>
                      </w:p>
                    </w:txbxContent>
                  </v:textbox>
                </v:rect>
                <w10:wrap type="square"/>
              </v:group>
            </w:pict>
          </mc:Fallback>
        </mc:AlternateContent>
      </w:r>
      <w:r>
        <w:t xml:space="preserve"> </w:t>
      </w:r>
    </w:p>
    <w:p w:rsidR="00025683" w:rsidRDefault="007C2AAB">
      <w:pPr>
        <w:ind w:left="14" w:right="200"/>
      </w:pPr>
      <w:r>
        <w:t>Con fecha 23 de enero de 2025 se dictó la Resolución n.º 15, en virtud de la cual se inició el procedimiento de evaluación ambiental estratégica ordinaria relativo al Plan Especial Parque Periurbano Pasacola, en el término municipal de Candelaria y se some</w:t>
      </w:r>
      <w:r>
        <w:t xml:space="preserve">tió a consultas de las administraciones públicas afectadas y de las personas interesadas el documento inicial estratégico y el borrador del citado instrumento de ordenación urbanística. Se publicó anuncio en el Boletín Oficial de Canarias (BOC nº 26, de 6 </w:t>
      </w:r>
      <w:r>
        <w:t xml:space="preserve">de febrero de 2025) y en la dirección web del Gobierno de Canarias. </w:t>
      </w:r>
    </w:p>
    <w:p w:rsidR="00025683" w:rsidRDefault="007C2AAB">
      <w:pPr>
        <w:ind w:left="14" w:right="200"/>
      </w:pPr>
      <w:r>
        <w:t>Cabe destacar el informe de la Dirección Insular de Planificación Territorial, Paisaje y Patrimonio Histórico del Cabildo Insular de Tenerife, que informa en relación con las competencias</w:t>
      </w:r>
      <w:r>
        <w:t xml:space="preserve"> en materia de patrimonio histórico: </w:t>
      </w:r>
    </w:p>
    <w:p w:rsidR="00025683" w:rsidRDefault="007C2AAB">
      <w:pPr>
        <w:spacing w:after="15" w:line="259" w:lineRule="auto"/>
        <w:ind w:left="14" w:firstLine="0"/>
        <w:jc w:val="left"/>
      </w:pPr>
      <w:r>
        <w:t xml:space="preserve"> </w:t>
      </w:r>
    </w:p>
    <w:p w:rsidR="00025683" w:rsidRDefault="007C2AAB">
      <w:pPr>
        <w:ind w:left="14" w:right="200"/>
      </w:pPr>
      <w:r>
        <w:t>“La zona de Pasacola se incluyó expresamente en la delimitación del Camino de Candelaria precisamente por sus elementos patrimoniales presentes, por su valor cultural y ambiental conformado por antiguos bancales de c</w:t>
      </w:r>
      <w:r>
        <w:t xml:space="preserve">ultivo hoy en cultivo y por constituir un paisaje casi prístino, muy poco alterado y con una calidad visual y patrimonial de primer orden.  </w:t>
      </w:r>
    </w:p>
    <w:p w:rsidR="00025683" w:rsidRDefault="007C2AAB">
      <w:pPr>
        <w:ind w:left="14" w:right="200"/>
      </w:pPr>
      <w:r>
        <w:t>Frente a esa realidad, algunas de las alternativas de ordenación plantean una transformación del mismo, introducien</w:t>
      </w:r>
      <w:r>
        <w:t>do zonas de juegos infantiles, apertura de nuevos senderos, miradores y, en general, elementos invasivos que transforman un espacio con un valor tradicional de primer orden y que generan un impacto considerable. La propia idea de transformar la actual caja</w:t>
      </w:r>
      <w:r>
        <w:t xml:space="preserve"> del camino o la creación de un espacio de aparcamiento vulneran de manera directa y contundente la imagen patrimonial que hoy tiene todo este sector.  </w:t>
      </w:r>
    </w:p>
    <w:p w:rsidR="00025683" w:rsidRDefault="007C2AAB">
      <w:pPr>
        <w:ind w:left="14" w:right="200"/>
      </w:pPr>
      <w:r>
        <w:t>Por este motivo y dado que se trata de un ámbito en el que las obras y actuaciones que se realicen requieren de la preceptiva autorización del Cabildo Insular, se advierte que la mayoría de las intervenciones previstas en las Alternativas 2 y 3 no responde</w:t>
      </w:r>
      <w:r>
        <w:t>n a los criterios de intervención que utiliza esta Unidad Técnica y, por lo tanto, se consideran inadecuadas para el espacio que nos ocupa. Posiblemente, el mismo concepto de parque periurbano no parece encajar en este ámbito, sensiblemente alejado de cual</w:t>
      </w:r>
      <w:r>
        <w:t xml:space="preserve">quier núcleo urbano y con unos rasgos que invitan a no intervenir en el mismo o hacerlo mínimamente. Ciertamente, se trata de un ámbito en el que debe primar el principio de intervención mínima expresado en la Alternativa 1, pero reduciendo incluso alguna </w:t>
      </w:r>
      <w:r>
        <w:t xml:space="preserve">de las actuaciones que propone.” </w:t>
      </w:r>
    </w:p>
    <w:p w:rsidR="00025683" w:rsidRDefault="007C2AAB">
      <w:pPr>
        <w:spacing w:after="0" w:line="259" w:lineRule="auto"/>
        <w:ind w:left="14" w:firstLine="0"/>
        <w:jc w:val="left"/>
      </w:pPr>
      <w:r>
        <w:t xml:space="preserve"> </w:t>
      </w:r>
    </w:p>
    <w:p w:rsidR="00025683" w:rsidRDefault="007C2AAB">
      <w:pPr>
        <w:ind w:left="14" w:right="200"/>
      </w:pPr>
      <w:r>
        <w:t xml:space="preserve">La Comisión Autonómica de Evaluación Ambiental, en sesión celebrada el 24 de abril de 2025, acordó formular, el DOCUMENTO DE ALCANCE en el procedimiento de la Evaluación Ambiental Estratégica Ordinaria del Plan Especial </w:t>
      </w:r>
      <w:r>
        <w:t xml:space="preserve">de Ordenación del Parque Periurbano de Pasacola, en el Término Municipal de Candelaria que se incorpora como Anexo.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DOCUMENTACIÓN INTEGRANTE DE LA APROBACION INICIAL </w:t>
      </w:r>
    </w:p>
    <w:p w:rsidR="00025683" w:rsidRDefault="007C2AAB">
      <w:pPr>
        <w:spacing w:after="0" w:line="259" w:lineRule="auto"/>
        <w:ind w:left="14" w:firstLine="0"/>
        <w:jc w:val="left"/>
      </w:pPr>
      <w:r>
        <w:t xml:space="preserve"> </w:t>
      </w:r>
    </w:p>
    <w:p w:rsidR="00025683" w:rsidRDefault="007C2AAB">
      <w:pPr>
        <w:ind w:left="14" w:right="200"/>
      </w:pPr>
      <w:r>
        <w:t>Con fecha 3 de octubre de 2025 y con registro de entrada 2025-E-RC-9385 Ainoha C</w:t>
      </w:r>
      <w:r>
        <w:t xml:space="preserve">astro Díaz, en representación de GESPLAN S.A, aporta los siguientes documentos, para la aprobación inicial:  </w:t>
      </w:r>
    </w:p>
    <w:p w:rsidR="00025683" w:rsidRDefault="007C2AAB">
      <w:pPr>
        <w:ind w:left="14" w:right="200"/>
      </w:pPr>
      <w:r>
        <w:t xml:space="preserve">Los documentos que integran este Plan Especial son los siguientes: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0048" name="Group 39004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258" name="Rectangle 1025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0259" name="Rectangle 1025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260" name="Rectangle 1026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59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0048" style="width:18.7031pt;height:260.874pt;position:absolute;mso-position-horizontal-relative:page;mso-position-horizontal:absolute;margin-left:662.928pt;mso-position-vertical-relative:page;margin-top:512.046pt;" coordsize="2375,33130">
                <v:rect id="Rectangle 1025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025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26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350 </w:t>
                        </w:r>
                      </w:p>
                    </w:txbxContent>
                  </v:textbox>
                </v:rect>
                <w10:wrap type="square"/>
              </v:group>
            </w:pict>
          </mc:Fallback>
        </mc:AlternateContent>
      </w:r>
      <w:r>
        <w:t xml:space="preserve">Documento de Información: </w:t>
      </w:r>
    </w:p>
    <w:p w:rsidR="00025683" w:rsidRDefault="007C2AAB">
      <w:pPr>
        <w:ind w:left="14" w:right="200"/>
      </w:pPr>
      <w:r>
        <w:t>Tomo I.A Memoria de Información y Diagnóstico</w:t>
      </w:r>
      <w:r>
        <w:rPr>
          <w:rFonts w:ascii="Times New Roman" w:eastAsia="Times New Roman" w:hAnsi="Times New Roman" w:cs="Times New Roman"/>
          <w:sz w:val="24"/>
        </w:rPr>
        <w:t xml:space="preserve"> </w:t>
      </w:r>
    </w:p>
    <w:p w:rsidR="00025683" w:rsidRDefault="007C2AAB">
      <w:pPr>
        <w:ind w:left="14" w:right="200"/>
      </w:pPr>
      <w:r>
        <w:t xml:space="preserve">Tomo I.B.1 Planos de Información </w:t>
      </w:r>
    </w:p>
    <w:p w:rsidR="00025683" w:rsidRDefault="007C2AAB">
      <w:pPr>
        <w:ind w:left="14" w:right="200"/>
      </w:pPr>
      <w:r>
        <w:t xml:space="preserve">Tomo I.B.2 Planos de Diagnóstico </w:t>
      </w:r>
    </w:p>
    <w:p w:rsidR="00025683" w:rsidRDefault="007C2AAB">
      <w:pPr>
        <w:spacing w:after="0" w:line="259" w:lineRule="auto"/>
        <w:ind w:left="14" w:firstLine="0"/>
        <w:jc w:val="left"/>
      </w:pPr>
      <w:r>
        <w:t xml:space="preserve"> </w:t>
      </w:r>
    </w:p>
    <w:p w:rsidR="00025683" w:rsidRDefault="007C2AAB">
      <w:pPr>
        <w:ind w:left="14" w:right="200"/>
      </w:pPr>
      <w:r>
        <w:t xml:space="preserve">Anexo I Tomo I Análisis Histórico  </w:t>
      </w:r>
    </w:p>
    <w:p w:rsidR="00025683" w:rsidRDefault="007C2AAB">
      <w:pPr>
        <w:ind w:left="14" w:right="200"/>
      </w:pPr>
      <w:r>
        <w:t xml:space="preserve">Anexo II Tomo I Análisis Patrimonial  </w:t>
      </w:r>
    </w:p>
    <w:p w:rsidR="00025683" w:rsidRDefault="007C2AAB">
      <w:pPr>
        <w:ind w:left="14" w:right="200"/>
      </w:pPr>
      <w:r>
        <w:t xml:space="preserve">Anexo III Tomo I Análisis Socioeconómico  </w:t>
      </w:r>
    </w:p>
    <w:p w:rsidR="00025683" w:rsidRDefault="007C2AAB">
      <w:pPr>
        <w:spacing w:after="0" w:line="259" w:lineRule="auto"/>
        <w:ind w:left="14" w:firstLine="0"/>
        <w:jc w:val="left"/>
      </w:pPr>
      <w: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t>Tomo II.B Planos d</w:t>
      </w:r>
      <w:r>
        <w:t xml:space="preserve">e Ordenación  </w:t>
      </w:r>
    </w:p>
    <w:p w:rsidR="00025683" w:rsidRDefault="007C2AAB">
      <w:pPr>
        <w:ind w:left="14" w:right="200"/>
      </w:pPr>
      <w:r>
        <w:t xml:space="preserve">Tomo II.C Normativa  </w:t>
      </w:r>
    </w:p>
    <w:p w:rsidR="00025683" w:rsidRDefault="007C2AAB">
      <w:pPr>
        <w:ind w:left="14" w:right="200"/>
      </w:pPr>
      <w:r>
        <w:t xml:space="preserve">Tomo II.D Informe de Sostenibilidad Económica  </w:t>
      </w:r>
    </w:p>
    <w:p w:rsidR="00025683" w:rsidRDefault="007C2AAB">
      <w:pPr>
        <w:ind w:left="14" w:right="200"/>
      </w:pPr>
      <w:r>
        <w:t xml:space="preserve">Anexo I Tomo II Criterios de diseño para el Parque Periurbano de Pasacola.  </w:t>
      </w:r>
    </w:p>
    <w:p w:rsidR="00025683" w:rsidRDefault="007C2AAB">
      <w:pPr>
        <w:spacing w:after="0" w:line="259" w:lineRule="auto"/>
        <w:ind w:left="14" w:firstLine="0"/>
        <w:jc w:val="left"/>
      </w:pP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 xml:space="preserve">Tomo III.B Planos de Información Ambiental  </w:t>
      </w:r>
    </w:p>
    <w:p w:rsidR="00025683" w:rsidRDefault="007C2AAB">
      <w:pPr>
        <w:ind w:left="14" w:right="200"/>
      </w:pPr>
      <w:r>
        <w:t xml:space="preserve">Anexo I Tomo III Resumen no Técnico del Estudio Ambiental Estratégico  </w:t>
      </w:r>
    </w:p>
    <w:p w:rsidR="00025683" w:rsidRDefault="007C2AAB">
      <w:pPr>
        <w:ind w:left="14" w:right="200"/>
      </w:pPr>
      <w:r>
        <w:t xml:space="preserve">Anexo II Tomo III Análisis de Integración Paisajística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OBJETO DE LA MODIFICACION  </w:t>
      </w:r>
    </w:p>
    <w:p w:rsidR="00025683" w:rsidRDefault="007C2AAB">
      <w:pPr>
        <w:spacing w:after="0" w:line="259" w:lineRule="auto"/>
        <w:ind w:left="14" w:firstLine="0"/>
        <w:jc w:val="left"/>
      </w:pPr>
      <w:r>
        <w:t xml:space="preserve"> </w:t>
      </w:r>
    </w:p>
    <w:p w:rsidR="00025683" w:rsidRDefault="007C2AAB">
      <w:pPr>
        <w:ind w:left="14" w:right="200"/>
      </w:pPr>
      <w:r>
        <w:t>La finalidad del presente Plan Especial de Ordenación es desarrollar la ordenación pormenorizada del Parque Periurbano de Pasacola atendiendo a las directrices y criterios de ordenación establecidos desde el vigente Plan General de Ordenación, que se puede</w:t>
      </w:r>
      <w:r>
        <w:t xml:space="preserve">n sintetizar en:  </w:t>
      </w:r>
    </w:p>
    <w:p w:rsidR="00025683" w:rsidRDefault="007C2AAB">
      <w:pPr>
        <w:spacing w:after="0" w:line="259" w:lineRule="auto"/>
        <w:ind w:left="14" w:firstLine="0"/>
        <w:jc w:val="left"/>
      </w:pPr>
      <w:r>
        <w:t xml:space="preserve"> </w:t>
      </w:r>
    </w:p>
    <w:p w:rsidR="00025683" w:rsidRDefault="007C2AAB">
      <w:pPr>
        <w:numPr>
          <w:ilvl w:val="0"/>
          <w:numId w:val="20"/>
        </w:numPr>
        <w:ind w:right="200" w:hanging="137"/>
      </w:pPr>
      <w:r>
        <w:t xml:space="preserve">Recuperación de la estructura de bancales, los caminos y el sistema de riego existente.  </w:t>
      </w:r>
    </w:p>
    <w:p w:rsidR="00025683" w:rsidRDefault="007C2AAB">
      <w:pPr>
        <w:numPr>
          <w:ilvl w:val="0"/>
          <w:numId w:val="20"/>
        </w:numPr>
        <w:ind w:right="200" w:hanging="137"/>
      </w:pPr>
      <w:r>
        <w:t xml:space="preserve">Recuperación de las edificaciones tradicionales existentes.  </w:t>
      </w:r>
    </w:p>
    <w:p w:rsidR="00025683" w:rsidRDefault="007C2AAB">
      <w:pPr>
        <w:numPr>
          <w:ilvl w:val="0"/>
          <w:numId w:val="20"/>
        </w:numPr>
        <w:ind w:right="200" w:hanging="137"/>
      </w:pPr>
      <w:r>
        <w:t>Las nuevas edificaciones seguirán las pautas de la arquitectura tradicional de la z</w:t>
      </w:r>
      <w:r>
        <w:t xml:space="preserve">ona.  </w:t>
      </w:r>
    </w:p>
    <w:p w:rsidR="00025683" w:rsidRDefault="007C2AAB">
      <w:pPr>
        <w:numPr>
          <w:ilvl w:val="0"/>
          <w:numId w:val="20"/>
        </w:numPr>
        <w:ind w:right="200" w:hanging="137"/>
      </w:pPr>
      <w:r>
        <w:t xml:space="preserve">Recuperación de los cultivos agrícolas tradicionales del Municipio.  </w:t>
      </w:r>
    </w:p>
    <w:p w:rsidR="00025683" w:rsidRDefault="007C2AAB">
      <w:pPr>
        <w:numPr>
          <w:ilvl w:val="0"/>
          <w:numId w:val="20"/>
        </w:numPr>
        <w:spacing w:after="3" w:line="238" w:lineRule="auto"/>
        <w:ind w:right="200" w:hanging="137"/>
      </w:pPr>
      <w:r>
        <w:t>El aparcamiento se situará junto al acceso entre vegetación de porte.  - El arbolado a introducir serán especies canarias (Drago, Palmera, Mocán, etc.)  - Mejora del viario de acc</w:t>
      </w:r>
      <w:r>
        <w:t xml:space="preserve">eso.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0421" name="Group 39042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365" name="Rectangle 10365"/>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0366" name="Rectangle 10366"/>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367" name="Rectangle 10367"/>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60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0421" style="width:18.7031pt;height:260.874pt;position:absolute;mso-position-horizontal-relative:page;mso-position-horizontal:absolute;margin-left:662.928pt;mso-position-vertical-relative:page;margin-top:512.046pt;" coordsize="2375,33130">
                <v:rect id="Rectangle 10365"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036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36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350 </w:t>
                        </w:r>
                      </w:p>
                    </w:txbxContent>
                  </v:textbox>
                </v:rect>
                <w10:wrap type="square"/>
              </v:group>
            </w:pict>
          </mc:Fallback>
        </mc:AlternateContent>
      </w:r>
      <w:r>
        <w:t>Se establece, por lo tanto, para esta actuación un doble objetivo ligado, por una parte, al especial interés de recuperación de los bancales de cultivo y las edificaciones tradicionales existentes propiciando la protección de elementos de interés y de su e</w:t>
      </w:r>
      <w:r>
        <w:t xml:space="preserve">ntorno inmediato y, por otra parte, la implantación de actividades que satisfagan las necesidades de ocio y esparcimiento de los vecinos de Candelaria. </w:t>
      </w:r>
    </w:p>
    <w:p w:rsidR="00025683" w:rsidRDefault="007C2AAB">
      <w:pPr>
        <w:spacing w:after="0" w:line="259" w:lineRule="auto"/>
        <w:ind w:left="14" w:firstLine="0"/>
        <w:jc w:val="left"/>
      </w:pPr>
      <w:r>
        <w:t xml:space="preserve"> </w:t>
      </w:r>
    </w:p>
    <w:p w:rsidR="00025683" w:rsidRDefault="007C2AAB">
      <w:pPr>
        <w:ind w:left="14" w:right="200"/>
      </w:pPr>
      <w:r>
        <w:t xml:space="preserve">Su delimitación es coincidente con la zona agrícola tradicional abancalada situada bajo el camino de </w:t>
      </w:r>
      <w:r>
        <w:t xml:space="preserve">Candelaria entre el Barranco de Chajarche y el Barranco de Arepo. Alberga el antiguo caserío de Pasacola, que se asentaba cerca de Igueste, en el antiguo Camino Real, que lo comunica con Barranco Hondo, contando con una extensión de 32.586,50, m2s.  </w:t>
      </w:r>
    </w:p>
    <w:p w:rsidR="00025683" w:rsidRDefault="007C2AAB">
      <w:pPr>
        <w:spacing w:after="0" w:line="259" w:lineRule="auto"/>
        <w:ind w:left="14" w:firstLine="0"/>
        <w:jc w:val="left"/>
      </w:pPr>
      <w:r>
        <w:t xml:space="preserve"> </w:t>
      </w:r>
    </w:p>
    <w:p w:rsidR="00025683" w:rsidRDefault="007C2AAB">
      <w:pPr>
        <w:ind w:left="14" w:right="200"/>
      </w:pPr>
      <w:r>
        <w:t>Est</w:t>
      </w:r>
      <w:r>
        <w:t>e ámbito se encontraba constituido por varios edificios, con sus corrales, cuevas y casas de típica arquitectura canaria, estaban construidas con piedras y barro o argamasa, hoy en estado ruinoso y de abandono.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30"/>
        <w:ind w:left="14" w:right="200"/>
      </w:pPr>
      <w:r>
        <w:t xml:space="preserve">Su valor e interés histórico ha llevado </w:t>
      </w:r>
      <w:r>
        <w:t xml:space="preserve">a integrar el ámbito en el Bien de Interés Cultural en categoría de Sitio Histórico del Camino La Candelaria (DECRETO 227/2008, de 25 de noviembre, por el que se declara Bien de Interés Cultural, con categoría de Sitio Histórico “El Camino de </w:t>
      </w:r>
    </w:p>
    <w:p w:rsidR="00025683" w:rsidRDefault="007C2AAB">
      <w:pPr>
        <w:ind w:left="14" w:right="200"/>
      </w:pPr>
      <w:r>
        <w:t>Candelaria”,</w:t>
      </w:r>
      <w:r>
        <w:t xml:space="preserve"> situado entre los términos municipales de El Rosario y Candelaria, isla de Tenerife).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986" w:firstLine="0"/>
        <w:jc w:val="right"/>
      </w:pPr>
      <w:r>
        <w:rPr>
          <w:noProof/>
        </w:rPr>
        <w:drawing>
          <wp:inline distT="0" distB="0" distL="0" distR="0">
            <wp:extent cx="5402440" cy="3582929"/>
            <wp:effectExtent l="0" t="0" r="0" b="0"/>
            <wp:docPr id="10402" name="Picture 10402"/>
            <wp:cNvGraphicFramePr/>
            <a:graphic xmlns:a="http://schemas.openxmlformats.org/drawingml/2006/main">
              <a:graphicData uri="http://schemas.openxmlformats.org/drawingml/2006/picture">
                <pic:pic xmlns:pic="http://schemas.openxmlformats.org/drawingml/2006/picture">
                  <pic:nvPicPr>
                    <pic:cNvPr id="10402" name="Picture 10402"/>
                    <pic:cNvPicPr/>
                  </pic:nvPicPr>
                  <pic:blipFill>
                    <a:blip r:embed="rId57"/>
                    <a:stretch>
                      <a:fillRect/>
                    </a:stretch>
                  </pic:blipFill>
                  <pic:spPr>
                    <a:xfrm>
                      <a:off x="0" y="0"/>
                      <a:ext cx="5402440" cy="3582929"/>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 xml:space="preserve">Parque periurbano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0727" name="Group 3907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07" name="Rectangle 10407"/>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0408" name="Rectangle 10408"/>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409" name="Rectangle 10409"/>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61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0727" style="width:18.7031pt;height:260.874pt;position:absolute;mso-position-horizontal-relative:page;mso-position-horizontal:absolute;margin-left:662.928pt;mso-position-vertical-relative:page;margin-top:512.046pt;" coordsize="2375,33130">
                <v:rect id="Rectangle 10407"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040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40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350 </w:t>
                        </w:r>
                      </w:p>
                    </w:txbxContent>
                  </v:textbox>
                </v:rect>
                <w10:wrap type="square"/>
              </v:group>
            </w:pict>
          </mc:Fallback>
        </mc:AlternateContent>
      </w:r>
      <w:r>
        <w:rPr>
          <w:b/>
        </w:rPr>
        <w:t xml:space="preserve"> </w:t>
      </w:r>
    </w:p>
    <w:p w:rsidR="00025683" w:rsidRDefault="007C2AAB">
      <w:pPr>
        <w:spacing w:after="0" w:line="259" w:lineRule="auto"/>
        <w:ind w:left="0" w:right="1012" w:firstLine="0"/>
        <w:jc w:val="right"/>
      </w:pPr>
      <w:r>
        <w:rPr>
          <w:noProof/>
        </w:rPr>
        <w:drawing>
          <wp:inline distT="0" distB="0" distL="0" distR="0">
            <wp:extent cx="5382430" cy="3524771"/>
            <wp:effectExtent l="0" t="0" r="0" b="0"/>
            <wp:docPr id="10404" name="Picture 10404"/>
            <wp:cNvGraphicFramePr/>
            <a:graphic xmlns:a="http://schemas.openxmlformats.org/drawingml/2006/main">
              <a:graphicData uri="http://schemas.openxmlformats.org/drawingml/2006/picture">
                <pic:pic xmlns:pic="http://schemas.openxmlformats.org/drawingml/2006/picture">
                  <pic:nvPicPr>
                    <pic:cNvPr id="10404" name="Picture 10404"/>
                    <pic:cNvPicPr/>
                  </pic:nvPicPr>
                  <pic:blipFill>
                    <a:blip r:embed="rId58"/>
                    <a:stretch>
                      <a:fillRect/>
                    </a:stretch>
                  </pic:blipFill>
                  <pic:spPr>
                    <a:xfrm>
                      <a:off x="0" y="0"/>
                      <a:ext cx="5382430" cy="352477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 xml:space="preserve">Suelo rústico de protección cultura. Ámbito del BIC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3000" name="Group 3930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45" name="Rectangle 10445"/>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0446" name="Rectangle 10446"/>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447" name="Rectangle 10447"/>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62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3000" style="width:18.7031pt;height:260.874pt;position:absolute;mso-position-horizontal-relative:page;mso-position-horizontal:absolute;margin-left:662.928pt;mso-position-vertical-relative:page;margin-top:512.046pt;" coordsize="2375,33130">
                <v:rect id="Rectangle 10445"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044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44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350 </w:t>
                        </w:r>
                      </w:p>
                    </w:txbxContent>
                  </v:textbox>
                </v:rect>
                <w10:wrap type="topAndBottom"/>
              </v:group>
            </w:pict>
          </mc:Fallback>
        </mc:AlternateContent>
      </w:r>
      <w:r>
        <w:rPr>
          <w:b/>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inline distT="0" distB="0" distL="0" distR="0">
                <wp:extent cx="5392619" cy="7552959"/>
                <wp:effectExtent l="0" t="0" r="0" b="0"/>
                <wp:docPr id="392999" name="Group 392999"/>
                <wp:cNvGraphicFramePr/>
                <a:graphic xmlns:a="http://schemas.openxmlformats.org/drawingml/2006/main">
                  <a:graphicData uri="http://schemas.microsoft.com/office/word/2010/wordprocessingGroup">
                    <wpg:wgp>
                      <wpg:cNvGrpSpPr/>
                      <wpg:grpSpPr>
                        <a:xfrm>
                          <a:off x="0" y="0"/>
                          <a:ext cx="5392619" cy="7552959"/>
                          <a:chOff x="0" y="0"/>
                          <a:chExt cx="5392619" cy="7552959"/>
                        </a:xfrm>
                      </wpg:grpSpPr>
                      <wps:wsp>
                        <wps:cNvPr id="10437" name="Rectangle 10437"/>
                        <wps:cNvSpPr/>
                        <wps:spPr>
                          <a:xfrm>
                            <a:off x="305" y="4232685"/>
                            <a:ext cx="51809" cy="207921"/>
                          </a:xfrm>
                          <a:prstGeom prst="rect">
                            <a:avLst/>
                          </a:prstGeom>
                          <a:ln>
                            <a:noFill/>
                          </a:ln>
                        </wps:spPr>
                        <wps:txbx>
                          <w:txbxContent>
                            <w:p w:rsidR="00025683" w:rsidRDefault="007C2AA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0440" name="Picture 10440"/>
                          <pic:cNvPicPr/>
                        </pic:nvPicPr>
                        <pic:blipFill>
                          <a:blip r:embed="rId59"/>
                          <a:stretch>
                            <a:fillRect/>
                          </a:stretch>
                        </pic:blipFill>
                        <pic:spPr>
                          <a:xfrm>
                            <a:off x="0" y="0"/>
                            <a:ext cx="5386664" cy="4230752"/>
                          </a:xfrm>
                          <a:prstGeom prst="rect">
                            <a:avLst/>
                          </a:prstGeom>
                        </pic:spPr>
                      </pic:pic>
                      <pic:pic xmlns:pic="http://schemas.openxmlformats.org/drawingml/2006/picture">
                        <pic:nvPicPr>
                          <pic:cNvPr id="10442" name="Picture 10442"/>
                          <pic:cNvPicPr/>
                        </pic:nvPicPr>
                        <pic:blipFill>
                          <a:blip r:embed="rId61"/>
                          <a:stretch>
                            <a:fillRect/>
                          </a:stretch>
                        </pic:blipFill>
                        <pic:spPr>
                          <a:xfrm>
                            <a:off x="0" y="4390778"/>
                            <a:ext cx="5392619" cy="3162182"/>
                          </a:xfrm>
                          <a:prstGeom prst="rect">
                            <a:avLst/>
                          </a:prstGeom>
                        </pic:spPr>
                      </pic:pic>
                    </wpg:wgp>
                  </a:graphicData>
                </a:graphic>
              </wp:inline>
            </w:drawing>
          </mc:Choice>
          <mc:Fallback xmlns:a="http://schemas.openxmlformats.org/drawingml/2006/main">
            <w:pict>
              <v:group id="Group 392999" style="width:424.616pt;height:594.721pt;mso-position-horizontal-relative:char;mso-position-vertical-relative:line" coordsize="53926,75529">
                <v:rect id="Rectangle 10437" style="position:absolute;width:518;height:2079;left:3;top:42326;"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10440" style="position:absolute;width:53866;height:42307;left:0;top:0;" filled="f">
                  <v:imagedata r:id="rId61"/>
                </v:shape>
                <v:shape id="Picture 10442" style="position:absolute;width:53926;height:31621;left:0;top:43907;" filled="f">
                  <v:imagedata r:id="rId62"/>
                </v:shape>
              </v:group>
            </w:pict>
          </mc:Fallback>
        </mc:AlternateContent>
      </w:r>
    </w:p>
    <w:p w:rsidR="00025683" w:rsidRDefault="007C2AAB">
      <w:pPr>
        <w:spacing w:after="0" w:line="259" w:lineRule="auto"/>
        <w:ind w:left="0" w:right="983" w:firstLine="0"/>
        <w:jc w:val="right"/>
      </w:pPr>
      <w:r>
        <w:rPr>
          <w:noProof/>
        </w:rPr>
        <w:drawing>
          <wp:inline distT="0" distB="0" distL="0" distR="0">
            <wp:extent cx="5400985" cy="867066"/>
            <wp:effectExtent l="0" t="0" r="0" b="0"/>
            <wp:docPr id="10547" name="Picture 10547"/>
            <wp:cNvGraphicFramePr/>
            <a:graphic xmlns:a="http://schemas.openxmlformats.org/drawingml/2006/main">
              <a:graphicData uri="http://schemas.openxmlformats.org/drawingml/2006/picture">
                <pic:pic xmlns:pic="http://schemas.openxmlformats.org/drawingml/2006/picture">
                  <pic:nvPicPr>
                    <pic:cNvPr id="10547" name="Picture 10547"/>
                    <pic:cNvPicPr/>
                  </pic:nvPicPr>
                  <pic:blipFill>
                    <a:blip r:embed="rId63"/>
                    <a:stretch>
                      <a:fillRect/>
                    </a:stretch>
                  </pic:blipFill>
                  <pic:spPr>
                    <a:xfrm>
                      <a:off x="0" y="0"/>
                      <a:ext cx="5400985" cy="86706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ALTERNATIVA SELECCIONADA </w:t>
      </w:r>
    </w:p>
    <w:p w:rsidR="00025683" w:rsidRDefault="007C2AAB">
      <w:pPr>
        <w:spacing w:after="0" w:line="259" w:lineRule="auto"/>
        <w:ind w:left="14" w:firstLine="0"/>
        <w:jc w:val="left"/>
      </w:pPr>
      <w:r>
        <w:t xml:space="preserve"> </w:t>
      </w:r>
    </w:p>
    <w:p w:rsidR="00025683" w:rsidRDefault="007C2AAB">
      <w:pPr>
        <w:ind w:left="14" w:right="200"/>
      </w:pPr>
      <w:r>
        <w:t>La propuesta de ordenación para el Parque Periurbano de Pasacola parte de la Alternativa 1 – Un Espacio para la Histori</w:t>
      </w:r>
      <w:r>
        <w:t>a, que plantea la recuperación del ámbito en condiciones lo más cercanas posible a su estado original, concibiéndolo como un espacio de esparcimiento al servicio del municipio, en el que se conserven e integren los vestigios del antiguo asentamiento de Pas</w:t>
      </w:r>
      <w:r>
        <w:t xml:space="preserve">acola.  </w:t>
      </w:r>
    </w:p>
    <w:p w:rsidR="00025683" w:rsidRDefault="007C2AAB">
      <w:pPr>
        <w:ind w:left="14" w:right="200"/>
      </w:pPr>
      <w:r>
        <w:t>Esta propuesta se fundamenta en un modelo de intervención mínima, respetuoso con la memoria histórica y los valores ambientales del lugar, que prioriza la restauración del paisaje agrario tradicional y la activación de usos compatibles con su cará</w:t>
      </w:r>
      <w:r>
        <w:t>cter patrimonial y productivo.  El espacio del parque se concibe como un ámbito de regeneración ambiental y patrimonial, diseñado para recuperar y poner en valor tanto los ecosistemas naturales como la memoria histórica del lugar. Este espacio estará abier</w:t>
      </w:r>
      <w:r>
        <w:t xml:space="preserve">to a la visita pública y contará con un recorrido interpretativo que permitirá a los visitantes descubrir y comprender los restos históricos del antiguo caserío de Pasacola, cuyas huellas forman parte del legado cultural del territorio.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2657" name="Group 3926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550" name="Rectangle 10550"/>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0551" name="Rectangle 10551"/>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552" name="Rectangle 10552"/>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63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2657" style="width:18.7031pt;height:260.874pt;position:absolute;mso-position-horizontal-relative:page;mso-position-horizontal:absolute;margin-left:662.928pt;mso-position-vertical-relative:page;margin-top:512.046pt;" coordsize="2375,33130">
                <v:rect id="Rectangle 10550"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055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55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350 </w:t>
                        </w:r>
                      </w:p>
                    </w:txbxContent>
                  </v:textbox>
                </v:rect>
                <w10:wrap type="square"/>
              </v:group>
            </w:pict>
          </mc:Fallback>
        </mc:AlternateContent>
      </w:r>
      <w:r>
        <w:t>A través de paneles informativos, señalización temática y ele</w:t>
      </w:r>
      <w:r>
        <w:t>mentos museográficos al aire libre, de baja intensidad visual, el recorrido ofrecerá una experiencia educativa dirigida a diversos públicos, fomentando el conocimiento del patrimonio rural y la relación entre la comunidad y su entorno. Además, el parque in</w:t>
      </w:r>
      <w:r>
        <w:t xml:space="preserve">tegrará áreas de descanso estratégicamente ubicadas, que invitarán a la contemplación y la pausa, ligados al camino tradicional de La Candelaria, reforzando su dimensión cultural y paisajística.  </w:t>
      </w:r>
    </w:p>
    <w:p w:rsidR="00025683" w:rsidRDefault="007C2AAB">
      <w:pPr>
        <w:ind w:left="14" w:right="200"/>
      </w:pPr>
      <w:r>
        <w:t>El diseño del parque priorizará criterios de sostenibilidad</w:t>
      </w:r>
      <w:r>
        <w:t>, restauración ecológica y accesibilidad universal, de modo que se convierta en un referente de intervención respetuosa con el medio ambiente y con el patrimonio material e inmaterial.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De esta manera, se aspira a que el espacio se consolide como un lu</w:t>
      </w:r>
      <w:r>
        <w:t xml:space="preserve">gar de encuentro, aprendizaje y recreación para la población local y los visitantes, al tiempo que contribuye a la protección y revitalización de los valores identitarios del territorio.  </w:t>
      </w:r>
    </w:p>
    <w:p w:rsidR="00025683" w:rsidRDefault="007C2AAB">
      <w:pPr>
        <w:spacing w:after="0" w:line="259" w:lineRule="auto"/>
        <w:ind w:left="14" w:firstLine="0"/>
        <w:jc w:val="left"/>
      </w:pPr>
      <w:r>
        <w:t xml:space="preserve"> </w:t>
      </w:r>
    </w:p>
    <w:p w:rsidR="00025683" w:rsidRDefault="007C2AAB">
      <w:pPr>
        <w:ind w:left="14" w:right="200"/>
      </w:pPr>
      <w:r>
        <w:t>Los objetivos que orientan la ordenación se precisan así de la si</w:t>
      </w:r>
      <w:r>
        <w:t xml:space="preserve">guiente forma:  </w:t>
      </w:r>
    </w:p>
    <w:p w:rsidR="00025683" w:rsidRDefault="007C2AAB">
      <w:pPr>
        <w:spacing w:after="0" w:line="259" w:lineRule="auto"/>
        <w:ind w:left="14" w:firstLine="0"/>
        <w:jc w:val="left"/>
      </w:pPr>
      <w:r>
        <w:t xml:space="preserve"> </w:t>
      </w:r>
    </w:p>
    <w:p w:rsidR="00025683" w:rsidRDefault="007C2AAB">
      <w:pPr>
        <w:numPr>
          <w:ilvl w:val="0"/>
          <w:numId w:val="21"/>
        </w:numPr>
        <w:ind w:right="200"/>
      </w:pPr>
      <w:r>
        <w:t xml:space="preserve">Identificar, categorizar y favorecer la conservación y puesta en valor el patrimonio cultural del ámbito de Pasacola, con el fin de desarrollar todo su potencial y garantizar un nivel adecuado de conservación, uso y mantenimiento.  </w:t>
      </w:r>
    </w:p>
    <w:p w:rsidR="00025683" w:rsidRDefault="007C2AAB">
      <w:pPr>
        <w:numPr>
          <w:ilvl w:val="0"/>
          <w:numId w:val="21"/>
        </w:numPr>
        <w:ind w:right="200"/>
      </w:pPr>
      <w:r>
        <w:t>Adop</w:t>
      </w:r>
      <w:r>
        <w:t xml:space="preserve">tación de medidas de conservación, mejora y protección de la naturaleza y del patrimonio natural de Pasacola.  </w:t>
      </w:r>
    </w:p>
    <w:p w:rsidR="00025683" w:rsidRDefault="007C2AAB">
      <w:pPr>
        <w:numPr>
          <w:ilvl w:val="0"/>
          <w:numId w:val="21"/>
        </w:numPr>
        <w:ind w:right="200"/>
      </w:pPr>
      <w:r>
        <w:t>Implantación limitada de los usos, con especial atención a las características geomorfológicas del territorio y a los valores patrimoniales exis</w:t>
      </w:r>
      <w:r>
        <w:t xml:space="preserve">tentes, garantizando en todo momento un desarrollo sostenible que respete el medioambiente y los recursos naturales.  </w:t>
      </w:r>
    </w:p>
    <w:p w:rsidR="00025683" w:rsidRDefault="007C2AAB">
      <w:pPr>
        <w:numPr>
          <w:ilvl w:val="0"/>
          <w:numId w:val="21"/>
        </w:numPr>
        <w:ind w:right="200"/>
      </w:pPr>
      <w:r>
        <w:t xml:space="preserve">Fomentar actuaciones basadas en estrategias de movilidad sostenible considerando las limitaciones propias del lugar.  </w:t>
      </w:r>
    </w:p>
    <w:p w:rsidR="00025683" w:rsidRDefault="007C2AAB">
      <w:pPr>
        <w:numPr>
          <w:ilvl w:val="0"/>
          <w:numId w:val="21"/>
        </w:numPr>
        <w:ind w:right="200"/>
      </w:pPr>
      <w:r>
        <w:t>Inclusión de la pe</w:t>
      </w:r>
      <w:r>
        <w:t xml:space="preserve">rspectiva de género en el diseño y ejecución de las distintas zonas y recorridos.  </w:t>
      </w:r>
    </w:p>
    <w:p w:rsidR="00025683" w:rsidRDefault="007C2AAB">
      <w:pPr>
        <w:numPr>
          <w:ilvl w:val="0"/>
          <w:numId w:val="21"/>
        </w:numPr>
        <w:ind w:right="200"/>
      </w:pPr>
      <w:r>
        <w:t xml:space="preserve">Recuperación de la estructura de bancales tradicionales, reestableciendo así el carácter del ámbito.  </w:t>
      </w:r>
    </w:p>
    <w:p w:rsidR="00025683" w:rsidRDefault="007C2AAB">
      <w:pPr>
        <w:numPr>
          <w:ilvl w:val="0"/>
          <w:numId w:val="21"/>
        </w:numPr>
        <w:ind w:right="200"/>
      </w:pPr>
      <w:r>
        <w:t xml:space="preserve">Conservación y mantenimiento de los vestigios arqueológicos del caserío de Pasacola en su estado actual.  </w:t>
      </w:r>
    </w:p>
    <w:p w:rsidR="00025683" w:rsidRDefault="007C2AAB">
      <w:pPr>
        <w:numPr>
          <w:ilvl w:val="0"/>
          <w:numId w:val="21"/>
        </w:numPr>
        <w:ind w:right="200"/>
      </w:pPr>
      <w:r>
        <w:t>Difundir los valores naturales e históricos existentes en el ámbito procurando potenciar su identidad y fomentando la conservación y mejora del entor</w:t>
      </w:r>
      <w:r>
        <w:t xml:space="preserve">no, con la incorporación de discurso interpretativo del caserío.  </w:t>
      </w:r>
    </w:p>
    <w:p w:rsidR="00025683" w:rsidRDefault="007C2AAB">
      <w:pPr>
        <w:numPr>
          <w:ilvl w:val="0"/>
          <w:numId w:val="21"/>
        </w:numPr>
        <w:ind w:right="200"/>
      </w:pPr>
      <w:r>
        <w:t>Recualificación del paisaje a través de la recuperación carácter agrícola del ámbito mediante la recuperación de los trazados y los elementos que se conservan del caserío original, con espe</w:t>
      </w:r>
      <w:r>
        <w:t xml:space="preserve">cial relevancia a los bancales de cultivo existentes, quedando integradas en la ordenación propuesta.  - Protección de restos de vegetación potencial que constituyen hábitats naturales de interés comunitario.  </w:t>
      </w:r>
    </w:p>
    <w:p w:rsidR="00025683" w:rsidRDefault="007C2AAB">
      <w:pPr>
        <w:numPr>
          <w:ilvl w:val="0"/>
          <w:numId w:val="21"/>
        </w:numPr>
        <w:ind w:right="200"/>
      </w:pPr>
      <w:r>
        <w:t>Eliminación de especies invasoras detectadas, entre ellas el piteral, el tuneral y el rabo de gato.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3196" name="Group 3931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635" name="Rectangle 10635"/>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0636" name="Rectangle 10636"/>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637" name="Rectangle 10637"/>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w:t>
                              </w:r>
                              <w:r>
                                <w:rPr>
                                  <w:sz w:val="12"/>
                                </w:rPr>
                                <w:t xml:space="preserve"> plataforma esPublico Gestiona | Página 64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3196" style="width:18.7031pt;height:260.874pt;position:absolute;mso-position-horizontal-relative:page;mso-position-horizontal:absolute;margin-left:662.928pt;mso-position-vertical-relative:page;margin-top:512.046pt;" coordsize="2375,33130">
                <v:rect id="Rectangle 10635"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063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63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350 </w:t>
                        </w:r>
                      </w:p>
                    </w:txbxContent>
                  </v:textbox>
                </v:rect>
                <w10:wrap type="topAndBottom"/>
              </v:group>
            </w:pict>
          </mc:Fallback>
        </mc:AlternateContent>
      </w:r>
      <w:r>
        <w:rPr>
          <w:b/>
        </w:rPr>
        <w:t xml:space="preserve"> </w:t>
      </w:r>
    </w:p>
    <w:p w:rsidR="00025683" w:rsidRDefault="007C2AAB">
      <w:pPr>
        <w:spacing w:after="0" w:line="259" w:lineRule="auto"/>
        <w:ind w:left="0" w:right="355" w:firstLine="0"/>
        <w:jc w:val="right"/>
      </w:pPr>
      <w:r>
        <w:rPr>
          <w:noProof/>
        </w:rPr>
        <w:drawing>
          <wp:inline distT="0" distB="0" distL="0" distR="0">
            <wp:extent cx="5789992" cy="4258129"/>
            <wp:effectExtent l="0" t="0" r="0" b="0"/>
            <wp:docPr id="10632" name="Picture 10632"/>
            <wp:cNvGraphicFramePr/>
            <a:graphic xmlns:a="http://schemas.openxmlformats.org/drawingml/2006/main">
              <a:graphicData uri="http://schemas.openxmlformats.org/drawingml/2006/picture">
                <pic:pic xmlns:pic="http://schemas.openxmlformats.org/drawingml/2006/picture">
                  <pic:nvPicPr>
                    <pic:cNvPr id="10632" name="Picture 10632"/>
                    <pic:cNvPicPr/>
                  </pic:nvPicPr>
                  <pic:blipFill>
                    <a:blip r:embed="rId64"/>
                    <a:stretch>
                      <a:fillRect/>
                    </a:stretch>
                  </pic:blipFill>
                  <pic:spPr>
                    <a:xfrm>
                      <a:off x="0" y="0"/>
                      <a:ext cx="5789992" cy="4258129"/>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Teniendo en cuenta todas las consideraciones y condicionantes previos, se propone una zonificación dentro del ámbito del Plan Especial, con el objetivo de ordenar y regular los usos y las posibles int</w:t>
      </w:r>
      <w:r>
        <w:t xml:space="preserve">ervenciones. Se delimitan tres zonas de ordenación:  </w:t>
      </w:r>
    </w:p>
    <w:p w:rsidR="00025683" w:rsidRDefault="007C2AAB">
      <w:pPr>
        <w:numPr>
          <w:ilvl w:val="0"/>
          <w:numId w:val="21"/>
        </w:numPr>
        <w:ind w:right="200"/>
      </w:pPr>
      <w:r>
        <w:t xml:space="preserve">Zona A – Caserío de Pasacola  </w:t>
      </w:r>
    </w:p>
    <w:p w:rsidR="00025683" w:rsidRDefault="007C2AAB">
      <w:pPr>
        <w:numPr>
          <w:ilvl w:val="0"/>
          <w:numId w:val="21"/>
        </w:numPr>
        <w:ind w:right="200"/>
      </w:pPr>
      <w:r>
        <w:t xml:space="preserve">Zona B – Bancales tradicionales  </w:t>
      </w:r>
    </w:p>
    <w:p w:rsidR="00025683" w:rsidRDefault="007C2AAB">
      <w:pPr>
        <w:numPr>
          <w:ilvl w:val="0"/>
          <w:numId w:val="21"/>
        </w:numPr>
        <w:ind w:right="200"/>
      </w:pPr>
      <w:r>
        <w:t xml:space="preserve">Zona C – Rehabilitación ambiental  </w:t>
      </w:r>
    </w:p>
    <w:p w:rsidR="00025683" w:rsidRDefault="007C2AAB">
      <w:pPr>
        <w:ind w:left="14" w:right="200"/>
      </w:pPr>
      <w:r>
        <w:t xml:space="preserve">ZONA A – CASERÍO DE PASACOLA  </w:t>
      </w:r>
    </w:p>
    <w:p w:rsidR="00025683" w:rsidRDefault="007C2AAB">
      <w:pPr>
        <w:ind w:left="14" w:right="200"/>
      </w:pPr>
      <w:r>
        <w:t xml:space="preserve">Se delimita la Zona A – </w:t>
      </w:r>
      <w:r>
        <w:t>Caserío de Pasacola, que recoge los restos reconocibles del antiguo asentamiento, integrados por vestigios de edificaciones, hornos, la era comunitaria, una cueva cercana y restos de material disperso. Esta zona incluye además el sendero tradicional que pa</w:t>
      </w:r>
      <w:r>
        <w:t xml:space="preserve">rte del camino de La Candelaria y culmina en la zona de la era.  </w:t>
      </w:r>
    </w:p>
    <w:p w:rsidR="00025683" w:rsidRDefault="007C2AAB">
      <w:pPr>
        <w:ind w:left="14" w:right="200"/>
      </w:pPr>
      <w:r>
        <w:t>En esta zona se plantea la consolidación y el mantenimiento de los restos del caserío, acompañados de la incorporación de un recorrido interpretativo que se apoye en los senderos y caminos e</w:t>
      </w:r>
      <w:r>
        <w:t xml:space="preserve">xistentes. Este discurso interpretativo partirá del camino de La </w:t>
      </w:r>
      <w:r>
        <w:rPr>
          <w:rFonts w:ascii="Times New Roman" w:eastAsia="Times New Roman" w:hAnsi="Times New Roman" w:cs="Times New Roman"/>
          <w:sz w:val="24"/>
        </w:rPr>
        <w:t xml:space="preserve"> </w:t>
      </w:r>
    </w:p>
    <w:p w:rsidR="00025683" w:rsidRDefault="007C2AAB">
      <w:pPr>
        <w:ind w:left="14" w:right="200"/>
      </w:pPr>
      <w:r>
        <w:t xml:space="preserve">Candelaria, diseñado para atraer a los transeúntes mediante elementos de baja intensidad visual y un diseño cuidado, basado en paneles explicativos.  </w:t>
      </w:r>
    </w:p>
    <w:p w:rsidR="00025683" w:rsidRDefault="007C2AAB">
      <w:pPr>
        <w:ind w:left="14" w:right="200"/>
      </w:pPr>
      <w:r>
        <w:t>El acondicionamiento de los caminos ma</w:t>
      </w:r>
      <w:r>
        <w:t xml:space="preserve">ntendrá el firme de tierra actual para preservar la naturalidad del entorno.  </w:t>
      </w:r>
    </w:p>
    <w:p w:rsidR="00025683" w:rsidRDefault="007C2AAB">
      <w:pPr>
        <w:ind w:left="14" w:right="200"/>
      </w:pPr>
      <w:r>
        <w:t>Además, se diseñará una zona de mirador en la parte baja del caserío, situada en un punto óptimo para la contemplación del Valle y la Montaña de Güímar, donde el mobiliario y la</w:t>
      </w:r>
      <w:r>
        <w:t xml:space="preserve"> urbanización serán de mínima intervención, evitando competir visual y estéticamente con las características naturales del entorno.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3278" name="Group 39327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776" name="Rectangle 10776"/>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0777" name="Rectangle 10777"/>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778" name="Rectangle 10778"/>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Documento firmad</w:t>
                              </w:r>
                              <w:r>
                                <w:rPr>
                                  <w:sz w:val="12"/>
                                </w:rPr>
                                <w:t xml:space="preserve">o electrónicamente desde la plataforma esPublico Gestiona | Página 65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3278" style="width:18.7031pt;height:260.874pt;position:absolute;mso-position-horizontal-relative:page;mso-position-horizontal:absolute;margin-left:662.928pt;mso-position-vertical-relative:page;margin-top:512.046pt;" coordsize="2375,33130">
                <v:rect id="Rectangle 10776"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077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77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350 </w:t>
                        </w:r>
                      </w:p>
                    </w:txbxContent>
                  </v:textbox>
                </v:rect>
                <w10:wrap type="square"/>
              </v:group>
            </w:pict>
          </mc:Fallback>
        </mc:AlternateContent>
      </w:r>
      <w:r>
        <w:t xml:space="preserve">ZONA B – BANCALES TRADICIONALES  </w:t>
      </w:r>
    </w:p>
    <w:p w:rsidR="00025683" w:rsidRDefault="007C2AAB">
      <w:pPr>
        <w:spacing w:after="0" w:line="259" w:lineRule="auto"/>
        <w:ind w:left="14" w:firstLine="0"/>
        <w:jc w:val="left"/>
      </w:pPr>
      <w:r>
        <w:t xml:space="preserve"> </w:t>
      </w:r>
    </w:p>
    <w:p w:rsidR="00025683" w:rsidRDefault="007C2AAB">
      <w:pPr>
        <w:ind w:left="14" w:right="200"/>
      </w:pPr>
      <w:r>
        <w:t>Se delimita la Zona B – Bancales Tradicionales, recogiendo las áreas abancaladas originales que se encuentran en mejor estado de conservación,</w:t>
      </w:r>
      <w:r>
        <w:t xml:space="preserve"> considerando que tienen suficiente valor para su recuperación.  </w:t>
      </w:r>
    </w:p>
    <w:p w:rsidR="00025683" w:rsidRDefault="007C2AAB">
      <w:pPr>
        <w:ind w:left="14" w:right="200"/>
      </w:pPr>
      <w:r>
        <w:t>Se plantea la recuperación de las estructuras originales de muros y bancales, así como la restauración de los sistemas de abastecimiento de agua existentes, con el fin de recuperar el caráct</w:t>
      </w:r>
      <w:r>
        <w:t xml:space="preserve">er agrícola tradicional de la zona.  </w:t>
      </w:r>
    </w:p>
    <w:p w:rsidR="00025683" w:rsidRDefault="007C2AAB">
      <w:pPr>
        <w:ind w:left="14" w:right="200"/>
      </w:pPr>
      <w:r>
        <w:t>Estos ámbitos se proponen tanto como espacios de interpretación de las técnicas de cultivo ancestral, combinando la puesta en producción agrícola, como zonas estanciales destinadas al descanso y la contemplación, de ac</w:t>
      </w:r>
      <w:r>
        <w:t xml:space="preserve">uerdo con los objetivos y necesidades del órgano promotor.  </w:t>
      </w:r>
    </w:p>
    <w:p w:rsidR="00025683" w:rsidRDefault="007C2AAB">
      <w:pPr>
        <w:spacing w:after="0" w:line="259" w:lineRule="auto"/>
        <w:ind w:left="14" w:firstLine="0"/>
        <w:jc w:val="left"/>
      </w:pPr>
      <w:r>
        <w:t xml:space="preserve"> </w:t>
      </w:r>
    </w:p>
    <w:p w:rsidR="00025683" w:rsidRDefault="007C2AAB">
      <w:pPr>
        <w:ind w:left="14" w:right="200"/>
      </w:pPr>
      <w:r>
        <w:t xml:space="preserve">ZONA C – REHABILITACIÓN AMBIENTAL  </w:t>
      </w:r>
    </w:p>
    <w:p w:rsidR="00025683" w:rsidRDefault="007C2AAB">
      <w:pPr>
        <w:spacing w:after="0" w:line="259" w:lineRule="auto"/>
        <w:ind w:left="14" w:firstLine="0"/>
        <w:jc w:val="left"/>
      </w:pPr>
      <w:r>
        <w:t xml:space="preserve"> </w:t>
      </w:r>
    </w:p>
    <w:p w:rsidR="00025683" w:rsidRDefault="007C2AAB">
      <w:pPr>
        <w:ind w:left="14" w:right="200"/>
      </w:pPr>
      <w:r>
        <w:t xml:space="preserve">El resto del ámbito del Plan Especial se recoge en la Zona C – </w:t>
      </w:r>
      <w:r>
        <w:t>Rehabilitación Ambiental, compuesta por suelos que, debido a sus características orográficas, su difícil acceso o por tratarse de zonas de bancales perdidos, no son aptos para intervenciones intensivas. En estos sectores se plantea únicamente la regeneraci</w:t>
      </w:r>
      <w:r>
        <w:t xml:space="preserve">ón y limpieza del entorno, priorizando la conservación y el mantenimiento de los hábitats naturales existentes.  </w:t>
      </w:r>
    </w:p>
    <w:p w:rsidR="00025683" w:rsidRDefault="007C2AAB">
      <w:pPr>
        <w:ind w:left="14" w:right="200"/>
      </w:pPr>
      <w:r>
        <w:t>En las áreas susceptibles de revegetación, se fomentará la plantación de especies autóctonas propias del piso bioclimático. Asimismo, se proce</w:t>
      </w:r>
      <w:r>
        <w:t>derá a la eliminación de especies invasoras detectadas, entre ellas el piteral, el tuneral y el rabo de gato.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646" w:firstLine="0"/>
        <w:jc w:val="right"/>
      </w:pPr>
      <w:r>
        <w:rPr>
          <w:noProof/>
        </w:rPr>
        <w:drawing>
          <wp:inline distT="0" distB="0" distL="0" distR="0">
            <wp:extent cx="4962993" cy="6028831"/>
            <wp:effectExtent l="0" t="0" r="0" b="0"/>
            <wp:docPr id="10809" name="Picture 10809"/>
            <wp:cNvGraphicFramePr/>
            <a:graphic xmlns:a="http://schemas.openxmlformats.org/drawingml/2006/main">
              <a:graphicData uri="http://schemas.openxmlformats.org/drawingml/2006/picture">
                <pic:pic xmlns:pic="http://schemas.openxmlformats.org/drawingml/2006/picture">
                  <pic:nvPicPr>
                    <pic:cNvPr id="10809" name="Picture 10809"/>
                    <pic:cNvPicPr/>
                  </pic:nvPicPr>
                  <pic:blipFill>
                    <a:blip r:embed="rId65"/>
                    <a:stretch>
                      <a:fillRect/>
                    </a:stretch>
                  </pic:blipFill>
                  <pic:spPr>
                    <a:xfrm>
                      <a:off x="0" y="0"/>
                      <a:ext cx="4962993" cy="602883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3342" name="Group 3933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812" name="Rectangle 10812"/>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0813" name="Rectangle 10813"/>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814" name="Rectangle 10814"/>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w:t>
                              </w:r>
                              <w:r>
                                <w:rPr>
                                  <w:sz w:val="12"/>
                                </w:rPr>
                                <w:t xml:space="preserve">ente desde la plataforma esPublico Gestiona | Página 66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3342" style="width:18.7031pt;height:260.874pt;position:absolute;mso-position-horizontal-relative:page;mso-position-horizontal:absolute;margin-left:662.928pt;mso-position-vertical-relative:page;margin-top:512.046pt;" coordsize="2375,33130">
                <v:rect id="Rectangle 10812"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0813"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814"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350 </w:t>
                        </w:r>
                      </w:p>
                    </w:txbxContent>
                  </v:textbox>
                </v:rect>
                <w10:wrap type="topAndBottom"/>
              </v:group>
            </w:pict>
          </mc:Fallback>
        </mc:AlternateContent>
      </w: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523" w:firstLine="0"/>
        <w:jc w:val="right"/>
      </w:pPr>
      <w:r>
        <w:rPr>
          <w:noProof/>
        </w:rPr>
        <w:drawing>
          <wp:inline distT="0" distB="0" distL="0" distR="0">
            <wp:extent cx="5047098" cy="1761676"/>
            <wp:effectExtent l="0" t="0" r="0" b="0"/>
            <wp:docPr id="10915" name="Picture 10915"/>
            <wp:cNvGraphicFramePr/>
            <a:graphic xmlns:a="http://schemas.openxmlformats.org/drawingml/2006/main">
              <a:graphicData uri="http://schemas.openxmlformats.org/drawingml/2006/picture">
                <pic:pic xmlns:pic="http://schemas.openxmlformats.org/drawingml/2006/picture">
                  <pic:nvPicPr>
                    <pic:cNvPr id="10915" name="Picture 10915"/>
                    <pic:cNvPicPr/>
                  </pic:nvPicPr>
                  <pic:blipFill>
                    <a:blip r:embed="rId66"/>
                    <a:stretch>
                      <a:fillRect/>
                    </a:stretch>
                  </pic:blipFill>
                  <pic:spPr>
                    <a:xfrm>
                      <a:off x="0" y="0"/>
                      <a:ext cx="5047098" cy="176167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CONCLUSIONES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27"/>
        <w:ind w:left="14" w:right="200"/>
      </w:pPr>
      <w:r>
        <w:t xml:space="preserve">De acuerdo a todo lo expuesto anteriormente, se informa FAVORABLE la aprobación inicial del Plan Especial Parque Periurbano de Pasacola, T.M. de Candelaria…” </w:t>
      </w:r>
    </w:p>
    <w:p w:rsidR="00025683" w:rsidRDefault="007C2AAB">
      <w:pPr>
        <w:spacing w:after="0" w:line="259" w:lineRule="auto"/>
        <w:ind w:left="14" w:firstLine="0"/>
        <w:jc w:val="left"/>
      </w:pPr>
      <w:r>
        <w:t xml:space="preserve"> </w:t>
      </w:r>
    </w:p>
    <w:p w:rsidR="00025683" w:rsidRDefault="007C2AAB">
      <w:pPr>
        <w:ind w:left="14" w:right="200"/>
      </w:pPr>
      <w:r>
        <w:t xml:space="preserve">SEGUNDO. Abrir un período de información pública por plazo de un mes mediante anuncio en el Boletín Oficial de Canarias y en el periódico de mayor difusión. </w:t>
      </w:r>
    </w:p>
    <w:p w:rsidR="00025683" w:rsidRDefault="007C2AAB">
      <w:pPr>
        <w:ind w:left="14" w:right="200"/>
      </w:pPr>
      <w:r>
        <w:t xml:space="preserve">Asimismo, estará disponible en la sede electrónica de este Ayuntamiento </w:t>
      </w:r>
      <w:r>
        <w:rPr>
          <w:color w:val="0000FF"/>
          <w:u w:val="single" w:color="0000FF"/>
        </w:rPr>
        <w:t>https://sedeelectronica.ca</w:t>
      </w:r>
      <w:r>
        <w:rPr>
          <w:color w:val="0000FF"/>
          <w:u w:val="single" w:color="0000FF"/>
        </w:rPr>
        <w:t>ndelaria.es/publico/tablon</w:t>
      </w:r>
      <w:r>
        <w:t>.</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TERCERO. Solicitar, simultáneamente al trámite de información pública, los informes, dictámenes u otro tipo de pronunciamientos a órganos y Entidades administrativas gestores de intereses públicos afectados, previstos legalme</w:t>
      </w:r>
      <w:r>
        <w:t xml:space="preserve">nte como preceptivos.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3490" name="Group 3934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918" name="Rectangle 1091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0919" name="Rectangle 1091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0920" name="Rectangle 1092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67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3490" style="width:18.7031pt;height:260.874pt;position:absolute;mso-position-horizontal-relative:page;mso-position-horizontal:absolute;margin-left:662.928pt;mso-position-vertical-relative:page;margin-top:512.046pt;" coordsize="2375,33130">
                <v:rect id="Rectangle 1091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091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092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350 </w:t>
                        </w:r>
                      </w:p>
                    </w:txbxContent>
                  </v:textbox>
                </v:rect>
                <w10:wrap type="square"/>
              </v:group>
            </w:pict>
          </mc:Fallback>
        </mc:AlternateContent>
      </w:r>
      <w:r>
        <w:t xml:space="preserve">CUARTO.- </w:t>
      </w:r>
      <w:r>
        <w:t>Ordenar la suspensión facultativa del otorgamiento de las licencias de obras de edificación (excluyendo las permitidas por la Ley 4/2017, de 13 de julio, del Suelo y de los Espacios Naturales Protegidos de Canarias, en las situaciones legales de las constr</w:t>
      </w:r>
      <w:r>
        <w:t>ucciones preexistentes y en la situación de fuera de ordenación y las provisionales permitidas conforme al artículo 32 de la misma Ley), así como la suspensión de la autorización de obras de urbanización (excluyendo la mera conservación y mantenimiento) en</w:t>
      </w:r>
      <w:r>
        <w:t xml:space="preserve"> todo el ámbito de la modificación. </w:t>
      </w:r>
    </w:p>
    <w:p w:rsidR="00025683" w:rsidRDefault="007C2AAB">
      <w:pPr>
        <w:ind w:left="14" w:right="200"/>
      </w:pPr>
      <w:r>
        <w:t xml:space="preserve">Esta suspensión surtirá efectos desde el día siguiente a la publicación del anuncio en el Boletín Oficial, y tendrá un plazo de un (1) año. por un plazo de un año. </w:t>
      </w:r>
    </w:p>
    <w:p w:rsidR="00025683" w:rsidRDefault="007C2AAB">
      <w:pPr>
        <w:spacing w:after="0" w:line="259" w:lineRule="auto"/>
        <w:ind w:left="14" w:firstLine="0"/>
        <w:jc w:val="left"/>
      </w:pPr>
      <w:r>
        <w:t xml:space="preserve"> </w:t>
      </w:r>
    </w:p>
    <w:p w:rsidR="00025683" w:rsidRDefault="007C2AAB">
      <w:pPr>
        <w:ind w:left="14" w:right="200"/>
      </w:pPr>
      <w:r>
        <w:t>QUINTO.- Ordenar la publicación de este acuerdo de s</w:t>
      </w:r>
      <w:r>
        <w:t xml:space="preserve">uspensión en el Boletín Oficial de Canarias y en, al menos, dos de los diarios de mayor difusión en la isla. </w:t>
      </w:r>
    </w:p>
    <w:p w:rsidR="00025683" w:rsidRDefault="007C2AAB">
      <w:pPr>
        <w:spacing w:after="0" w:line="259" w:lineRule="auto"/>
        <w:ind w:left="14" w:firstLine="0"/>
        <w:jc w:val="left"/>
      </w:pPr>
      <w:r>
        <w:t xml:space="preserve"> </w:t>
      </w:r>
    </w:p>
    <w:p w:rsidR="00025683" w:rsidRDefault="007C2AAB">
      <w:pPr>
        <w:ind w:left="14" w:right="200"/>
      </w:pPr>
      <w:r>
        <w:t xml:space="preserve">SEXTO.- Contra el acuerdo de suspensión del otorgamiento de licencias, se podrá interponer recurso potestativo de reposición ante el órgano que </w:t>
      </w:r>
      <w:r>
        <w:t>lo dictó en el plazo de un mes a contar desde el día siguiente de su notificación o publicación, o recurso contencioso-administrativo ante la Jurisdicción Contenciosa-administrativa, en el plazo de dos meses a contar desde el día siguiente de su notificaci</w:t>
      </w:r>
      <w:r>
        <w:t xml:space="preserve">ón o publicación….” </w:t>
      </w:r>
    </w:p>
    <w:p w:rsidR="00025683" w:rsidRDefault="007C2AAB">
      <w:pPr>
        <w:spacing w:after="0" w:line="259" w:lineRule="auto"/>
        <w:ind w:left="14" w:firstLine="0"/>
        <w:jc w:val="left"/>
      </w:pPr>
      <w:r>
        <w:t xml:space="preserve"> </w:t>
      </w:r>
    </w:p>
    <w:p w:rsidR="00025683" w:rsidRDefault="007C2AAB">
      <w:pPr>
        <w:ind w:left="14" w:right="200"/>
      </w:pPr>
      <w:r>
        <w:t xml:space="preserve">Por lo que se eleva a esta propuesta al Pleno del Ayuntamiento, que resolverá como mejor proceda.” </w:t>
      </w:r>
    </w:p>
    <w:p w:rsidR="00025683" w:rsidRDefault="007C2AAB">
      <w:pPr>
        <w:spacing w:after="1" w:line="249" w:lineRule="auto"/>
        <w:ind w:left="17" w:right="197" w:hanging="10"/>
      </w:pPr>
      <w:r>
        <w:rPr>
          <w:b/>
          <w:sz w:val="24"/>
        </w:rPr>
        <w:t xml:space="preserve">Consta en el expediente propuesta de la alcaldesa-Presidenta al Pleno de Aprobación inicial Plan Especial Parque Periurbano Pasacola </w:t>
      </w:r>
      <w:r>
        <w:rPr>
          <w:b/>
          <w:sz w:val="24"/>
        </w:rPr>
        <w:t xml:space="preserve">T.M. de Candelaria, de fecha 17 de diciembre de 2025, que transcrito literalmente dice: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sz w:val="24"/>
        </w:rPr>
        <w:t xml:space="preserve"> </w:t>
      </w:r>
    </w:p>
    <w:p w:rsidR="00025683" w:rsidRDefault="007C2AAB">
      <w:pPr>
        <w:pStyle w:val="Ttulo4"/>
        <w:ind w:left="274" w:right="458"/>
      </w:pPr>
      <w:r>
        <w:rPr>
          <w:b w:val="0"/>
          <w:sz w:val="24"/>
        </w:rPr>
        <w:t xml:space="preserve"> “</w:t>
      </w:r>
      <w:r>
        <w:t>PROPUESTA</w:t>
      </w:r>
      <w:r>
        <w:rPr>
          <w:rFonts w:ascii="Times New Roman" w:eastAsia="Times New Roman" w:hAnsi="Times New Roman" w:cs="Times New Roman"/>
          <w:b w:val="0"/>
          <w:sz w:val="24"/>
        </w:rPr>
        <w:t xml:space="preserve"> </w:t>
      </w:r>
    </w:p>
    <w:p w:rsidR="00025683" w:rsidRDefault="007C2AAB">
      <w:pPr>
        <w:ind w:left="14" w:right="200"/>
      </w:pPr>
      <w:r>
        <w:t xml:space="preserve">Visto expediente nº </w:t>
      </w:r>
      <w:r>
        <w:rPr>
          <w:b/>
        </w:rPr>
        <w:t xml:space="preserve">3101/2023 </w:t>
      </w:r>
      <w:r>
        <w:t xml:space="preserve">que se tramita en esta Corporación, en relación con la tramitación del Plan Especial </w:t>
      </w:r>
      <w:r>
        <w:rPr>
          <w:b/>
        </w:rPr>
        <w:t xml:space="preserve">Parque Periurbano Pasacola T.M </w:t>
      </w:r>
      <w:r>
        <w:rPr>
          <w:b/>
        </w:rPr>
        <w:t xml:space="preserve">Candelaria </w:t>
      </w:r>
      <w:r>
        <w:t>y visto el informe jurídico, debidamente conformado por el Secretario General Octavio Manuel Fernández Hernández. que transcrito literalmente dice: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16" w:line="259" w:lineRule="auto"/>
        <w:ind w:left="14" w:firstLine="0"/>
        <w:jc w:val="left"/>
      </w:pPr>
      <w:r>
        <w:t xml:space="preserve"> </w:t>
      </w:r>
    </w:p>
    <w:p w:rsidR="00025683" w:rsidRDefault="007C2AAB">
      <w:pPr>
        <w:pStyle w:val="Ttulo4"/>
        <w:ind w:left="274" w:right="460"/>
      </w:pPr>
      <w:r>
        <w:t xml:space="preserve">“…INFORME JURÍDICO  </w:t>
      </w:r>
    </w:p>
    <w:p w:rsidR="00025683" w:rsidRDefault="007C2AAB">
      <w:pPr>
        <w:spacing w:after="0" w:line="259" w:lineRule="auto"/>
        <w:ind w:left="0" w:right="133" w:firstLine="0"/>
        <w:jc w:val="center"/>
      </w:pPr>
      <w:r>
        <w:t xml:space="preserve"> </w:t>
      </w:r>
    </w:p>
    <w:p w:rsidR="00025683" w:rsidRDefault="007C2AAB">
      <w:pPr>
        <w:ind w:left="14" w:right="200"/>
      </w:pPr>
      <w:r>
        <w:t xml:space="preserve">La Técnico de Administración General Olga Fernández Méndez- </w:t>
      </w:r>
      <w:r>
        <w:t xml:space="preserve">Bencomo, en el expediente anteriormente indicado, emite el siguiente informe conformado por el Secretario General Octavio Manuel Fernández Hernández: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pStyle w:val="Ttulo4"/>
        <w:ind w:left="274" w:right="463"/>
      </w:pPr>
      <w:r>
        <w:t xml:space="preserve">ANTECEDENTES </w:t>
      </w:r>
    </w:p>
    <w:p w:rsidR="00025683" w:rsidRDefault="007C2AAB">
      <w:pPr>
        <w:spacing w:after="0" w:line="259" w:lineRule="auto"/>
        <w:ind w:left="0" w:right="133" w:firstLine="0"/>
        <w:jc w:val="center"/>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3690" name="Group 3936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034" name="Rectangle 11034"/>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035" name="Rectangle 11035"/>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036" name="Rectangle 11036"/>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68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3690" style="width:18.7031pt;height:260.874pt;position:absolute;mso-position-horizontal-relative:page;mso-position-horizontal:absolute;margin-left:662.928pt;mso-position-vertical-relative:page;margin-top:512.046pt;" coordsize="2375,33130">
                <v:rect id="Rectangle 11034"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03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03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350 </w:t>
                        </w:r>
                      </w:p>
                    </w:txbxContent>
                  </v:textbox>
                </v:rect>
                <w10:wrap type="square"/>
              </v:group>
            </w:pict>
          </mc:Fallback>
        </mc:AlternateContent>
      </w:r>
      <w:r>
        <w:t>Visto el expediente número 3101/2023 que se tramita en esta Corporación en relación a la aprobación del Pla</w:t>
      </w:r>
      <w:r>
        <w:t>n Especial de ordenación del Parque Periurbano de Pasacola encomendado a Gesplan SA por acuerdo del Pleno de fecha 30 de marzo de 2023, para el desarrollo de la ordenación pormenorizada atendiendo a las directrices y criterios de ordenación establecidos en</w:t>
      </w:r>
      <w:r>
        <w:t xml:space="preserve"> el vigente Plan General de Ordenación aprobado definitivamente el 10 de noviembre de 2006 y publicado el 10 de mayo de 2007. </w:t>
      </w:r>
    </w:p>
    <w:p w:rsidR="00025683" w:rsidRDefault="007C2AAB">
      <w:pPr>
        <w:ind w:left="14" w:right="200"/>
      </w:pPr>
      <w:r>
        <w:t>Visto que con fecha 23 de enero de 2025 se dictó la Resolución n.º 15, en virtud de la cual se inició el procedimiento de evaluación ambiental estratégica ordinaria relativo al Plan Especial Parque Periurbano Pasacola, en el término municipal de Candelaria</w:t>
      </w:r>
      <w:r>
        <w:t xml:space="preserve"> y se sometió a consultas de las administraciones públicas afectadas y de las personas interesadas el documento inicial estratégico y el borrador del citado instrumento de ordenación urbanística. Se publicó anuncio en el Boletín Oficial de Canarias (BOC nº</w:t>
      </w:r>
      <w:r>
        <w:t xml:space="preserve"> 26, de 6 de febrero de 2025) y en la dirección web del Gobierno de Canarias. </w:t>
      </w:r>
    </w:p>
    <w:p w:rsidR="00025683" w:rsidRDefault="007C2AAB">
      <w:pPr>
        <w:spacing w:after="0" w:line="259" w:lineRule="auto"/>
        <w:ind w:left="14" w:firstLine="0"/>
        <w:jc w:val="left"/>
      </w:pPr>
      <w:r>
        <w:t xml:space="preserve"> </w:t>
      </w:r>
    </w:p>
    <w:p w:rsidR="00025683" w:rsidRDefault="007C2AAB">
      <w:pPr>
        <w:ind w:left="14" w:right="200"/>
      </w:pPr>
      <w:r>
        <w:t xml:space="preserve">Visto que mediante resolución de La Comisión Autonómica de Evaluación Ambiental, en sesión celebrada el 24 de abril de 2025, se acordó formular, el DOCUMENTO DE ALCANCE en el </w:t>
      </w:r>
      <w:r>
        <w:t xml:space="preserve">procedimiento de la Evaluación Ambiental Estratégica Ordinaria del Plan Especial de Ordenación del Parque Periurbano de Pasacola, en el Término Municipal de Candelaria que se incorpora como Anexo. </w:t>
      </w:r>
    </w:p>
    <w:p w:rsidR="00025683" w:rsidRDefault="007C2AAB">
      <w:pPr>
        <w:spacing w:after="0" w:line="259" w:lineRule="auto"/>
        <w:ind w:left="14" w:firstLine="0"/>
        <w:jc w:val="left"/>
      </w:pPr>
      <w:r>
        <w:t xml:space="preserve"> </w:t>
      </w:r>
    </w:p>
    <w:p w:rsidR="00025683" w:rsidRDefault="007C2AAB">
      <w:pPr>
        <w:ind w:left="14" w:right="200"/>
      </w:pPr>
      <w:r>
        <w:t>Vista la documentación que obra en el expediente para la</w:t>
      </w:r>
      <w:r>
        <w:t xml:space="preserve"> aprobación inicial de este Plan Especial y que son los siguientes: </w:t>
      </w:r>
    </w:p>
    <w:p w:rsidR="00025683" w:rsidRDefault="007C2AAB">
      <w:pPr>
        <w:spacing w:after="0" w:line="259" w:lineRule="auto"/>
        <w:ind w:left="14" w:firstLine="0"/>
        <w:jc w:val="left"/>
      </w:pPr>
      <w:r>
        <w:t xml:space="preserve"> </w:t>
      </w:r>
    </w:p>
    <w:p w:rsidR="00025683" w:rsidRDefault="007C2AAB">
      <w:pPr>
        <w:ind w:left="14" w:right="200"/>
      </w:pPr>
      <w:r>
        <w:t xml:space="preserve">Documento de Información: </w:t>
      </w:r>
    </w:p>
    <w:p w:rsidR="00025683" w:rsidRDefault="007C2AAB">
      <w:pPr>
        <w:ind w:left="14" w:right="200"/>
      </w:pPr>
      <w:r>
        <w:t xml:space="preserve">Tomo I.A Memoria de Información y Diagnóstico </w:t>
      </w:r>
    </w:p>
    <w:p w:rsidR="00025683" w:rsidRDefault="007C2AAB">
      <w:pPr>
        <w:ind w:left="14" w:right="200"/>
      </w:pPr>
      <w:r>
        <w:t xml:space="preserve">Tomo I.B.1 Planos de Información </w:t>
      </w:r>
    </w:p>
    <w:p w:rsidR="00025683" w:rsidRDefault="007C2AAB">
      <w:pPr>
        <w:ind w:left="14" w:right="200"/>
      </w:pPr>
      <w:r>
        <w:t xml:space="preserve">Tomo I.B.2 Planos de Diagnóstico </w:t>
      </w:r>
    </w:p>
    <w:p w:rsidR="00025683" w:rsidRDefault="007C2AAB">
      <w:pPr>
        <w:spacing w:after="0" w:line="259" w:lineRule="auto"/>
        <w:ind w:left="14" w:firstLine="0"/>
        <w:jc w:val="left"/>
      </w:pPr>
      <w:r>
        <w:t xml:space="preserve"> </w:t>
      </w:r>
    </w:p>
    <w:p w:rsidR="00025683" w:rsidRDefault="007C2AAB">
      <w:pPr>
        <w:ind w:left="14" w:right="200"/>
      </w:pPr>
      <w:r>
        <w:t xml:space="preserve">Anexo I Tomo I Análisis Histórico  </w:t>
      </w:r>
    </w:p>
    <w:p w:rsidR="00025683" w:rsidRDefault="007C2AAB">
      <w:pPr>
        <w:ind w:left="14" w:right="200"/>
      </w:pPr>
      <w:r>
        <w:t>Anexo</w:t>
      </w:r>
      <w:r>
        <w:t xml:space="preserve"> II Tomo I Análisis Patrimonial  </w:t>
      </w:r>
    </w:p>
    <w:p w:rsidR="00025683" w:rsidRDefault="007C2AAB">
      <w:pPr>
        <w:ind w:left="14" w:right="200"/>
      </w:pPr>
      <w:r>
        <w:t>Anexo III Tomo I Análisis Socioeconómico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t xml:space="preserve">Tomo II.B Planos de Ordenación  </w:t>
      </w:r>
    </w:p>
    <w:p w:rsidR="00025683" w:rsidRDefault="007C2AAB">
      <w:pPr>
        <w:ind w:left="14" w:right="200"/>
      </w:pPr>
      <w:r>
        <w:t xml:space="preserve">Tomo II.C Normativa  </w:t>
      </w:r>
    </w:p>
    <w:p w:rsidR="00025683" w:rsidRDefault="007C2AAB">
      <w:pPr>
        <w:ind w:left="14" w:right="200"/>
      </w:pPr>
      <w:r>
        <w:t>Tomo II.D Informe de Sostenibilidad Económ</w:t>
      </w:r>
      <w:r>
        <w:t xml:space="preserve">ica  </w:t>
      </w:r>
    </w:p>
    <w:p w:rsidR="00025683" w:rsidRDefault="007C2AAB">
      <w:pPr>
        <w:ind w:left="14" w:right="200"/>
      </w:pPr>
      <w:r>
        <w:t xml:space="preserve">Anexo I Tomo II Criterios de diseño para el Parque Periurbano de Pasacola.  </w:t>
      </w:r>
    </w:p>
    <w:p w:rsidR="00025683" w:rsidRDefault="007C2AAB">
      <w:pPr>
        <w:spacing w:after="0" w:line="259" w:lineRule="auto"/>
        <w:ind w:left="14" w:firstLine="0"/>
        <w:jc w:val="left"/>
      </w:pP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 xml:space="preserve">Tomo III.B Planos de Información Ambiental  </w:t>
      </w:r>
    </w:p>
    <w:p w:rsidR="00025683" w:rsidRDefault="007C2AAB">
      <w:pPr>
        <w:ind w:left="14" w:right="1714"/>
      </w:pPr>
      <w:r>
        <w:t xml:space="preserve">Anexo I Tomo III Resumen no Técnico del Estudio Ambiental Estratégico  Anexo II Tomo III Análisis de Integración Paisajística. </w:t>
      </w:r>
    </w:p>
    <w:p w:rsidR="00025683" w:rsidRDefault="007C2AAB">
      <w:pPr>
        <w:spacing w:after="0" w:line="259" w:lineRule="auto"/>
        <w:ind w:left="14" w:firstLine="0"/>
        <w:jc w:val="left"/>
      </w:pPr>
      <w:r>
        <w:t xml:space="preserve"> </w:t>
      </w:r>
    </w:p>
    <w:p w:rsidR="00025683" w:rsidRDefault="007C2AAB">
      <w:pPr>
        <w:ind w:left="14" w:right="200"/>
      </w:pPr>
      <w:r>
        <w:t>Consta en el expediente informe técnico emitido por la Arquitecta Municipal de fecha 15/12/2025 que transcrito literalmente di</w:t>
      </w:r>
      <w:r>
        <w:t xml:space="preserve">ce: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3606" name="Group 39360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147" name="Rectangle 11147"/>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148" name="Rectangle 11148"/>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149" name="Rectangle 11149"/>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69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3606" style="width:18.7031pt;height:260.874pt;position:absolute;mso-position-horizontal-relative:page;mso-position-horizontal:absolute;margin-left:662.928pt;mso-position-vertical-relative:page;margin-top:512.046pt;" coordsize="2375,33130">
                <v:rect id="Rectangle 11147"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14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14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350 </w:t>
                        </w:r>
                      </w:p>
                    </w:txbxContent>
                  </v:textbox>
                </v:rect>
                <w10:wrap type="square"/>
              </v:group>
            </w:pict>
          </mc:Fallback>
        </mc:AlternateContent>
      </w:r>
      <w:r>
        <w:t xml:space="preserve">“…Visto el expediente antedicho, Nayra Guzmán Hernández, arquitecta municipal, emite el siguiente informe: </w:t>
      </w:r>
    </w:p>
    <w:p w:rsidR="00025683" w:rsidRDefault="007C2AAB">
      <w:pPr>
        <w:spacing w:after="0" w:line="259" w:lineRule="auto"/>
        <w:ind w:left="14" w:firstLine="0"/>
        <w:jc w:val="left"/>
      </w:pPr>
      <w:r>
        <w:t xml:space="preserve"> </w:t>
      </w:r>
    </w:p>
    <w:p w:rsidR="00025683" w:rsidRDefault="007C2AAB">
      <w:pPr>
        <w:ind w:left="14" w:right="200"/>
      </w:pPr>
      <w:r>
        <w:t xml:space="preserve">ANTECEDENTES </w:t>
      </w:r>
    </w:p>
    <w:p w:rsidR="00025683" w:rsidRDefault="007C2AAB">
      <w:pPr>
        <w:spacing w:after="0" w:line="259" w:lineRule="auto"/>
        <w:ind w:left="14" w:firstLine="0"/>
        <w:jc w:val="left"/>
      </w:pPr>
      <w:r>
        <w:t xml:space="preserve"> </w:t>
      </w:r>
    </w:p>
    <w:p w:rsidR="00025683" w:rsidRDefault="007C2AAB">
      <w:pPr>
        <w:ind w:left="14" w:right="200"/>
      </w:pPr>
      <w:r>
        <w:t>Con fecha 23 de enero de 2025 se dictó la Resolución n.º 15, en virtud de la cual se inició el procedimiento de evaluación ambient</w:t>
      </w:r>
      <w:r>
        <w:t>al estratégica ordinaria relativo al Plan Especial Parque Periurbano Pasacola, en el término municipal de Candelaria y se sometió a consultas de las administraciones públicas afectadas y de las personas interesadas el documento inicial estratégico y el bor</w:t>
      </w:r>
      <w:r>
        <w:t xml:space="preserve">rador del citado instrumento de ordenación urbanística. Se publicó anuncio en el Boletín Oficial de Canarias (BOC nº 26, de 6 de febrero de 2025) y en la dirección web del Gobierno de Canarias. </w:t>
      </w:r>
    </w:p>
    <w:p w:rsidR="00025683" w:rsidRDefault="007C2AAB">
      <w:pPr>
        <w:ind w:left="14" w:right="200"/>
      </w:pPr>
      <w:r>
        <w:t>Cabe destacar el informe de la Dirección Insular de Planifica</w:t>
      </w:r>
      <w:r>
        <w:t xml:space="preserve">ción Territorial, Paisaje y Patrimonio Histórico del Cabildo Insular de Tenerife, que informa en relación con las competencias en materia de patrimonio histórico: </w:t>
      </w:r>
    </w:p>
    <w:p w:rsidR="00025683" w:rsidRDefault="007C2AAB">
      <w:pPr>
        <w:spacing w:after="0" w:line="259" w:lineRule="auto"/>
        <w:ind w:left="14" w:firstLine="0"/>
        <w:jc w:val="left"/>
      </w:pPr>
      <w:r>
        <w:t xml:space="preserve"> </w:t>
      </w:r>
    </w:p>
    <w:p w:rsidR="00025683" w:rsidRDefault="007C2AAB">
      <w:pPr>
        <w:ind w:left="14" w:right="200"/>
      </w:pPr>
      <w:r>
        <w:t>“La zona de Pasacola se incluyó expresamente en la delimitación del Camino de Candelaria p</w:t>
      </w:r>
      <w:r>
        <w:t>recisamente por sus elementos patrimoniales presentes, por su valor cultural y ambiental conformado por antiguos bancales de cultivo hoy en cultivo y por constituir un paisaje casi prístino, muy poco alterado y con una calidad visual y patrimonial de prime</w:t>
      </w:r>
      <w:r>
        <w:t xml:space="preserve">r orden.  </w:t>
      </w:r>
    </w:p>
    <w:p w:rsidR="00025683" w:rsidRDefault="007C2AAB">
      <w:pPr>
        <w:ind w:left="14" w:right="200"/>
      </w:pPr>
      <w:r>
        <w:t>Frente a esa realidad, algunas de las alternativas de ordenación plantean una transformación del mismo, introduciendo zonas de juegos infantiles, apertura de nuevos senderos, miradores y, en general, elementos invasivos que transforman un espaci</w:t>
      </w:r>
      <w:r>
        <w:t>o con un valor tradicional de primer orden y que generan un impacto considerable. La propia idea de transformar la actual caja del camino o la creación de un espacio de aparcamiento vulneran de manera directa y contundente la imagen patrimonial que hoy tie</w:t>
      </w:r>
      <w:r>
        <w:t xml:space="preserve">ne todo este sector.  </w:t>
      </w:r>
    </w:p>
    <w:p w:rsidR="00025683" w:rsidRDefault="007C2AAB">
      <w:pPr>
        <w:ind w:left="14" w:right="200"/>
      </w:pPr>
      <w:r>
        <w:t>Por este motivo y dado que se trata de un ámbito en el que las obras y actuaciones que se realicen requieren de la preceptiva autorización del Cabildo Insular, se advierte que la mayoría de las intervenciones previstas en las Alternativas 2 y 3 no responde</w:t>
      </w:r>
      <w:r>
        <w:t>n a los criterios de intervención que utiliza esta Unidad Técnica y, por lo tanto, se consideran inadecuadas para el espacio que nos ocupa. Posiblemente, el mismo concepto de parque periurbano no parece encajar en este ámbito, sensiblemente alejado de cual</w:t>
      </w:r>
      <w:r>
        <w:t xml:space="preserve">quier núcleo urbano y con unos rasgos que invitan a no intervenir en el mismo o hacerlo mínimamente. Ciertamente, se trata de un ámbito en el que debe primar el principio de intervención mínima expresado en la Alternativa 1, pero reduciendo incluso alguna </w:t>
      </w:r>
      <w:r>
        <w:t xml:space="preserve">de las actuaciones que propone.” </w:t>
      </w:r>
    </w:p>
    <w:p w:rsidR="00025683" w:rsidRDefault="007C2AAB">
      <w:pPr>
        <w:spacing w:after="0" w:line="259" w:lineRule="auto"/>
        <w:ind w:left="14" w:firstLine="0"/>
        <w:jc w:val="left"/>
      </w:pPr>
      <w:r>
        <w:t xml:space="preserve"> </w:t>
      </w:r>
    </w:p>
    <w:p w:rsidR="00025683" w:rsidRDefault="007C2AAB">
      <w:pPr>
        <w:ind w:left="14" w:right="200"/>
      </w:pPr>
      <w:r>
        <w:t xml:space="preserve">La Comisión Autonómica de Evaluación Ambiental, en sesión celebrada el 24 de abril de 2025, acordó formular, el DOCUMENTO DE ALCANCE en el procedimiento de la Evaluación Ambiental Estratégica Ordinaria del Plan Especial </w:t>
      </w:r>
      <w:r>
        <w:t xml:space="preserve">de Ordenación del Parque Periurbano de Pasacola, en el Término Municipal de Candelaria que se incorpora como Anexo.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DOCUMENTACIÓN INTEGRANTE DE LA APROBACION INICIAL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3935" name="Group 3939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266" name="Rectangle 11266"/>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267" name="Rectangle 11267"/>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https://candelaria.</w:t>
                              </w:r>
                              <w:r>
                                <w:rPr>
                                  <w:sz w:val="12"/>
                                </w:rPr>
                                <w:t xml:space="preserve">sedelectronica.es/ </w:t>
                              </w:r>
                            </w:p>
                          </w:txbxContent>
                        </wps:txbx>
                        <wps:bodyPr horzOverflow="overflow" vert="horz" lIns="0" tIns="0" rIns="0" bIns="0" rtlCol="0">
                          <a:noAutofit/>
                        </wps:bodyPr>
                      </wps:wsp>
                      <wps:wsp>
                        <wps:cNvPr id="11268" name="Rectangle 11268"/>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70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3935" style="width:18.7031pt;height:260.874pt;position:absolute;mso-position-horizontal-relative:page;mso-position-horizontal:absolute;margin-left:662.928pt;mso-position-vertical-relative:page;margin-top:512.046pt;" coordsize="2375,33130">
                <v:rect id="Rectangle 11266"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26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26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350 </w:t>
                        </w:r>
                      </w:p>
                    </w:txbxContent>
                  </v:textbox>
                </v:rect>
                <w10:wrap type="square"/>
              </v:group>
            </w:pict>
          </mc:Fallback>
        </mc:AlternateContent>
      </w:r>
      <w:r>
        <w:t>Con fecha 3 de octubre de 2025 y con registro de entrada 2025-E-RC-9385 Ainoha Castro Díaz, en representación de GESPLAN S.A, aporta los sig</w:t>
      </w:r>
      <w:r>
        <w:t xml:space="preserve">uientes documentos, para la aprobación inicial:  </w:t>
      </w:r>
    </w:p>
    <w:p w:rsidR="00025683" w:rsidRDefault="007C2AAB">
      <w:pPr>
        <w:ind w:left="14" w:right="200"/>
      </w:pPr>
      <w:r>
        <w:t xml:space="preserve">Los documentos que integran este Plan Especial son los siguientes: </w:t>
      </w:r>
    </w:p>
    <w:p w:rsidR="00025683" w:rsidRDefault="007C2AAB">
      <w:pPr>
        <w:spacing w:after="0" w:line="259" w:lineRule="auto"/>
        <w:ind w:left="14" w:firstLine="0"/>
        <w:jc w:val="left"/>
      </w:pPr>
      <w:r>
        <w:t xml:space="preserve"> </w:t>
      </w:r>
    </w:p>
    <w:p w:rsidR="00025683" w:rsidRDefault="007C2AAB">
      <w:pPr>
        <w:ind w:left="14" w:right="200"/>
      </w:pPr>
      <w:r>
        <w:t xml:space="preserve">Documento de Información: </w:t>
      </w:r>
    </w:p>
    <w:p w:rsidR="00025683" w:rsidRDefault="007C2AAB">
      <w:pPr>
        <w:ind w:left="14" w:right="200"/>
      </w:pPr>
      <w:r>
        <w:t xml:space="preserve">Tomo I.A Memoria de Información y Diagnóstico </w:t>
      </w:r>
    </w:p>
    <w:p w:rsidR="00025683" w:rsidRDefault="007C2AAB">
      <w:pPr>
        <w:ind w:left="14" w:right="200"/>
      </w:pPr>
      <w:r>
        <w:t xml:space="preserve">Tomo I.B.1 Planos de Información </w:t>
      </w:r>
    </w:p>
    <w:p w:rsidR="00025683" w:rsidRDefault="007C2AAB">
      <w:pPr>
        <w:ind w:left="14" w:right="200"/>
      </w:pPr>
      <w:r>
        <w:t>Tomo I.B.2 Planos de Diagnós</w:t>
      </w:r>
      <w:r>
        <w:t xml:space="preserve">tico </w:t>
      </w:r>
    </w:p>
    <w:p w:rsidR="00025683" w:rsidRDefault="007C2AAB">
      <w:pPr>
        <w:spacing w:after="0" w:line="259" w:lineRule="auto"/>
        <w:ind w:left="14" w:firstLine="0"/>
        <w:jc w:val="left"/>
      </w:pPr>
      <w:r>
        <w:t xml:space="preserve"> </w:t>
      </w:r>
    </w:p>
    <w:p w:rsidR="00025683" w:rsidRDefault="007C2AAB">
      <w:pPr>
        <w:ind w:left="14" w:right="200"/>
      </w:pPr>
      <w:r>
        <w:t xml:space="preserve">Anexo I Tomo I Análisis Histórico  </w:t>
      </w:r>
    </w:p>
    <w:p w:rsidR="00025683" w:rsidRDefault="007C2AAB">
      <w:pPr>
        <w:ind w:left="14" w:right="200"/>
      </w:pPr>
      <w:r>
        <w:t xml:space="preserve">Anexo II Tomo I Análisis Patrimonial  </w:t>
      </w:r>
    </w:p>
    <w:p w:rsidR="00025683" w:rsidRDefault="007C2AAB">
      <w:pPr>
        <w:ind w:left="14" w:right="200"/>
      </w:pPr>
      <w:r>
        <w:t xml:space="preserve">Anexo III Tomo I Análisis Socioeconómico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t xml:space="preserve">Tomo II.B Planos de Ordenación  </w:t>
      </w:r>
    </w:p>
    <w:p w:rsidR="00025683" w:rsidRDefault="007C2AAB">
      <w:pPr>
        <w:ind w:left="14" w:right="200"/>
      </w:pPr>
      <w:r>
        <w:t xml:space="preserve">Tomo II.C Normativa  </w:t>
      </w:r>
    </w:p>
    <w:p w:rsidR="00025683" w:rsidRDefault="007C2AAB">
      <w:pPr>
        <w:ind w:left="14" w:right="200"/>
      </w:pPr>
      <w:r>
        <w:t xml:space="preserve">Tomo II.D Informe de Sostenibilidad Económica  </w:t>
      </w:r>
    </w:p>
    <w:p w:rsidR="00025683" w:rsidRDefault="007C2AAB">
      <w:pPr>
        <w:ind w:left="14" w:right="200"/>
      </w:pPr>
      <w:r>
        <w:t xml:space="preserve">Anexo I Tomo II Criterios de diseño para el Parque Periurbano de Pasacola.  </w:t>
      </w:r>
    </w:p>
    <w:p w:rsidR="00025683" w:rsidRDefault="007C2AAB">
      <w:pPr>
        <w:spacing w:after="0" w:line="259" w:lineRule="auto"/>
        <w:ind w:left="14" w:firstLine="0"/>
        <w:jc w:val="left"/>
      </w:pP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Tomo III.B Planos de Información Ambienta</w:t>
      </w:r>
      <w:r>
        <w:t xml:space="preserve">l  </w:t>
      </w:r>
    </w:p>
    <w:p w:rsidR="00025683" w:rsidRDefault="007C2AAB">
      <w:pPr>
        <w:ind w:left="14" w:right="200"/>
      </w:pPr>
      <w:r>
        <w:t xml:space="preserve">Anexo I Tomo III Resumen no Técnico del Estudio Ambiental Estratégico  </w:t>
      </w:r>
    </w:p>
    <w:p w:rsidR="00025683" w:rsidRDefault="007C2AAB">
      <w:pPr>
        <w:ind w:left="14" w:right="200"/>
      </w:pPr>
      <w:r>
        <w:t xml:space="preserve">Anexo II Tomo III Análisis de Integración Paisajística </w:t>
      </w:r>
    </w:p>
    <w:p w:rsidR="00025683" w:rsidRDefault="007C2AAB">
      <w:pPr>
        <w:spacing w:after="0" w:line="259" w:lineRule="auto"/>
        <w:ind w:left="14" w:firstLine="0"/>
        <w:jc w:val="left"/>
      </w:pPr>
      <w:r>
        <w:t xml:space="preserve"> </w:t>
      </w:r>
    </w:p>
    <w:p w:rsidR="00025683" w:rsidRDefault="007C2AAB">
      <w:pPr>
        <w:ind w:left="14" w:right="200"/>
      </w:pPr>
      <w:r>
        <w:t xml:space="preserve">OBJETO DE LA MODIFICACION  </w:t>
      </w:r>
    </w:p>
    <w:p w:rsidR="00025683" w:rsidRDefault="007C2AAB">
      <w:pPr>
        <w:spacing w:after="0" w:line="259" w:lineRule="auto"/>
        <w:ind w:left="14" w:firstLine="0"/>
        <w:jc w:val="left"/>
      </w:pPr>
      <w:r>
        <w:t xml:space="preserve"> </w:t>
      </w:r>
    </w:p>
    <w:p w:rsidR="00025683" w:rsidRDefault="007C2AAB">
      <w:pPr>
        <w:ind w:left="14" w:right="200"/>
      </w:pPr>
      <w:r>
        <w:t>La finalidad del presente Plan Especial de Ordenación es desarrollar la ordenación pormenorizada del Parque Periurbano de Pasacola atendiendo a las directrices y criterios de ordenación establecidos desde el vigente Plan General de Ordenación, que se puede</w:t>
      </w:r>
      <w:r>
        <w:t xml:space="preserve">n sintetizar en:  </w:t>
      </w:r>
    </w:p>
    <w:p w:rsidR="00025683" w:rsidRDefault="007C2AAB">
      <w:pPr>
        <w:spacing w:after="0" w:line="259" w:lineRule="auto"/>
        <w:ind w:left="14" w:firstLine="0"/>
        <w:jc w:val="left"/>
      </w:pPr>
      <w:r>
        <w:t xml:space="preserve"> </w:t>
      </w:r>
    </w:p>
    <w:p w:rsidR="00025683" w:rsidRDefault="007C2AAB">
      <w:pPr>
        <w:numPr>
          <w:ilvl w:val="0"/>
          <w:numId w:val="22"/>
        </w:numPr>
        <w:ind w:right="200" w:hanging="137"/>
      </w:pPr>
      <w:r>
        <w:t xml:space="preserve">Recuperación de la estructura de bancales, los caminos y el sistema de riego existente.  </w:t>
      </w:r>
    </w:p>
    <w:p w:rsidR="00025683" w:rsidRDefault="007C2AAB">
      <w:pPr>
        <w:numPr>
          <w:ilvl w:val="0"/>
          <w:numId w:val="22"/>
        </w:numPr>
        <w:ind w:right="200" w:hanging="137"/>
      </w:pPr>
      <w:r>
        <w:t xml:space="preserve">Recuperación de las edificaciones tradicionales existentes.  </w:t>
      </w:r>
    </w:p>
    <w:p w:rsidR="00025683" w:rsidRDefault="007C2AAB">
      <w:pPr>
        <w:numPr>
          <w:ilvl w:val="0"/>
          <w:numId w:val="22"/>
        </w:numPr>
        <w:ind w:right="200" w:hanging="137"/>
      </w:pPr>
      <w:r>
        <w:t xml:space="preserve">Las nuevas edificaciones seguirán las pautas de la arquitectura </w:t>
      </w:r>
      <w:r>
        <w:t xml:space="preserve">tradicional de la zona.  </w:t>
      </w:r>
    </w:p>
    <w:p w:rsidR="00025683" w:rsidRDefault="007C2AAB">
      <w:pPr>
        <w:numPr>
          <w:ilvl w:val="0"/>
          <w:numId w:val="22"/>
        </w:numPr>
        <w:ind w:right="200" w:hanging="137"/>
      </w:pPr>
      <w:r>
        <w:t xml:space="preserve">Recuperación de los cultivos agrícolas tradicionales del Municipio.  </w:t>
      </w:r>
    </w:p>
    <w:p w:rsidR="00025683" w:rsidRDefault="007C2AAB">
      <w:pPr>
        <w:numPr>
          <w:ilvl w:val="0"/>
          <w:numId w:val="22"/>
        </w:numPr>
        <w:spacing w:after="3" w:line="238" w:lineRule="auto"/>
        <w:ind w:right="200" w:hanging="137"/>
      </w:pPr>
      <w:r>
        <w:t>El aparcamiento se situará junto al acceso entre vegetación de porte.</w:t>
      </w:r>
      <w:r>
        <w:rPr>
          <w:rFonts w:ascii="Times New Roman" w:eastAsia="Times New Roman" w:hAnsi="Times New Roman" w:cs="Times New Roman"/>
          <w:sz w:val="24"/>
        </w:rPr>
        <w:t xml:space="preserve"> </w:t>
      </w:r>
      <w:r>
        <w:t>- El arbolado a introducir serán especies canarias (Drago, Palmera, Mocán, etc.)  - Mejora</w:t>
      </w:r>
      <w:r>
        <w:t xml:space="preserve"> del viario de acceso.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4343" name="Group 39434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370" name="Rectangle 11370"/>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371" name="Rectangle 11371"/>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372" name="Rectangle 11372"/>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71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4343" style="width:18.7031pt;height:260.874pt;position:absolute;mso-position-horizontal-relative:page;mso-position-horizontal:absolute;margin-left:662.928pt;mso-position-vertical-relative:page;margin-top:512.046pt;" coordsize="2375,33130">
                <v:rect id="Rectangle 11370"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37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37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350 </w:t>
                        </w:r>
                      </w:p>
                    </w:txbxContent>
                  </v:textbox>
                </v:rect>
                <w10:wrap type="square"/>
              </v:group>
            </w:pict>
          </mc:Fallback>
        </mc:AlternateContent>
      </w:r>
      <w:r>
        <w:t>Se establece, por lo tanto, par</w:t>
      </w:r>
      <w:r>
        <w:t>a esta actuación un doble objetivo ligado, por una parte, al especial interés de recuperación de los bancales de cultivo y las edificaciones tradicionales existentes propiciando la protección de elementos de interés y de su entorno inmediato y, por otra pa</w:t>
      </w:r>
      <w:r>
        <w:t xml:space="preserve">rte, la implantación de actividades que satisfagan las necesidades de ocio y esparcimiento de los vecinos de Candelaria. </w:t>
      </w:r>
    </w:p>
    <w:p w:rsidR="00025683" w:rsidRDefault="007C2AAB">
      <w:pPr>
        <w:spacing w:after="0" w:line="259" w:lineRule="auto"/>
        <w:ind w:left="14" w:firstLine="0"/>
        <w:jc w:val="left"/>
      </w:pPr>
      <w:r>
        <w:t xml:space="preserve"> </w:t>
      </w:r>
    </w:p>
    <w:p w:rsidR="00025683" w:rsidRDefault="007C2AAB">
      <w:pPr>
        <w:ind w:left="14" w:right="200"/>
      </w:pPr>
      <w:r>
        <w:t>Su delimitación es coincidente con la zona agrícola tradicional abancalada situada bajo el camino de Candelaria entre el Barranco de</w:t>
      </w:r>
      <w:r>
        <w:t xml:space="preserve"> Chajarche y el Barranco de Arepo. Alberga el antiguo caserío de Pasacola, que se asentaba cerca de Igueste, en el antiguo Camino Real, que lo comunica con Barranco Hondo, contando con una extensión de 32.586,50, m2s.  </w:t>
      </w:r>
    </w:p>
    <w:p w:rsidR="00025683" w:rsidRDefault="007C2AAB">
      <w:pPr>
        <w:spacing w:after="0" w:line="259" w:lineRule="auto"/>
        <w:ind w:left="14" w:firstLine="0"/>
        <w:jc w:val="left"/>
      </w:pPr>
      <w:r>
        <w:t xml:space="preserve"> </w:t>
      </w:r>
    </w:p>
    <w:p w:rsidR="00025683" w:rsidRDefault="007C2AAB">
      <w:pPr>
        <w:ind w:left="14" w:right="200"/>
      </w:pPr>
      <w:r>
        <w:t>Este ámbito se encontraba constitu</w:t>
      </w:r>
      <w:r>
        <w:t xml:space="preserve">ido por varios edificios, con sus corrales, cuevas y casas de típica arquitectura canaria, estaban construidas con piedras y barro o argamasa, hoy en estado ruinoso y de abandono.  </w:t>
      </w:r>
    </w:p>
    <w:p w:rsidR="00025683" w:rsidRDefault="007C2AAB">
      <w:pPr>
        <w:spacing w:after="0" w:line="259" w:lineRule="auto"/>
        <w:ind w:left="14" w:firstLine="0"/>
        <w:jc w:val="left"/>
      </w:pPr>
      <w:r>
        <w:t xml:space="preserve"> </w:t>
      </w:r>
    </w:p>
    <w:p w:rsidR="00025683" w:rsidRDefault="007C2AAB">
      <w:pPr>
        <w:ind w:left="14" w:right="200"/>
      </w:pPr>
      <w:r>
        <w:t xml:space="preserve">Su valor e interés histórico ha llevado a integrar el ámbito en el Bien </w:t>
      </w:r>
      <w:r>
        <w:t>de Interés Cultural en categoría de Sitio Histórico del Camino La Candelaria (DECRETO 227/2008, de 25 de noviembre, por el que se declara Bien de Interés Cultural, con categoría de Sitio Histórico “El Camino de Candelaria”, situado entre los términos munic</w:t>
      </w:r>
      <w:r>
        <w:t>ipales de El Rosario y Candelaria, isla de Tenerife).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826" w:firstLine="0"/>
        <w:jc w:val="right"/>
      </w:pPr>
      <w:r>
        <w:rPr>
          <w:noProof/>
        </w:rPr>
        <w:drawing>
          <wp:inline distT="0" distB="0" distL="0" distR="0">
            <wp:extent cx="4876672" cy="3590610"/>
            <wp:effectExtent l="0" t="0" r="0" b="0"/>
            <wp:docPr id="11406" name="Picture 11406"/>
            <wp:cNvGraphicFramePr/>
            <a:graphic xmlns:a="http://schemas.openxmlformats.org/drawingml/2006/main">
              <a:graphicData uri="http://schemas.openxmlformats.org/drawingml/2006/picture">
                <pic:pic xmlns:pic="http://schemas.openxmlformats.org/drawingml/2006/picture">
                  <pic:nvPicPr>
                    <pic:cNvPr id="11406" name="Picture 11406"/>
                    <pic:cNvPicPr/>
                  </pic:nvPicPr>
                  <pic:blipFill>
                    <a:blip r:embed="rId57"/>
                    <a:stretch>
                      <a:fillRect/>
                    </a:stretch>
                  </pic:blipFill>
                  <pic:spPr>
                    <a:xfrm>
                      <a:off x="0" y="0"/>
                      <a:ext cx="4876672" cy="3590610"/>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 xml:space="preserve">Parque Periurbano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4605" name="Group 39460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411" name="Rectangle 11411"/>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412" name="Rectangle 11412"/>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413" name="Rectangle 11413"/>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72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4605" style="width:18.7031pt;height:260.874pt;position:absolute;mso-position-horizontal-relative:page;mso-position-horizontal:absolute;margin-left:662.928pt;mso-position-vertical-relative:page;margin-top:512.046pt;" coordsize="2375,33130">
                <v:rect id="Rectangle 11411"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41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41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350 </w:t>
                        </w:r>
                      </w:p>
                    </w:txbxContent>
                  </v:textbox>
                </v:rect>
                <w10:wrap type="square"/>
              </v:group>
            </w:pict>
          </mc:Fallback>
        </mc:AlternateContent>
      </w:r>
      <w:r>
        <w:rPr>
          <w:b/>
        </w:rPr>
        <w:t xml:space="preserve"> </w:t>
      </w:r>
    </w:p>
    <w:p w:rsidR="00025683" w:rsidRDefault="007C2AAB">
      <w:pPr>
        <w:spacing w:after="0" w:line="259" w:lineRule="auto"/>
        <w:ind w:left="0" w:right="1915" w:firstLine="0"/>
        <w:jc w:val="right"/>
      </w:pPr>
      <w:r>
        <w:rPr>
          <w:noProof/>
        </w:rPr>
        <w:drawing>
          <wp:inline distT="0" distB="0" distL="0" distR="0">
            <wp:extent cx="4801507" cy="3666494"/>
            <wp:effectExtent l="0" t="0" r="0" b="0"/>
            <wp:docPr id="11408" name="Picture 11408"/>
            <wp:cNvGraphicFramePr/>
            <a:graphic xmlns:a="http://schemas.openxmlformats.org/drawingml/2006/main">
              <a:graphicData uri="http://schemas.openxmlformats.org/drawingml/2006/picture">
                <pic:pic xmlns:pic="http://schemas.openxmlformats.org/drawingml/2006/picture">
                  <pic:nvPicPr>
                    <pic:cNvPr id="11408" name="Picture 11408"/>
                    <pic:cNvPicPr/>
                  </pic:nvPicPr>
                  <pic:blipFill>
                    <a:blip r:embed="rId58"/>
                    <a:stretch>
                      <a:fillRect/>
                    </a:stretch>
                  </pic:blipFill>
                  <pic:spPr>
                    <a:xfrm>
                      <a:off x="0" y="0"/>
                      <a:ext cx="4801507" cy="3666494"/>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 xml:space="preserve">Suelo rústico de protección cultura. Ámbito del BIC. </w:t>
      </w:r>
    </w:p>
    <w:p w:rsidR="00025683" w:rsidRDefault="007C2AAB">
      <w:pPr>
        <w:spacing w:after="4831" w:line="259" w:lineRule="auto"/>
        <w:ind w:left="-2536" w:right="1073" w:firstLine="0"/>
        <w:jc w:val="right"/>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4470" name="Group 39447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448" name="Rectangle 1144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449" name="Rectangle 1144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450" name="Rectangle 1145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73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4470" style="width:18.7031pt;height:260.874pt;position:absolute;mso-position-horizontal-relative:page;mso-position-horizontal:absolute;margin-left:662.928pt;mso-position-vertical-relative:page;margin-top:512.046pt;" coordsize="2375,33130">
                <v:rect id="Rectangle 1144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44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45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350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column">
                  <wp:posOffset>8839</wp:posOffset>
                </wp:positionH>
                <wp:positionV relativeFrom="paragraph">
                  <wp:posOffset>-4245091</wp:posOffset>
                </wp:positionV>
                <wp:extent cx="5392618" cy="7656561"/>
                <wp:effectExtent l="0" t="0" r="0" b="0"/>
                <wp:wrapSquare wrapText="bothSides"/>
                <wp:docPr id="394469" name="Group 394469"/>
                <wp:cNvGraphicFramePr/>
                <a:graphic xmlns:a="http://schemas.openxmlformats.org/drawingml/2006/main">
                  <a:graphicData uri="http://schemas.microsoft.com/office/word/2010/wordprocessingGroup">
                    <wpg:wgp>
                      <wpg:cNvGrpSpPr/>
                      <wpg:grpSpPr>
                        <a:xfrm>
                          <a:off x="0" y="0"/>
                          <a:ext cx="5392618" cy="7656561"/>
                          <a:chOff x="0" y="0"/>
                          <a:chExt cx="5392618" cy="7656561"/>
                        </a:xfrm>
                      </wpg:grpSpPr>
                      <pic:pic xmlns:pic="http://schemas.openxmlformats.org/drawingml/2006/picture">
                        <pic:nvPicPr>
                          <pic:cNvPr id="11443" name="Picture 11443"/>
                          <pic:cNvPicPr/>
                        </pic:nvPicPr>
                        <pic:blipFill>
                          <a:blip r:embed="rId59"/>
                          <a:stretch>
                            <a:fillRect/>
                          </a:stretch>
                        </pic:blipFill>
                        <pic:spPr>
                          <a:xfrm>
                            <a:off x="0" y="0"/>
                            <a:ext cx="5386664" cy="4375506"/>
                          </a:xfrm>
                          <a:prstGeom prst="rect">
                            <a:avLst/>
                          </a:prstGeom>
                        </pic:spPr>
                      </pic:pic>
                      <pic:pic xmlns:pic="http://schemas.openxmlformats.org/drawingml/2006/picture">
                        <pic:nvPicPr>
                          <pic:cNvPr id="11445" name="Picture 11445"/>
                          <pic:cNvPicPr/>
                        </pic:nvPicPr>
                        <pic:blipFill>
                          <a:blip r:embed="rId61"/>
                          <a:stretch>
                            <a:fillRect/>
                          </a:stretch>
                        </pic:blipFill>
                        <pic:spPr>
                          <a:xfrm>
                            <a:off x="0" y="4381545"/>
                            <a:ext cx="5392618" cy="3275016"/>
                          </a:xfrm>
                          <a:prstGeom prst="rect">
                            <a:avLst/>
                          </a:prstGeom>
                        </pic:spPr>
                      </pic:pic>
                    </wpg:wgp>
                  </a:graphicData>
                </a:graphic>
              </wp:anchor>
            </w:drawing>
          </mc:Choice>
          <mc:Fallback xmlns:a="http://schemas.openxmlformats.org/drawingml/2006/main">
            <w:pict>
              <v:group id="Group 394469" style="width:424.616pt;height:602.879pt;position:absolute;mso-position-horizontal-relative:text;mso-position-horizontal:absolute;margin-left:0.696014pt;mso-position-vertical-relative:text;margin-top:-334.259pt;" coordsize="53926,76565">
                <v:shape id="Picture 11443" style="position:absolute;width:53866;height:43755;left:0;top:0;" filled="f">
                  <v:imagedata r:id="rId61"/>
                </v:shape>
                <v:shape id="Picture 11445" style="position:absolute;width:53926;height:32750;left:0;top:43815;" filled="f">
                  <v:imagedata r:id="rId62"/>
                </v:shape>
                <w10:wrap type="square"/>
              </v:group>
            </w:pict>
          </mc:Fallback>
        </mc:AlternateConten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983" w:firstLine="0"/>
        <w:jc w:val="right"/>
      </w:pPr>
      <w:r>
        <w:rPr>
          <w:noProof/>
        </w:rPr>
        <w:drawing>
          <wp:inline distT="0" distB="0" distL="0" distR="0">
            <wp:extent cx="5400985" cy="867066"/>
            <wp:effectExtent l="0" t="0" r="0" b="0"/>
            <wp:docPr id="11551" name="Picture 11551"/>
            <wp:cNvGraphicFramePr/>
            <a:graphic xmlns:a="http://schemas.openxmlformats.org/drawingml/2006/main">
              <a:graphicData uri="http://schemas.openxmlformats.org/drawingml/2006/picture">
                <pic:pic xmlns:pic="http://schemas.openxmlformats.org/drawingml/2006/picture">
                  <pic:nvPicPr>
                    <pic:cNvPr id="11551" name="Picture 11551"/>
                    <pic:cNvPicPr/>
                  </pic:nvPicPr>
                  <pic:blipFill>
                    <a:blip r:embed="rId63"/>
                    <a:stretch>
                      <a:fillRect/>
                    </a:stretch>
                  </pic:blipFill>
                  <pic:spPr>
                    <a:xfrm>
                      <a:off x="0" y="0"/>
                      <a:ext cx="5400985" cy="86706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ALTERNATIVA SELECCIONADA </w:t>
      </w:r>
    </w:p>
    <w:p w:rsidR="00025683" w:rsidRDefault="007C2AAB">
      <w:pPr>
        <w:spacing w:after="0" w:line="259" w:lineRule="auto"/>
        <w:ind w:left="14" w:firstLine="0"/>
        <w:jc w:val="left"/>
      </w:pPr>
      <w:r>
        <w:t xml:space="preserve"> </w:t>
      </w:r>
    </w:p>
    <w:p w:rsidR="00025683" w:rsidRDefault="007C2AAB">
      <w:pPr>
        <w:ind w:left="14" w:right="200"/>
      </w:pPr>
      <w:r>
        <w:t>La propuesta de ordenación para el Parque Periurbano de Pasacola parte de la Alternativa 1 – Un Espacio para la Historia</w:t>
      </w:r>
      <w:r>
        <w:t>, que plantea la recuperación del ámbito en condiciones lo más cercanas posible a su estado original, concibiéndolo como un espacio de esparcimiento al servicio del municipio, en el que se conserven e integren los vestigios del antiguo asentamiento de Pasa</w:t>
      </w:r>
      <w:r>
        <w:t xml:space="preserve">cola.  </w:t>
      </w:r>
    </w:p>
    <w:p w:rsidR="00025683" w:rsidRDefault="007C2AAB">
      <w:pPr>
        <w:ind w:left="14" w:right="200"/>
      </w:pPr>
      <w:r>
        <w:t>Esta propuesta se fundamenta en un modelo de intervención mínima, respetuoso con la memoria histórica y los valores ambientales del lugar, que prioriza la restauración del paisaje agrario tradicional y la activación de usos compatibles con su carác</w:t>
      </w:r>
      <w:r>
        <w:t>ter patrimonial y productivo.  El espacio del parque se concibe como un ámbito de regeneración ambiental y patrimonial, diseñado para recuperar y poner en valor tanto los ecosistemas naturales como la memoria histórica del lugar. Este espacio estará abiert</w:t>
      </w:r>
      <w:r>
        <w:t xml:space="preserve">o a la visita pública y contará con un recorrido interpretativo que permitirá a los visitantes descubrir y comprender los restos históricos del antiguo caserío de Pasacola, cuyas huellas forman parte del legado cultural del territorio.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4716" name="Group 3947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554" name="Rectangle 11554"/>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555" name="Rectangle 11555"/>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556" name="Rectangle 11556"/>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74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4716" style="width:18.7031pt;height:260.874pt;position:absolute;mso-position-horizontal-relative:page;mso-position-horizontal:absolute;margin-left:662.928pt;mso-position-vertical-relative:page;margin-top:512.046pt;" coordsize="2375,33130">
                <v:rect id="Rectangle 11554"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5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5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350 </w:t>
                        </w:r>
                      </w:p>
                    </w:txbxContent>
                  </v:textbox>
                </v:rect>
                <w10:wrap type="square"/>
              </v:group>
            </w:pict>
          </mc:Fallback>
        </mc:AlternateContent>
      </w:r>
      <w:r>
        <w:t>A través de paneles informativos, señalización temática y ele</w:t>
      </w:r>
      <w:r>
        <w:t>mentos museográficos al aire libre, de baja intensidad visual, el recorrido ofrecerá una experiencia educativa dirigida a diversos públicos, fomentando el conocimiento del patrimonio rural y la relación entre la comunidad y su entorno. Además, el parque in</w:t>
      </w:r>
      <w:r>
        <w:t xml:space="preserve">tegrará áreas de descanso estratégicamente ubicadas, que invitarán a la contemplación y la pausa, ligados al camino tradicional de La Candelaria, reforzando su dimensión cultural y paisajística.  </w:t>
      </w:r>
    </w:p>
    <w:p w:rsidR="00025683" w:rsidRDefault="007C2AAB">
      <w:pPr>
        <w:ind w:left="14" w:right="200"/>
      </w:pPr>
      <w:r>
        <w:t>El diseño del parque priorizará criterios de sostenibilidad</w:t>
      </w:r>
      <w:r>
        <w:t>, restauración ecológica y accesibilidad universal, de modo que se convierta en un referente de intervención respetuosa con el medio ambiente y con el patrimonio material e inmaterial.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De esta manera, se aspira a que el espacio se consolide como un luga</w:t>
      </w:r>
      <w:r>
        <w:t xml:space="preserve">r de encuentro, aprendizaje y recreación para la población local y los visitantes, al tiempo que contribuye a la protección y revitalización de los valores identitarios del territorio.  </w:t>
      </w:r>
    </w:p>
    <w:p w:rsidR="00025683" w:rsidRDefault="007C2AAB">
      <w:pPr>
        <w:spacing w:after="0" w:line="259" w:lineRule="auto"/>
        <w:ind w:left="14" w:firstLine="0"/>
        <w:jc w:val="left"/>
      </w:pPr>
      <w:r>
        <w:t xml:space="preserve"> </w:t>
      </w:r>
    </w:p>
    <w:p w:rsidR="00025683" w:rsidRDefault="007C2AAB">
      <w:pPr>
        <w:ind w:left="14" w:right="200"/>
      </w:pPr>
      <w:r>
        <w:t>Los objetivos que orientan la ordenación se precisan así de la sigu</w:t>
      </w:r>
      <w:r>
        <w:t xml:space="preserve">iente forma:  </w:t>
      </w:r>
    </w:p>
    <w:p w:rsidR="00025683" w:rsidRDefault="007C2AAB">
      <w:pPr>
        <w:spacing w:after="0" w:line="259" w:lineRule="auto"/>
        <w:ind w:left="14" w:firstLine="0"/>
        <w:jc w:val="left"/>
      </w:pPr>
      <w:r>
        <w:t xml:space="preserve"> </w:t>
      </w:r>
    </w:p>
    <w:p w:rsidR="00025683" w:rsidRDefault="007C2AAB">
      <w:pPr>
        <w:numPr>
          <w:ilvl w:val="0"/>
          <w:numId w:val="23"/>
        </w:numPr>
        <w:ind w:right="200"/>
      </w:pPr>
      <w:r>
        <w:t xml:space="preserve">Identificar, categorizar y favorecer la conservación y puesta en valor el patrimonio cultural del ámbito de Pasacola, con el fin de desarrollar todo su potencial y garantizar un nivel adecuado de conservación, uso y mantenimiento.  </w:t>
      </w:r>
    </w:p>
    <w:p w:rsidR="00025683" w:rsidRDefault="007C2AAB">
      <w:pPr>
        <w:numPr>
          <w:ilvl w:val="0"/>
          <w:numId w:val="23"/>
        </w:numPr>
        <w:ind w:right="200"/>
      </w:pPr>
      <w:r>
        <w:t>Adopta</w:t>
      </w:r>
      <w:r>
        <w:t xml:space="preserve">ción de medidas de conservación, mejora y protección de la naturaleza y del patrimonio natural de Pasacola.  </w:t>
      </w:r>
    </w:p>
    <w:p w:rsidR="00025683" w:rsidRDefault="007C2AAB">
      <w:pPr>
        <w:numPr>
          <w:ilvl w:val="0"/>
          <w:numId w:val="23"/>
        </w:numPr>
        <w:ind w:right="200"/>
      </w:pPr>
      <w:r>
        <w:t>Implantación limitada de los usos, con especial atención a las características geomorfológicas del territorio y a los valores patrimoniales existe</w:t>
      </w:r>
      <w:r>
        <w:t xml:space="preserve">ntes, garantizando en todo momento un desarrollo sostenible que respete el medioambiente y los recursos naturales.  </w:t>
      </w:r>
    </w:p>
    <w:p w:rsidR="00025683" w:rsidRDefault="007C2AAB">
      <w:pPr>
        <w:numPr>
          <w:ilvl w:val="0"/>
          <w:numId w:val="23"/>
        </w:numPr>
        <w:ind w:right="200"/>
      </w:pPr>
      <w:r>
        <w:t xml:space="preserve">Fomentar actuaciones basadas en estrategias de movilidad sostenible considerando las limitaciones propias del lugar.  </w:t>
      </w:r>
    </w:p>
    <w:p w:rsidR="00025683" w:rsidRDefault="007C2AAB">
      <w:pPr>
        <w:numPr>
          <w:ilvl w:val="0"/>
          <w:numId w:val="23"/>
        </w:numPr>
        <w:ind w:right="200"/>
      </w:pPr>
      <w:r>
        <w:t>Inclusión de la pers</w:t>
      </w:r>
      <w:r>
        <w:t xml:space="preserve">pectiva de género en el diseño y ejecución de las distintas zonas y recorridos.  </w:t>
      </w:r>
    </w:p>
    <w:p w:rsidR="00025683" w:rsidRDefault="007C2AAB">
      <w:pPr>
        <w:numPr>
          <w:ilvl w:val="0"/>
          <w:numId w:val="23"/>
        </w:numPr>
        <w:ind w:right="200"/>
      </w:pPr>
      <w:r>
        <w:t xml:space="preserve">Recuperación de la estructura de bancales tradicionales, reestableciendo así el carácter del ámbito.  </w:t>
      </w:r>
    </w:p>
    <w:p w:rsidR="00025683" w:rsidRDefault="007C2AAB">
      <w:pPr>
        <w:numPr>
          <w:ilvl w:val="0"/>
          <w:numId w:val="23"/>
        </w:numPr>
        <w:ind w:right="200"/>
      </w:pPr>
      <w:r>
        <w:t>Conservación y mantenimiento de los vestigios arqueológicos del caserío</w:t>
      </w:r>
      <w:r>
        <w:t xml:space="preserve"> de Pasacola en su estado actual.  </w:t>
      </w:r>
    </w:p>
    <w:p w:rsidR="00025683" w:rsidRDefault="007C2AAB">
      <w:pPr>
        <w:numPr>
          <w:ilvl w:val="0"/>
          <w:numId w:val="23"/>
        </w:numPr>
        <w:ind w:right="200"/>
      </w:pPr>
      <w:r>
        <w:t xml:space="preserve">Difundir los valores naturales e históricos existentes en el ámbito procurando potenciar su identidad y fomentando la conservación y mejora del entorno, con la incorporación de discurso interpretativo del caserío.  </w:t>
      </w:r>
    </w:p>
    <w:p w:rsidR="00025683" w:rsidRDefault="007C2AAB">
      <w:pPr>
        <w:numPr>
          <w:ilvl w:val="0"/>
          <w:numId w:val="23"/>
        </w:numPr>
        <w:ind w:right="200"/>
      </w:pPr>
      <w:r>
        <w:t>Recu</w:t>
      </w:r>
      <w:r>
        <w:t>alificación del paisaje a través de la recuperación carácter agrícola del ámbito mediante la recuperación de los trazados y los elementos que se conservan del caserío original, con especial relevancia a los bancales de cultivo existentes, quedando integrad</w:t>
      </w:r>
      <w:r>
        <w:t xml:space="preserve">as en la ordenación propuesta.  - Protección de restos de vegetación potencial que constituyen hábitats naturales de interés comunitario.  </w:t>
      </w:r>
    </w:p>
    <w:p w:rsidR="00025683" w:rsidRDefault="007C2AAB">
      <w:pPr>
        <w:numPr>
          <w:ilvl w:val="0"/>
          <w:numId w:val="23"/>
        </w:numPr>
        <w:ind w:right="200"/>
      </w:pPr>
      <w:r>
        <w:t>Eliminación de especies invasoras detectadas, entre ellas el piteral, el tuneral y el rabo de gato.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4632" name="Group 39463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634" name="Rectangle 11634"/>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635" name="Rectangle 11635"/>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636" name="Rectangle 11636"/>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75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4632" style="width:18.7031pt;height:260.874pt;position:absolute;mso-position-horizontal-relative:page;mso-position-horizontal:absolute;margin-left:662.928pt;mso-position-vertical-relative:page;margin-top:512.046pt;" coordsize="2375,33130">
                <v:rect id="Rectangle 11634"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63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63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350 </w:t>
                        </w:r>
                      </w:p>
                    </w:txbxContent>
                  </v:textbox>
                </v:rect>
                <w10:wrap type="topAndBottom"/>
              </v:group>
            </w:pict>
          </mc:Fallback>
        </mc:AlternateContent>
      </w:r>
      <w:r>
        <w:rPr>
          <w:b/>
        </w:rPr>
        <w:t xml:space="preserve"> </w:t>
      </w:r>
    </w:p>
    <w:p w:rsidR="00025683" w:rsidRDefault="007C2AAB">
      <w:pPr>
        <w:spacing w:after="0" w:line="259" w:lineRule="auto"/>
        <w:ind w:left="0" w:right="1015" w:firstLine="0"/>
        <w:jc w:val="right"/>
      </w:pPr>
      <w:r>
        <w:rPr>
          <w:noProof/>
        </w:rPr>
        <w:drawing>
          <wp:inline distT="0" distB="0" distL="0" distR="0">
            <wp:extent cx="5380905" cy="4914949"/>
            <wp:effectExtent l="0" t="0" r="0" b="0"/>
            <wp:docPr id="11631" name="Picture 11631"/>
            <wp:cNvGraphicFramePr/>
            <a:graphic xmlns:a="http://schemas.openxmlformats.org/drawingml/2006/main">
              <a:graphicData uri="http://schemas.openxmlformats.org/drawingml/2006/picture">
                <pic:pic xmlns:pic="http://schemas.openxmlformats.org/drawingml/2006/picture">
                  <pic:nvPicPr>
                    <pic:cNvPr id="11631" name="Picture 11631"/>
                    <pic:cNvPicPr/>
                  </pic:nvPicPr>
                  <pic:blipFill>
                    <a:blip r:embed="rId64"/>
                    <a:stretch>
                      <a:fillRect/>
                    </a:stretch>
                  </pic:blipFill>
                  <pic:spPr>
                    <a:xfrm>
                      <a:off x="0" y="0"/>
                      <a:ext cx="5380905" cy="4914949"/>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Teniendo en cuenta todas las consideraciones y condicion</w:t>
      </w:r>
      <w:r>
        <w:t xml:space="preserve">antes previos, se propone una zonificación dentro del ámbito del Plan Especial, con el objetivo de ordenar y regular los usos y las posibles intervenciones. Se delimitan tres zonas de ordenación:  </w:t>
      </w:r>
    </w:p>
    <w:p w:rsidR="00025683" w:rsidRDefault="007C2AAB">
      <w:pPr>
        <w:spacing w:after="0" w:line="259" w:lineRule="auto"/>
        <w:ind w:left="14" w:firstLine="0"/>
        <w:jc w:val="left"/>
      </w:pPr>
      <w:r>
        <w:t xml:space="preserve"> </w:t>
      </w:r>
    </w:p>
    <w:p w:rsidR="00025683" w:rsidRDefault="007C2AAB">
      <w:pPr>
        <w:numPr>
          <w:ilvl w:val="0"/>
          <w:numId w:val="23"/>
        </w:numPr>
        <w:ind w:right="200"/>
      </w:pPr>
      <w:r>
        <w:t xml:space="preserve">Zona A – Caserío de Pasacola  </w:t>
      </w:r>
    </w:p>
    <w:p w:rsidR="00025683" w:rsidRDefault="007C2AAB">
      <w:pPr>
        <w:numPr>
          <w:ilvl w:val="0"/>
          <w:numId w:val="23"/>
        </w:numPr>
        <w:ind w:right="200"/>
      </w:pPr>
      <w:r>
        <w:t>Zona B – Bancales tradici</w:t>
      </w:r>
      <w:r>
        <w:t xml:space="preserve">onales  </w:t>
      </w:r>
    </w:p>
    <w:p w:rsidR="00025683" w:rsidRDefault="007C2AAB">
      <w:pPr>
        <w:numPr>
          <w:ilvl w:val="0"/>
          <w:numId w:val="23"/>
        </w:numPr>
        <w:ind w:right="200"/>
      </w:pPr>
      <w:r>
        <w:t xml:space="preserve">Zona C – Rehabilitación ambiental  </w:t>
      </w:r>
    </w:p>
    <w:p w:rsidR="00025683" w:rsidRDefault="007C2AAB">
      <w:pPr>
        <w:spacing w:after="0" w:line="259" w:lineRule="auto"/>
        <w:ind w:left="14" w:firstLine="0"/>
        <w:jc w:val="left"/>
      </w:pPr>
      <w:r>
        <w:t xml:space="preserve"> </w:t>
      </w:r>
    </w:p>
    <w:p w:rsidR="00025683" w:rsidRDefault="007C2AAB">
      <w:pPr>
        <w:ind w:left="14" w:right="200"/>
      </w:pPr>
      <w:r>
        <w:t xml:space="preserve">ZONA A – CASERÍO DE PASACOLA  </w:t>
      </w:r>
    </w:p>
    <w:p w:rsidR="00025683" w:rsidRDefault="007C2AAB">
      <w:pPr>
        <w:spacing w:after="0" w:line="259" w:lineRule="auto"/>
        <w:ind w:left="14" w:firstLine="0"/>
        <w:jc w:val="left"/>
      </w:pPr>
      <w:r>
        <w:t xml:space="preserve"> </w:t>
      </w:r>
    </w:p>
    <w:p w:rsidR="00025683" w:rsidRDefault="007C2AAB">
      <w:pPr>
        <w:ind w:left="14" w:right="200"/>
      </w:pPr>
      <w:r>
        <w:t>Se delimita la Zona A – Caserío de Pasacola, que recoge los restos reconocibles del antiguo asentamiento, integrados por vestigios de edificaciones, hornos, la era comunitaria,</w:t>
      </w:r>
      <w:r>
        <w:t xml:space="preserve"> una cueva cercana y restos de material disperso. Esta zona incluye además el sendero tradicional que parte del camino de La Candelaria y culmina en la zona de la era.  </w:t>
      </w:r>
    </w:p>
    <w:p w:rsidR="00025683" w:rsidRDefault="007C2AAB">
      <w:pPr>
        <w:ind w:left="14" w:right="200"/>
      </w:pPr>
      <w:r>
        <w:t>En esta zona se plantea la consolidación y el mantenimiento de los restos del caserío, acompañados de la incorporación de un recorrido interpretativo que se apoye en los senderos y caminos existentes. Este discurso interpretativo partirá del camino de La</w:t>
      </w:r>
      <w:r>
        <w:rPr>
          <w:rFonts w:ascii="Times New Roman" w:eastAsia="Times New Roman" w:hAnsi="Times New Roman" w:cs="Times New Roman"/>
          <w:sz w:val="24"/>
        </w:rPr>
        <w:t xml:space="preserve"> </w:t>
      </w:r>
    </w:p>
    <w:p w:rsidR="00025683" w:rsidRDefault="007C2AAB">
      <w:pPr>
        <w:ind w:left="14" w:right="200"/>
      </w:pPr>
      <w:r>
        <w:t xml:space="preserve">Candelaria, diseñado para atraer a los transeúntes mediante elementos de baja intensidad visual y un diseño cuidado, basado en paneles explicativos.  </w:t>
      </w:r>
    </w:p>
    <w:p w:rsidR="00025683" w:rsidRDefault="007C2AAB">
      <w:pPr>
        <w:ind w:left="14" w:right="200"/>
      </w:pPr>
      <w:r>
        <w:t>El acondicionamiento de los caminos mantendrá el firme de tierra actual para preservar la naturalidad del</w:t>
      </w:r>
      <w:r>
        <w:t xml:space="preserve"> entorno.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5026" name="Group 3950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774" name="Rectangle 11774"/>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775" name="Rectangle 11775"/>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776" name="Rectangle 11776"/>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76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5026" style="width:18.7031pt;height:260.874pt;position:absolute;mso-position-horizontal-relative:page;mso-position-horizontal:absolute;margin-left:662.928pt;mso-position-vertical-relative:page;margin-top:512.046pt;" coordsize="2375,33130">
                <v:rect id="Rectangle 11774"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77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77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350 </w:t>
                        </w:r>
                      </w:p>
                    </w:txbxContent>
                  </v:textbox>
                </v:rect>
                <w10:wrap type="square"/>
              </v:group>
            </w:pict>
          </mc:Fallback>
        </mc:AlternateContent>
      </w:r>
      <w:r>
        <w:t xml:space="preserve">Además, se diseñará una zona de mirador en la </w:t>
      </w:r>
      <w:r>
        <w:t>parte baja del caserío, situada en un punto óptimo para la contemplación del Valle y la Montaña de Güímar, donde el mobiliario y la urbanización serán de mínima intervención, evitando competir visual y estéticamente con las características naturales del en</w:t>
      </w:r>
      <w:r>
        <w:t xml:space="preserve">torno.  </w:t>
      </w:r>
    </w:p>
    <w:p w:rsidR="00025683" w:rsidRDefault="007C2AAB">
      <w:pPr>
        <w:spacing w:after="0" w:line="259" w:lineRule="auto"/>
        <w:ind w:left="14" w:firstLine="0"/>
        <w:jc w:val="left"/>
      </w:pPr>
      <w:r>
        <w:t xml:space="preserve"> </w:t>
      </w:r>
    </w:p>
    <w:p w:rsidR="00025683" w:rsidRDefault="007C2AAB">
      <w:pPr>
        <w:ind w:left="14" w:right="200"/>
      </w:pPr>
      <w:r>
        <w:t xml:space="preserve">ZONA B – BANCALES TRADICIONALES  </w:t>
      </w:r>
    </w:p>
    <w:p w:rsidR="00025683" w:rsidRDefault="007C2AAB">
      <w:pPr>
        <w:spacing w:after="0" w:line="259" w:lineRule="auto"/>
        <w:ind w:left="14" w:firstLine="0"/>
        <w:jc w:val="left"/>
      </w:pPr>
      <w:r>
        <w:t xml:space="preserve"> </w:t>
      </w:r>
    </w:p>
    <w:p w:rsidR="00025683" w:rsidRDefault="007C2AAB">
      <w:pPr>
        <w:ind w:left="14" w:right="200"/>
      </w:pPr>
      <w:r>
        <w:t xml:space="preserve">Se delimita la Zona B – Bancales Tradicionales, recogiendo las áreas abancaladas originales que se encuentran en mejor estado de conservación, considerando que tienen suficiente valor para su recuperación.  </w:t>
      </w:r>
    </w:p>
    <w:p w:rsidR="00025683" w:rsidRDefault="007C2AAB">
      <w:pPr>
        <w:ind w:left="14" w:right="200"/>
      </w:pPr>
      <w:r>
        <w:t>S</w:t>
      </w:r>
      <w:r>
        <w:t xml:space="preserve">e plantea la recuperación de las estructuras originales de muros y bancales, así como la restauración de los sistemas de abastecimiento de agua existentes, con el fin de recuperar el carácter agrícola tradicional de la zona.  </w:t>
      </w:r>
    </w:p>
    <w:p w:rsidR="00025683" w:rsidRDefault="007C2AAB">
      <w:pPr>
        <w:ind w:left="14" w:right="200"/>
      </w:pPr>
      <w:r>
        <w:t>Estos ámbitos se proponen tan</w:t>
      </w:r>
      <w:r>
        <w:t xml:space="preserve">to como espacios de interpretación de las técnicas de cultivo ancestral, combinando la puesta en producción agrícola, como zonas estanciales destinadas al descanso y la contemplación, de acuerdo con los objetivos y necesidades del órgano promotor.  </w:t>
      </w:r>
    </w:p>
    <w:p w:rsidR="00025683" w:rsidRDefault="007C2AAB">
      <w:pPr>
        <w:spacing w:after="0" w:line="259" w:lineRule="auto"/>
        <w:ind w:left="14" w:firstLine="0"/>
        <w:jc w:val="left"/>
      </w:pPr>
      <w:r>
        <w:t xml:space="preserve"> </w:t>
      </w:r>
    </w:p>
    <w:p w:rsidR="00025683" w:rsidRDefault="007C2AAB">
      <w:pPr>
        <w:ind w:left="14" w:right="200"/>
      </w:pPr>
      <w:r>
        <w:t>ZONA</w:t>
      </w:r>
      <w:r>
        <w:t xml:space="preserve"> C – REHABILITACIÓN AMBIENTAL  </w:t>
      </w:r>
    </w:p>
    <w:p w:rsidR="00025683" w:rsidRDefault="007C2AAB">
      <w:pPr>
        <w:spacing w:after="0" w:line="259" w:lineRule="auto"/>
        <w:ind w:left="14" w:firstLine="0"/>
        <w:jc w:val="left"/>
      </w:pPr>
      <w:r>
        <w:t xml:space="preserve"> </w:t>
      </w:r>
    </w:p>
    <w:p w:rsidR="00025683" w:rsidRDefault="007C2AAB">
      <w:pPr>
        <w:ind w:left="14" w:right="200"/>
      </w:pPr>
      <w:r>
        <w:t>El resto del ámbito del Plan Especial se recoge en la Zona C – Rehabilitación Ambiental, compuesta por suelos que, debido a sus características orográficas, su difícil acceso o por tratarse de zonas de bancales perdidos, n</w:t>
      </w:r>
      <w:r>
        <w:t xml:space="preserve">o son aptos para intervenciones intensivas. En estos sectores se plantea únicamente la regeneración y limpieza del entorno, priorizando la conservación y el mantenimiento de los hábitats naturales existentes.  </w:t>
      </w:r>
    </w:p>
    <w:p w:rsidR="00025683" w:rsidRDefault="007C2AAB">
      <w:pPr>
        <w:ind w:left="14" w:right="200"/>
      </w:pPr>
      <w:r>
        <w:t>En las áreas susceptibles de revegetación, se fomentará la plantación de especies autóctonas propias del piso bioclimático. Asimismo, se procederá a la eliminación de especies invasoras detectadas, entre ellas el piteral, el tuneral y el rabo de gato.</w:t>
      </w:r>
      <w:r>
        <w:rPr>
          <w:rFonts w:ascii="Times New Roman" w:eastAsia="Times New Roman" w:hAnsi="Times New Roman" w:cs="Times New Roman"/>
          <w:sz w:val="24"/>
        </w:rPr>
        <w:t xml:space="preserve"> </w:t>
      </w:r>
    </w:p>
    <w:p w:rsidR="00025683" w:rsidRDefault="007C2AAB">
      <w:pPr>
        <w:spacing w:after="0" w:line="259" w:lineRule="auto"/>
        <w:ind w:left="0" w:right="1646" w:firstLine="0"/>
        <w:jc w:val="right"/>
      </w:pPr>
      <w:r>
        <w:rPr>
          <w:noProof/>
        </w:rPr>
        <w:drawing>
          <wp:inline distT="0" distB="0" distL="0" distR="0">
            <wp:extent cx="4962993" cy="5867351"/>
            <wp:effectExtent l="0" t="0" r="0" b="0"/>
            <wp:docPr id="11806" name="Picture 11806"/>
            <wp:cNvGraphicFramePr/>
            <a:graphic xmlns:a="http://schemas.openxmlformats.org/drawingml/2006/main">
              <a:graphicData uri="http://schemas.openxmlformats.org/drawingml/2006/picture">
                <pic:pic xmlns:pic="http://schemas.openxmlformats.org/drawingml/2006/picture">
                  <pic:nvPicPr>
                    <pic:cNvPr id="11806" name="Picture 11806"/>
                    <pic:cNvPicPr/>
                  </pic:nvPicPr>
                  <pic:blipFill>
                    <a:blip r:embed="rId65"/>
                    <a:stretch>
                      <a:fillRect/>
                    </a:stretch>
                  </pic:blipFill>
                  <pic:spPr>
                    <a:xfrm>
                      <a:off x="0" y="0"/>
                      <a:ext cx="4962993" cy="586735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4554" name="Group 3945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809" name="Rectangle 11809"/>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810" name="Rectangle 11810"/>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811" name="Rectangle 11811"/>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77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4554" style="width:18.7031pt;height:260.874pt;position:absolute;mso-position-horizontal-relative:page;mso-position-horizontal:absolute;margin-left:662.928pt;mso-position-vertical-relative:page;margin-top:512.046pt;" coordsize="2375,33130">
                <v:rect id="Rectangle 11809"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81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81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350 </w:t>
                        </w:r>
                      </w:p>
                    </w:txbxContent>
                  </v:textbox>
                </v:rect>
                <w10:wrap type="topAndBottom"/>
              </v:group>
            </w:pict>
          </mc:Fallback>
        </mc:AlternateContent>
      </w: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523" w:firstLine="0"/>
        <w:jc w:val="right"/>
      </w:pPr>
      <w:r>
        <w:rPr>
          <w:noProof/>
        </w:rPr>
        <w:drawing>
          <wp:inline distT="0" distB="0" distL="0" distR="0">
            <wp:extent cx="5047098" cy="1761676"/>
            <wp:effectExtent l="0" t="0" r="0" b="0"/>
            <wp:docPr id="11896" name="Picture 11896"/>
            <wp:cNvGraphicFramePr/>
            <a:graphic xmlns:a="http://schemas.openxmlformats.org/drawingml/2006/main">
              <a:graphicData uri="http://schemas.openxmlformats.org/drawingml/2006/picture">
                <pic:pic xmlns:pic="http://schemas.openxmlformats.org/drawingml/2006/picture">
                  <pic:nvPicPr>
                    <pic:cNvPr id="11896" name="Picture 11896"/>
                    <pic:cNvPicPr/>
                  </pic:nvPicPr>
                  <pic:blipFill>
                    <a:blip r:embed="rId66"/>
                    <a:stretch>
                      <a:fillRect/>
                    </a:stretch>
                  </pic:blipFill>
                  <pic:spPr>
                    <a:xfrm>
                      <a:off x="0" y="0"/>
                      <a:ext cx="5047098" cy="176167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CONCLUSIONES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De acuerdo a todo lo expuesto anteriormente, se informa FAVORABLE la aprobación inicial del </w:t>
      </w:r>
    </w:p>
    <w:p w:rsidR="00025683" w:rsidRDefault="007C2AAB">
      <w:pPr>
        <w:ind w:left="14" w:right="200"/>
      </w:pPr>
      <w:r>
        <w:t xml:space="preserve">Plan Especial Parque Periurbano de Pasacola, T.M. de Candelaria </w:t>
      </w:r>
    </w:p>
    <w:p w:rsidR="00025683" w:rsidRDefault="007C2AAB">
      <w:pPr>
        <w:spacing w:after="0" w:line="259" w:lineRule="auto"/>
        <w:ind w:left="14" w:firstLine="0"/>
        <w:jc w:val="left"/>
      </w:pPr>
      <w:r>
        <w:t xml:space="preserve"> </w:t>
      </w:r>
    </w:p>
    <w:p w:rsidR="00025683" w:rsidRDefault="007C2AAB">
      <w:pPr>
        <w:pStyle w:val="Ttulo4"/>
        <w:ind w:left="274" w:right="464"/>
      </w:pPr>
      <w:r>
        <w:t xml:space="preserve">CONSIDERACIONES JURÍDICAS </w:t>
      </w:r>
    </w:p>
    <w:p w:rsidR="00025683" w:rsidRDefault="007C2AAB">
      <w:pPr>
        <w:spacing w:after="0" w:line="259" w:lineRule="auto"/>
        <w:ind w:left="0" w:right="133" w:firstLine="0"/>
        <w:jc w:val="center"/>
      </w:pPr>
      <w:r>
        <w:t xml:space="preserve"> </w:t>
      </w:r>
    </w:p>
    <w:p w:rsidR="00025683" w:rsidRDefault="007C2AAB">
      <w:pPr>
        <w:ind w:left="14" w:right="200"/>
      </w:pPr>
      <w:r>
        <w:t xml:space="preserve">PRIMERA. - El artículo 146.1 de la Ley 4/2017, de 13 de julio, del </w:t>
      </w:r>
      <w:r>
        <w:t xml:space="preserve">Suelo y de los Espacios Naturales Protegidos de Canarias que los Planes Especiales de Ordenación tienen por objeto desarrollar o completar las determinaciones de los planes generales, ordenando elementos específicos de un ámbito territorial determinado.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6652" name="Group 3966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899" name="Rectangle 11899"/>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1900" name="Rectangle 11900"/>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1901" name="Rectangle 11901"/>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78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6652" style="width:18.7031pt;height:260.874pt;position:absolute;mso-position-horizontal-relative:page;mso-position-horizontal:absolute;margin-left:662.928pt;mso-position-vertical-relative:page;margin-top:512.046pt;" coordsize="2375,33130">
                <v:rect id="Rectangle 11899"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190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190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350 </w:t>
                        </w:r>
                      </w:p>
                    </w:txbxContent>
                  </v:textbox>
                </v:rect>
                <w10:wrap type="square"/>
              </v:group>
            </w:pict>
          </mc:Fallback>
        </mc:AlternateContent>
      </w:r>
      <w:r>
        <w:t xml:space="preserve"> </w:t>
      </w:r>
    </w:p>
    <w:p w:rsidR="00025683" w:rsidRDefault="007C2AAB">
      <w:pPr>
        <w:ind w:left="14" w:right="200"/>
      </w:pPr>
      <w:r>
        <w:t>Conforme al artículo 146.2, los ayuntamientos podrán apr</w:t>
      </w:r>
      <w:r>
        <w:t xml:space="preserve">obar planes especiales, en desarrollo del plan general o de forma autónoma, con las siguientes finalidades: </w:t>
      </w:r>
    </w:p>
    <w:p w:rsidR="00025683" w:rsidRDefault="007C2AAB">
      <w:pPr>
        <w:spacing w:after="3" w:line="238" w:lineRule="auto"/>
        <w:ind w:left="9" w:right="210" w:hanging="10"/>
        <w:jc w:val="left"/>
      </w:pPr>
      <w:r>
        <w:t xml:space="preserve">“a) Establecer la ordenación pormenorizada precisa para la ejecución del planeamiento, en todo o en parte, del suelo urbano consolidado y del suelo rústico de asentamiento rural. b) Conservar y mejorar el medio natural y el paisaje natural y urbano. </w:t>
      </w:r>
    </w:p>
    <w:p w:rsidR="00025683" w:rsidRDefault="007C2AAB">
      <w:pPr>
        <w:numPr>
          <w:ilvl w:val="0"/>
          <w:numId w:val="24"/>
        </w:numPr>
        <w:ind w:right="200"/>
      </w:pPr>
      <w:r>
        <w:t>Prote</w:t>
      </w:r>
      <w:r>
        <w:t xml:space="preserve">ger, conservar y rehabilitar el patrimonio histórico canario. </w:t>
      </w:r>
    </w:p>
    <w:p w:rsidR="00025683" w:rsidRDefault="007C2AAB">
      <w:pPr>
        <w:numPr>
          <w:ilvl w:val="0"/>
          <w:numId w:val="24"/>
        </w:numPr>
        <w:ind w:right="200"/>
      </w:pPr>
      <w:r>
        <w:t xml:space="preserve">Establecer la ordenación pormenorizada de las áreas urbanas sometidas a operaciones de reforma o de renovación urbanas, sin perjuicio de las actuaciones sobre el medio urbano previstas en esta </w:t>
      </w:r>
      <w:r>
        <w:t xml:space="preserve">ley. </w:t>
      </w:r>
    </w:p>
    <w:p w:rsidR="00025683" w:rsidRDefault="007C2AAB">
      <w:pPr>
        <w:numPr>
          <w:ilvl w:val="0"/>
          <w:numId w:val="24"/>
        </w:numPr>
        <w:ind w:right="200"/>
      </w:pPr>
      <w:r>
        <w:t xml:space="preserve">Definir las actuaciones en los núcleos o zonas turísticas a rehabilitar. </w:t>
      </w:r>
    </w:p>
    <w:p w:rsidR="00025683" w:rsidRDefault="007C2AAB">
      <w:pPr>
        <w:numPr>
          <w:ilvl w:val="0"/>
          <w:numId w:val="24"/>
        </w:numPr>
        <w:spacing w:after="30"/>
        <w:ind w:right="200"/>
      </w:pPr>
      <w:r>
        <w:t xml:space="preserve">Ordenar los sistemas generales, cuando así lo determine el plan general. </w:t>
      </w:r>
    </w:p>
    <w:p w:rsidR="00025683" w:rsidRDefault="007C2AAB">
      <w:pPr>
        <w:numPr>
          <w:ilvl w:val="0"/>
          <w:numId w:val="24"/>
        </w:numPr>
        <w:ind w:right="200"/>
      </w:pPr>
      <w:r>
        <w:t xml:space="preserve">Cualesquiera otras análogas que se prevean reglamentariamente.” </w:t>
      </w:r>
    </w:p>
    <w:p w:rsidR="00025683" w:rsidRDefault="007C2AAB">
      <w:pPr>
        <w:spacing w:after="0" w:line="259" w:lineRule="auto"/>
        <w:ind w:left="14" w:firstLine="0"/>
        <w:jc w:val="left"/>
      </w:pPr>
      <w:r>
        <w:t xml:space="preserve"> </w:t>
      </w:r>
    </w:p>
    <w:p w:rsidR="00025683" w:rsidRDefault="007C2AAB">
      <w:pPr>
        <w:ind w:left="14" w:right="200"/>
      </w:pPr>
      <w:r>
        <w:t xml:space="preserve">El artículo 147. de la Ley 4/2017, de 13 de julio, del Suelo y de los Espacios Naturales Protegidos de Canarias </w:t>
      </w:r>
    </w:p>
    <w:p w:rsidR="00025683" w:rsidRDefault="007C2AAB">
      <w:pPr>
        <w:numPr>
          <w:ilvl w:val="0"/>
          <w:numId w:val="25"/>
        </w:numPr>
        <w:ind w:right="200"/>
      </w:pPr>
      <w:r>
        <w:t xml:space="preserve">establece que cualquier sujeto, público o privado, podrá elaborar y proponer planes parciales y planes especiales, en los términos fijados por </w:t>
      </w:r>
      <w:r>
        <w:t xml:space="preserve">el plan general.  </w:t>
      </w:r>
    </w:p>
    <w:p w:rsidR="00025683" w:rsidRDefault="007C2AAB">
      <w:pPr>
        <w:numPr>
          <w:ilvl w:val="0"/>
          <w:numId w:val="25"/>
        </w:numPr>
        <w:ind w:right="200"/>
      </w:pPr>
      <w:r>
        <w:t xml:space="preserve">Formulado el instrumento de planeamiento, se procederá a su aprobación inicial por el órgano competente de acuerdo con la legislación de régimen local, previo informe de los servicios técnicos y jurídicos municipales. Cuando se trate de </w:t>
      </w:r>
      <w:r>
        <w:t>un instrumento de iniciativa particular solo podrá denegarse su aprobación inicial por razones de legalidad, que resulten insubsanables. En todo caso, la aprobación inicial no condicionará en modo alguno la resolución que se derive de la tramitación del pr</w:t>
      </w:r>
      <w:r>
        <w:t xml:space="preserve">ocedimiento. </w:t>
      </w:r>
    </w:p>
    <w:p w:rsidR="00025683" w:rsidRDefault="007C2AAB">
      <w:pPr>
        <w:numPr>
          <w:ilvl w:val="0"/>
          <w:numId w:val="25"/>
        </w:numPr>
        <w:ind w:right="200"/>
      </w:pPr>
      <w:r>
        <w:t>El documento aprobado inicialmente se someterá a los trámites de información pública y de consulta a las administraciones afectadas por el plazo fijado por la legislación ambiental o sectorial aplicable o, en su defecto, de un mes, computados</w:t>
      </w:r>
      <w:r>
        <w:t xml:space="preserve"> a partir de la publicación del correspondiente anuncio en el Boletín Oficial de Canarias. El periodo de información pública se anunciará en, al menos, uno de los periódicos de mayor difusión de la isla y en la sede electrónica del ayuntamiento. </w:t>
      </w:r>
    </w:p>
    <w:p w:rsidR="00025683" w:rsidRDefault="007C2AAB">
      <w:pPr>
        <w:ind w:left="14" w:right="200"/>
      </w:pPr>
      <w:r>
        <w:t xml:space="preserve">La falta </w:t>
      </w:r>
      <w:r>
        <w:t>de emisión de los informes no interrumpirá la tramitación del procedimiento. Los informes que no se emitan dentro del plazo conferido podrán no ser tenidos en cuenta para adoptar la aprobación definitiva. La documentación que se someta a información públic</w:t>
      </w:r>
      <w:r>
        <w:t xml:space="preserve">a deberá contener los resúmenes ejecutivos y no técnicos previstos en la legislación estatal básica.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SEGUNDA. - Resultan de aplicación los artículos 14 y siguientes del Reglamento de Planeamiento de Canarias donde se regulan los trámites comunes de </w:t>
      </w:r>
      <w:r>
        <w:t>la elaboración de los instrumentos de ordenación sometidos a evaluación ambiental estratégica ordinaria.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6840" name="Group 3968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009" name="Rectangle 12009"/>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2010" name="Rectangle 12010"/>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011" name="Rectangle 12011"/>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79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6840" style="width:18.7031pt;height:260.874pt;position:absolute;mso-position-horizontal-relative:page;mso-position-horizontal:absolute;margin-left:662.928pt;mso-position-vertical-relative:page;margin-top:512.046pt;" coordsize="2375,33130">
                <v:rect id="Rectangle 12009"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01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01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350 </w:t>
                        </w:r>
                      </w:p>
                    </w:txbxContent>
                  </v:textbox>
                </v:rect>
                <w10:wrap type="square"/>
              </v:group>
            </w:pict>
          </mc:Fallback>
        </mc:AlternateContent>
      </w:r>
      <w:r>
        <w:t xml:space="preserve">En el articulo 22 del Reglamento de Planeamiento de Canarias, aprobado por Decreto 181/2018, de 26 de diciembre que señala lo siguiente: </w:t>
      </w:r>
    </w:p>
    <w:p w:rsidR="00025683" w:rsidRDefault="007C2AAB">
      <w:pPr>
        <w:spacing w:after="0" w:line="259" w:lineRule="auto"/>
        <w:ind w:left="14" w:firstLine="0"/>
        <w:jc w:val="left"/>
      </w:pPr>
      <w:r>
        <w:t xml:space="preserve"> </w:t>
      </w:r>
    </w:p>
    <w:p w:rsidR="00025683" w:rsidRDefault="007C2AAB">
      <w:pPr>
        <w:numPr>
          <w:ilvl w:val="0"/>
          <w:numId w:val="26"/>
        </w:numPr>
        <w:ind w:right="200"/>
      </w:pPr>
      <w:r>
        <w:t>A la vista del resulta</w:t>
      </w:r>
      <w:r>
        <w:t>do de los trámites anteriores, se elaborará el documento del plan que vaya a someterse a la aprobación inicial, seleccionándose aquellas alternativas que resulten más equilibradas desde la perspectiva del desarrollo sostenible, previa ponderación de los as</w:t>
      </w:r>
      <w:r>
        <w:t xml:space="preserve">pectos económicos, sociales, territoriales y ambientales; y, de ser preciso, se modificará el contenido del estudio ambiental estratégico. </w:t>
      </w:r>
    </w:p>
    <w:p w:rsidR="00025683" w:rsidRDefault="007C2AAB">
      <w:pPr>
        <w:numPr>
          <w:ilvl w:val="0"/>
          <w:numId w:val="26"/>
        </w:numPr>
        <w:ind w:right="200"/>
      </w:pPr>
      <w:r>
        <w:t>Con el fin de dar cumplimiento a lo dispuesto en el apartado anterior, el órgano competente elegirá la alternativa o</w:t>
      </w:r>
      <w:r>
        <w:t xml:space="preserve"> alternativas más adecuadas a la vista de la propuesta que le formulen los servicios administrativos. </w:t>
      </w:r>
    </w:p>
    <w:p w:rsidR="00025683" w:rsidRDefault="007C2AAB">
      <w:pPr>
        <w:numPr>
          <w:ilvl w:val="0"/>
          <w:numId w:val="26"/>
        </w:numPr>
        <w:ind w:right="200"/>
      </w:pPr>
      <w:r>
        <w:t>El documento resultante, que incorporará la alternativa o alternativas seleccionadas, se someterá a informe de los servicios técnicos y jurídicos, así co</w:t>
      </w:r>
      <w:r>
        <w:t>mo de las distintas áreas y organismos dependientes o adscritos a la Administración promotora que puedan resultar afectados por el plan en razón de las competencias que ejercen, en el plazo máximo de un mes. En el caso de que los informes internos se contr</w:t>
      </w:r>
      <w:r>
        <w:t xml:space="preserve">adigan se elevará el conflicto al órgano correspondiente, para que resuelva la discrepancia mediante la emisión de un informe final. </w:t>
      </w:r>
    </w:p>
    <w:p w:rsidR="00025683" w:rsidRDefault="007C2AAB">
      <w:pPr>
        <w:spacing w:after="0" w:line="259" w:lineRule="auto"/>
        <w:ind w:left="14" w:firstLine="0"/>
        <w:jc w:val="left"/>
      </w:pPr>
      <w:r>
        <w:t xml:space="preserve"> </w:t>
      </w:r>
    </w:p>
    <w:p w:rsidR="00025683" w:rsidRDefault="007C2AAB">
      <w:pPr>
        <w:ind w:left="14" w:right="200"/>
      </w:pPr>
      <w:r>
        <w:t xml:space="preserve">TERCERA.- Artículo 23 Información pública, consulta e informes preceptivos de la aprobación inicial </w:t>
      </w:r>
    </w:p>
    <w:p w:rsidR="00025683" w:rsidRDefault="007C2AAB">
      <w:pPr>
        <w:numPr>
          <w:ilvl w:val="0"/>
          <w:numId w:val="27"/>
        </w:numPr>
        <w:ind w:right="200"/>
      </w:pPr>
      <w:r>
        <w:t>El documento aproba</w:t>
      </w:r>
      <w:r>
        <w:t>do inicialmente se someterá a los trámites de información pública, consulta de las administraciones públicas cuyas competencias pudiesen resultar afectadas y de las personas interesadas que hayan sido previamente consultadas y solicitud de los informes sec</w:t>
      </w:r>
      <w:r>
        <w:t xml:space="preserve">toriales preceptivos, en los términos previstos en el artículo 21 del presente Reglamento. </w:t>
      </w:r>
    </w:p>
    <w:p w:rsidR="00025683" w:rsidRDefault="007C2AAB">
      <w:pPr>
        <w:numPr>
          <w:ilvl w:val="0"/>
          <w:numId w:val="27"/>
        </w:numPr>
        <w:ind w:right="200"/>
      </w:pPr>
      <w:r>
        <w:t>Transcurrido el plazo de información pública, consulta e informes preceptivos se introducirán las modificaciones que, como consecuencia de dicho proceso participati</w:t>
      </w:r>
      <w:r>
        <w:t xml:space="preserve">vo, se estimen oportunas, actualizándose, en su caso, el estudio ambiental estratégico. </w:t>
      </w:r>
    </w:p>
    <w:p w:rsidR="00025683" w:rsidRDefault="007C2AAB">
      <w:pPr>
        <w:numPr>
          <w:ilvl w:val="0"/>
          <w:numId w:val="27"/>
        </w:numPr>
        <w:ind w:right="200"/>
      </w:pPr>
      <w:r>
        <w:t xml:space="preserve">Si como consecuencia de las alegaciones formuladas o de los informes emitidos se introdujeran cambios sustanciales en relación con el documento aprobado inicialmente, </w:t>
      </w:r>
      <w:r>
        <w:t xml:space="preserve">por el órgano promotor se llevará a cabo un nuevo periodo de información pública, consulta y de solicitud de informes preceptivos por plazo de cuarenta y cinco días. </w:t>
      </w:r>
    </w:p>
    <w:p w:rsidR="00025683" w:rsidRDefault="007C2AAB">
      <w:pPr>
        <w:spacing w:after="0" w:line="259" w:lineRule="auto"/>
        <w:ind w:left="14" w:firstLine="0"/>
        <w:jc w:val="left"/>
      </w:pPr>
      <w:r>
        <w:t xml:space="preserve"> </w:t>
      </w:r>
    </w:p>
    <w:p w:rsidR="00025683" w:rsidRDefault="007C2AAB">
      <w:pPr>
        <w:ind w:left="14" w:right="200"/>
      </w:pPr>
      <w:r>
        <w:t>Visto cuanto antecede, se considera que el expediente ha seguido la tramitación estable</w:t>
      </w:r>
      <w:r>
        <w:t xml:space="preserve">cida en la Legislación aplicable, procediendo su aprobación por el Pleno, por mayoría absoluta del número legal de miembros de la Corporación, de conformidad con los artículos 70.2 del Reglamento de Planeamiento de Canarias, aprobado por Decreto 181/2018, </w:t>
      </w:r>
      <w:r>
        <w:t xml:space="preserve">de 26 de diciembre, y 22.2.c) y 47.2.ll) de la Ley 7/1985, de 2 de abril, Reguladora de las Bases del Régimen Local. </w:t>
      </w:r>
    </w:p>
    <w:p w:rsidR="00025683" w:rsidRDefault="007C2AAB">
      <w:pPr>
        <w:spacing w:after="0" w:line="259" w:lineRule="auto"/>
        <w:ind w:left="14" w:firstLine="0"/>
        <w:jc w:val="left"/>
      </w:pPr>
      <w:r>
        <w:t xml:space="preserve"> </w:t>
      </w:r>
    </w:p>
    <w:p w:rsidR="00025683" w:rsidRDefault="007C2AAB">
      <w:pPr>
        <w:ind w:left="14" w:right="200"/>
      </w:pPr>
      <w:r>
        <w:t xml:space="preserve">Por ello, de conformidad con lo establecido en el artículo 175 del Reglamento de Organización, Funcionamiento y Régimen Jurídico de las </w:t>
      </w:r>
      <w:r>
        <w:t xml:space="preserve">Entidades Locales, aprobado por Real Decreto 2568/1986, de 28 de noviembre, el que suscribe eleva la siguiente propuesta de resolución: </w:t>
      </w:r>
    </w:p>
    <w:p w:rsidR="00025683" w:rsidRDefault="007C2AAB">
      <w:pPr>
        <w:spacing w:after="0" w:line="259" w:lineRule="auto"/>
        <w:ind w:left="0" w:right="133" w:firstLine="0"/>
        <w:jc w:val="center"/>
      </w:pPr>
      <w:r>
        <w:rPr>
          <w:b/>
        </w:rPr>
        <w:t xml:space="preserve"> </w:t>
      </w:r>
    </w:p>
    <w:p w:rsidR="00025683" w:rsidRDefault="007C2AAB">
      <w:pPr>
        <w:pStyle w:val="Ttulo4"/>
        <w:ind w:left="274" w:right="457"/>
      </w:pPr>
      <w:r>
        <w:t xml:space="preserve">PROPUESTA DE RESOLUCIÓN </w:t>
      </w:r>
    </w:p>
    <w:p w:rsidR="00025683" w:rsidRDefault="007C2AAB">
      <w:pPr>
        <w:spacing w:after="0" w:line="259" w:lineRule="auto"/>
        <w:ind w:left="0" w:right="133" w:firstLine="0"/>
        <w:jc w:val="center"/>
      </w:pPr>
      <w:r>
        <w:t xml:space="preserve"> </w:t>
      </w:r>
    </w:p>
    <w:p w:rsidR="00025683" w:rsidRDefault="007C2AAB">
      <w:pPr>
        <w:ind w:left="14" w:right="200"/>
      </w:pPr>
      <w:r>
        <w:t xml:space="preserve">PRIMERO. – </w:t>
      </w:r>
      <w:r>
        <w:t>Aprobar inicialmente el Plan Especial Parque Periurbano de Pasacola, T.M. de Candelaria , según lo indicado en el informe técnico favorable emitido con fecha 15/12/2025 que a continuación se transcribe: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6938" name="Group 39693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128" name="Rectangle 1212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2129" name="Rectangle 1212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Ver</w:t>
                              </w:r>
                              <w:r>
                                <w:rPr>
                                  <w:sz w:val="12"/>
                                </w:rPr>
                                <w:t xml:space="preserve">ificación: https://candelaria.sedelectronica.es/ </w:t>
                              </w:r>
                            </w:p>
                          </w:txbxContent>
                        </wps:txbx>
                        <wps:bodyPr horzOverflow="overflow" vert="horz" lIns="0" tIns="0" rIns="0" bIns="0" rtlCol="0">
                          <a:noAutofit/>
                        </wps:bodyPr>
                      </wps:wsp>
                      <wps:wsp>
                        <wps:cNvPr id="12130" name="Rectangle 1213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80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6938" style="width:18.7031pt;height:260.874pt;position:absolute;mso-position-horizontal-relative:page;mso-position-horizontal:absolute;margin-left:662.928pt;mso-position-vertical-relative:page;margin-top:512.046pt;" coordsize="2375,33130">
                <v:rect id="Rectangle 1212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12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13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350 </w:t>
                        </w:r>
                      </w:p>
                    </w:txbxContent>
                  </v:textbox>
                </v:rect>
                <w10:wrap type="square"/>
              </v:group>
            </w:pict>
          </mc:Fallback>
        </mc:AlternateContent>
      </w:r>
      <w:r>
        <w:rPr>
          <w:b/>
        </w:rPr>
        <w:t xml:space="preserve"> </w:t>
      </w:r>
    </w:p>
    <w:p w:rsidR="00025683" w:rsidRDefault="007C2AAB">
      <w:pPr>
        <w:ind w:left="14" w:right="200"/>
      </w:pPr>
      <w:r>
        <w:t xml:space="preserve">ANTECEDENTES </w:t>
      </w:r>
    </w:p>
    <w:p w:rsidR="00025683" w:rsidRDefault="007C2AAB">
      <w:pPr>
        <w:spacing w:after="0" w:line="259" w:lineRule="auto"/>
        <w:ind w:left="14" w:firstLine="0"/>
        <w:jc w:val="left"/>
      </w:pPr>
      <w:r>
        <w:t xml:space="preserve"> </w:t>
      </w:r>
    </w:p>
    <w:p w:rsidR="00025683" w:rsidRDefault="007C2AAB">
      <w:pPr>
        <w:ind w:left="14" w:right="200"/>
      </w:pPr>
      <w:r>
        <w:t>Con fecha 23 de enero de 2025 se dictó la Resolución n.º 15, en virtud de la cual se inició el procedimiento de evaluación ambiental estratégica ordinaria relativo al Plan Especial Parque Periurbano Pasacola, en el término municipal de Candelaria y se some</w:t>
      </w:r>
      <w:r>
        <w:t xml:space="preserve">tió a consultas de las administraciones públicas afectadas y de las personas interesadas el documento inicial estratégico y el borrador del citado instrumento de ordenación urbanística. Se publicó anuncio en el Boletín Oficial de Canarias (BOC nº 26, de 6 </w:t>
      </w:r>
      <w:r>
        <w:t xml:space="preserve">de febrero de 2025) y en la dirección web del Gobierno de Canarias. </w:t>
      </w:r>
    </w:p>
    <w:p w:rsidR="00025683" w:rsidRDefault="007C2AAB">
      <w:pPr>
        <w:ind w:left="14" w:right="200"/>
      </w:pPr>
      <w:r>
        <w:t>Cabe destacar el informe de la Dirección Insular de Planificación Territorial, Paisaje y Patrimonio Histórico del Cabildo Insular de Tenerife, que informa en relación con las competencias</w:t>
      </w:r>
      <w:r>
        <w:t xml:space="preserve"> en materia de patrimonio histórico: </w:t>
      </w:r>
    </w:p>
    <w:p w:rsidR="00025683" w:rsidRDefault="007C2AAB">
      <w:pPr>
        <w:spacing w:after="14" w:line="259" w:lineRule="auto"/>
        <w:ind w:left="14" w:firstLine="0"/>
        <w:jc w:val="left"/>
      </w:pPr>
      <w:r>
        <w:t xml:space="preserve"> </w:t>
      </w:r>
    </w:p>
    <w:p w:rsidR="00025683" w:rsidRDefault="007C2AAB">
      <w:pPr>
        <w:ind w:left="14" w:right="200"/>
      </w:pPr>
      <w:r>
        <w:t>“La zona de Pasacola se incluyó expresamente en la delimitación del Camino de Candelaria precisamente por sus elementos patrimoniales presentes, por su valor cultural y ambiental conformado por antiguos bancales de cultivo hoy en cultivo y por constituir u</w:t>
      </w:r>
      <w:r>
        <w:t xml:space="preserve">n paisaje casi prístino, muy poco alterado y con una calidad visual y patrimonial de primer orden.  </w:t>
      </w:r>
    </w:p>
    <w:p w:rsidR="00025683" w:rsidRDefault="007C2AAB">
      <w:pPr>
        <w:ind w:left="14" w:right="200"/>
      </w:pPr>
      <w:r>
        <w:t xml:space="preserve">Frente a esa realidad, algunas de las alternativas de ordenación plantean una transformación del mismo, introduciendo zonas de juegos infantiles, apertura </w:t>
      </w:r>
      <w:r>
        <w:t xml:space="preserve">de nuevos senderos, miradores y, en general, elementos invasivos que transforman un espacio con un valor tradicional de primer orden y que generan un impacto considerable. La propia idea de transformar la actual caja del camino o la creación de un espacio </w:t>
      </w:r>
      <w:r>
        <w:t xml:space="preserve">de aparcamiento vulneran de manera directa y contundente la imagen patrimonial que hoy tiene todo este sector.  </w:t>
      </w:r>
    </w:p>
    <w:p w:rsidR="00025683" w:rsidRDefault="007C2AAB">
      <w:pPr>
        <w:ind w:left="14" w:right="200"/>
      </w:pPr>
      <w:r>
        <w:t xml:space="preserve">Por este motivo y dado que se trata de un ámbito en el que las obras y actuaciones que se realicen requieren de la preceptiva autorización del </w:t>
      </w:r>
      <w:r>
        <w:t>Cabildo Insular, se advierte que la mayoría de las intervenciones previstas en las Alternativas 2 y 3 no responden a los criterios de intervención que utiliza esta Unidad Técnica y, por lo tanto, se consideran inadecuadas para el espacio que nos ocupa. Pos</w:t>
      </w:r>
      <w:r>
        <w:t>iblemente, el mismo concepto de parque periurbano no parece encajar en este ámbito, sensiblemente alejado de cualquier núcleo urbano y con unos rasgos que invitan a no intervenir en el mismo o hacerlo mínimamente. Ciertamente, se trata de un ámbito en el q</w:t>
      </w:r>
      <w:r>
        <w:t xml:space="preserve">ue debe primar el principio de intervención mínima expresado en la Alternativa 1, pero reduciendo incluso alguna de las actuaciones que propone.” </w:t>
      </w:r>
    </w:p>
    <w:p w:rsidR="00025683" w:rsidRDefault="007C2AAB">
      <w:pPr>
        <w:spacing w:after="0" w:line="259" w:lineRule="auto"/>
        <w:ind w:left="14" w:firstLine="0"/>
        <w:jc w:val="left"/>
      </w:pPr>
      <w:r>
        <w:t xml:space="preserve"> </w:t>
      </w:r>
    </w:p>
    <w:p w:rsidR="00025683" w:rsidRDefault="007C2AAB">
      <w:pPr>
        <w:ind w:left="14" w:right="200"/>
      </w:pPr>
      <w:r>
        <w:t>La Comisión Autonómica de Evaluación Ambiental, en sesión celebrada el 24 de abril de 2025, acordó formular</w:t>
      </w:r>
      <w:r>
        <w:t xml:space="preserve">, el DOCUMENTO DE ALCANCE en el procedimiento de la Evaluación Ambiental Estratégica Ordinaria del Plan Especial de Ordenación del Parque Periurbano de Pasacola, en el Término Municipal de Candelaria que se incorpora como Anexo. </w:t>
      </w:r>
    </w:p>
    <w:p w:rsidR="00025683" w:rsidRDefault="007C2AAB">
      <w:pPr>
        <w:spacing w:after="0" w:line="259" w:lineRule="auto"/>
        <w:ind w:left="14" w:firstLine="0"/>
        <w:jc w:val="left"/>
      </w:pPr>
      <w:r>
        <w:t xml:space="preserve"> </w:t>
      </w:r>
    </w:p>
    <w:p w:rsidR="00025683" w:rsidRDefault="007C2AAB">
      <w:pPr>
        <w:ind w:left="14" w:right="200"/>
      </w:pPr>
      <w:r>
        <w:t>DOCUMENTACIÓN INTEGRANTE</w:t>
      </w:r>
      <w:r>
        <w:t xml:space="preserve"> DE LA APROBACION INICIAL </w:t>
      </w:r>
    </w:p>
    <w:p w:rsidR="00025683" w:rsidRDefault="007C2AAB">
      <w:pPr>
        <w:spacing w:after="0" w:line="259" w:lineRule="auto"/>
        <w:ind w:left="14" w:firstLine="0"/>
        <w:jc w:val="left"/>
      </w:pPr>
      <w:r>
        <w:t xml:space="preserve"> </w:t>
      </w:r>
    </w:p>
    <w:p w:rsidR="00025683" w:rsidRDefault="007C2AAB">
      <w:pPr>
        <w:ind w:left="14" w:right="200"/>
      </w:pPr>
      <w:r>
        <w:t xml:space="preserve">Con fecha 3 de octubre de 2025 y con registro de entrada 2025-E-RC-9385 Ainoha Castro Díaz, en representación de GESPLAN S.A, aporta los siguientes documentos, para la aprobación inicial:  </w:t>
      </w:r>
    </w:p>
    <w:p w:rsidR="00025683" w:rsidRDefault="007C2AAB">
      <w:pPr>
        <w:ind w:left="14" w:right="200"/>
      </w:pPr>
      <w:r>
        <w:t>Los documentos que integran este Plan</w:t>
      </w:r>
      <w:r>
        <w:t xml:space="preserve"> Especial son los siguientes: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7126" name="Group 3971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254" name="Rectangle 12254"/>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2255" name="Rectangle 12255"/>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256" name="Rectangle 12256"/>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81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7126" style="width:18.7031pt;height:260.874pt;position:absolute;mso-position-horizontal-relative:page;mso-position-horizontal:absolute;margin-left:662.928pt;mso-position-vertical-relative:page;margin-top:512.046pt;" coordsize="2375,33130">
                <v:rect id="Rectangle 12254"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25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25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350 </w:t>
                        </w:r>
                      </w:p>
                    </w:txbxContent>
                  </v:textbox>
                </v:rect>
                <w10:wrap type="square"/>
              </v:group>
            </w:pict>
          </mc:Fallback>
        </mc:AlternateContent>
      </w:r>
      <w:r>
        <w:t>Documento de Información:</w:t>
      </w:r>
      <w:r>
        <w:t xml:space="preserve"> </w:t>
      </w:r>
    </w:p>
    <w:p w:rsidR="00025683" w:rsidRDefault="007C2AAB">
      <w:pPr>
        <w:ind w:left="14" w:right="200"/>
      </w:pPr>
      <w:r>
        <w:t>Tomo I.A Memoria de Información y Diagnóstico</w:t>
      </w:r>
      <w:r>
        <w:rPr>
          <w:rFonts w:ascii="Times New Roman" w:eastAsia="Times New Roman" w:hAnsi="Times New Roman" w:cs="Times New Roman"/>
          <w:sz w:val="24"/>
        </w:rPr>
        <w:t xml:space="preserve"> </w:t>
      </w:r>
    </w:p>
    <w:p w:rsidR="00025683" w:rsidRDefault="007C2AAB">
      <w:pPr>
        <w:ind w:left="14" w:right="200"/>
      </w:pPr>
      <w:r>
        <w:t xml:space="preserve">Tomo I.B.1 Planos de Información </w:t>
      </w:r>
    </w:p>
    <w:p w:rsidR="00025683" w:rsidRDefault="007C2AAB">
      <w:pPr>
        <w:ind w:left="14" w:right="200"/>
      </w:pPr>
      <w:r>
        <w:t xml:space="preserve">Tomo I.B.2 Planos de Diagnóstico </w:t>
      </w:r>
    </w:p>
    <w:p w:rsidR="00025683" w:rsidRDefault="007C2AAB">
      <w:pPr>
        <w:spacing w:after="0" w:line="259" w:lineRule="auto"/>
        <w:ind w:left="14" w:firstLine="0"/>
        <w:jc w:val="left"/>
      </w:pPr>
      <w:r>
        <w:t xml:space="preserve"> </w:t>
      </w:r>
    </w:p>
    <w:p w:rsidR="00025683" w:rsidRDefault="007C2AAB">
      <w:pPr>
        <w:ind w:left="14" w:right="200"/>
      </w:pPr>
      <w:r>
        <w:t xml:space="preserve">Anexo I Tomo I Análisis Histórico  </w:t>
      </w:r>
    </w:p>
    <w:p w:rsidR="00025683" w:rsidRDefault="007C2AAB">
      <w:pPr>
        <w:ind w:left="14" w:right="200"/>
      </w:pPr>
      <w:r>
        <w:t xml:space="preserve">Anexo II Tomo I Análisis Patrimonial  </w:t>
      </w:r>
    </w:p>
    <w:p w:rsidR="00025683" w:rsidRDefault="007C2AAB">
      <w:pPr>
        <w:ind w:left="14" w:right="200"/>
      </w:pPr>
      <w:r>
        <w:t xml:space="preserve">Anexo III Tomo I Análisis Socioeconómico  </w:t>
      </w:r>
    </w:p>
    <w:p w:rsidR="00025683" w:rsidRDefault="007C2AAB">
      <w:pPr>
        <w:spacing w:after="0" w:line="259" w:lineRule="auto"/>
        <w:ind w:left="14" w:firstLine="0"/>
        <w:jc w:val="left"/>
      </w:pPr>
      <w: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t xml:space="preserve">Tomo II.B Planos de Ordenación  </w:t>
      </w:r>
    </w:p>
    <w:p w:rsidR="00025683" w:rsidRDefault="007C2AAB">
      <w:pPr>
        <w:ind w:left="14" w:right="200"/>
      </w:pPr>
      <w:r>
        <w:t xml:space="preserve">Tomo II.C Normativa  </w:t>
      </w:r>
    </w:p>
    <w:p w:rsidR="00025683" w:rsidRDefault="007C2AAB">
      <w:pPr>
        <w:ind w:left="14" w:right="200"/>
      </w:pPr>
      <w:r>
        <w:t xml:space="preserve">Tomo II.D Informe de Sostenibilidad Económica  </w:t>
      </w:r>
    </w:p>
    <w:p w:rsidR="00025683" w:rsidRDefault="007C2AAB">
      <w:pPr>
        <w:ind w:left="14" w:right="200"/>
      </w:pPr>
      <w:r>
        <w:t>Anexo I Tomo II Criterios de diseño para el Parque Periurbano de Pasacol</w:t>
      </w:r>
      <w:r>
        <w:t xml:space="preserve">a.  </w:t>
      </w:r>
    </w:p>
    <w:p w:rsidR="00025683" w:rsidRDefault="007C2AAB">
      <w:pPr>
        <w:spacing w:after="0" w:line="259" w:lineRule="auto"/>
        <w:ind w:left="14" w:firstLine="0"/>
        <w:jc w:val="left"/>
      </w:pP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 xml:space="preserve">Tomo III.B Planos de Información Ambiental  </w:t>
      </w:r>
    </w:p>
    <w:p w:rsidR="00025683" w:rsidRDefault="007C2AAB">
      <w:pPr>
        <w:ind w:left="14" w:right="200"/>
      </w:pPr>
      <w:r>
        <w:t xml:space="preserve">Anexo I Tomo III Resumen no Técnico del Estudio Ambiental Estratégico  </w:t>
      </w:r>
    </w:p>
    <w:p w:rsidR="00025683" w:rsidRDefault="007C2AAB">
      <w:pPr>
        <w:ind w:left="14" w:right="200"/>
      </w:pPr>
      <w:r>
        <w:t xml:space="preserve">Anexo II Tomo III Análisis de Integración Paisajística </w:t>
      </w:r>
    </w:p>
    <w:p w:rsidR="00025683" w:rsidRDefault="007C2AAB">
      <w:pPr>
        <w:spacing w:after="0" w:line="259" w:lineRule="auto"/>
        <w:ind w:left="14" w:firstLine="0"/>
        <w:jc w:val="left"/>
      </w:pPr>
      <w:r>
        <w:t xml:space="preserve"> </w:t>
      </w:r>
    </w:p>
    <w:p w:rsidR="00025683" w:rsidRDefault="007C2AAB">
      <w:pPr>
        <w:ind w:left="14" w:right="200"/>
      </w:pPr>
      <w:r>
        <w:t xml:space="preserve">OBJETO DE LA MODIFICACION  </w:t>
      </w:r>
    </w:p>
    <w:p w:rsidR="00025683" w:rsidRDefault="007C2AAB">
      <w:pPr>
        <w:spacing w:after="0" w:line="259" w:lineRule="auto"/>
        <w:ind w:left="14" w:firstLine="0"/>
        <w:jc w:val="left"/>
      </w:pPr>
      <w:r>
        <w:t xml:space="preserve"> </w:t>
      </w:r>
    </w:p>
    <w:p w:rsidR="00025683" w:rsidRDefault="007C2AAB">
      <w:pPr>
        <w:ind w:left="14" w:right="200"/>
      </w:pPr>
      <w:r>
        <w:t>La finalidad del presente Plan Especial de Ordenación es desarrollar la ordenación pormenorizada del Parque Periurbano de Pasacola atendiendo a las directrices y criterios de ordenación establecidos desde el vigente Plan Gener</w:t>
      </w:r>
      <w:r>
        <w:t xml:space="preserve">al de Ordenación, que se pueden sintetizar en:  </w:t>
      </w:r>
    </w:p>
    <w:p w:rsidR="00025683" w:rsidRDefault="007C2AAB">
      <w:pPr>
        <w:spacing w:after="0" w:line="259" w:lineRule="auto"/>
        <w:ind w:left="14" w:firstLine="0"/>
        <w:jc w:val="left"/>
      </w:pPr>
      <w:r>
        <w:t xml:space="preserve"> </w:t>
      </w:r>
    </w:p>
    <w:p w:rsidR="00025683" w:rsidRDefault="007C2AAB">
      <w:pPr>
        <w:numPr>
          <w:ilvl w:val="0"/>
          <w:numId w:val="28"/>
        </w:numPr>
        <w:ind w:right="200" w:hanging="137"/>
      </w:pPr>
      <w:r>
        <w:t xml:space="preserve">Recuperación de la estructura de bancales, los caminos y el sistema de riego existente.  </w:t>
      </w:r>
    </w:p>
    <w:p w:rsidR="00025683" w:rsidRDefault="007C2AAB">
      <w:pPr>
        <w:numPr>
          <w:ilvl w:val="0"/>
          <w:numId w:val="28"/>
        </w:numPr>
        <w:ind w:right="200" w:hanging="137"/>
      </w:pPr>
      <w:r>
        <w:t xml:space="preserve">Recuperación de las edificaciones tradicionales existentes.  </w:t>
      </w:r>
    </w:p>
    <w:p w:rsidR="00025683" w:rsidRDefault="007C2AAB">
      <w:pPr>
        <w:numPr>
          <w:ilvl w:val="0"/>
          <w:numId w:val="28"/>
        </w:numPr>
        <w:ind w:right="200" w:hanging="137"/>
      </w:pPr>
      <w:r>
        <w:t xml:space="preserve">Las nuevas edificaciones seguirán las pautas de la arquitectura tradicional de la zona.  </w:t>
      </w:r>
    </w:p>
    <w:p w:rsidR="00025683" w:rsidRDefault="007C2AAB">
      <w:pPr>
        <w:numPr>
          <w:ilvl w:val="0"/>
          <w:numId w:val="28"/>
        </w:numPr>
        <w:ind w:right="200" w:hanging="137"/>
      </w:pPr>
      <w:r>
        <w:t xml:space="preserve">Recuperación de los cultivos agrícolas tradicionales del Municipio.  </w:t>
      </w:r>
    </w:p>
    <w:p w:rsidR="00025683" w:rsidRDefault="007C2AAB">
      <w:pPr>
        <w:numPr>
          <w:ilvl w:val="0"/>
          <w:numId w:val="28"/>
        </w:numPr>
        <w:spacing w:after="3" w:line="238" w:lineRule="auto"/>
        <w:ind w:right="200" w:hanging="137"/>
      </w:pPr>
      <w:r>
        <w:t>El aparcamiento se situará junto al acceso entre vegetación de porte.  - El arbolado a introduci</w:t>
      </w:r>
      <w:r>
        <w:t xml:space="preserve">r serán especies canarias (Drago, Palmera, Mocán, etc.)  - Mejora del viario de acceso.  </w:t>
      </w:r>
    </w:p>
    <w:p w:rsidR="00025683" w:rsidRDefault="007C2AAB">
      <w:pPr>
        <w:spacing w:after="0" w:line="259" w:lineRule="auto"/>
        <w:ind w:left="14" w:firstLine="0"/>
        <w:jc w:val="left"/>
      </w:pPr>
      <w:r>
        <w:t xml:space="preserve"> </w:t>
      </w:r>
    </w:p>
    <w:p w:rsidR="00025683" w:rsidRDefault="007C2AAB">
      <w:pPr>
        <w:ind w:left="14" w:right="200"/>
      </w:pPr>
      <w:r>
        <w:t>Se establece, por lo tanto, para esta actuación un doble objetivo ligado, por una parte, al especial interés de recuperación de los bancales de cultivo y las edific</w:t>
      </w:r>
      <w:r>
        <w:t xml:space="preserve">aciones tradicionales existentes propiciando la protección de elementos de interés y de su entorno inmediato y, por otra parte, la implantación de actividades que satisfagan las necesidades de ocio y esparcimiento de los vecinos de Candelaria.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6216" name="Group 3962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358" name="Rectangle 1235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Cód. Val</w:t>
                              </w:r>
                              <w:r>
                                <w:rPr>
                                  <w:sz w:val="12"/>
                                </w:rPr>
                                <w:t xml:space="preserve">idación: 3J3KYNW3CJM74AZ6SEHNT4KKY </w:t>
                              </w:r>
                            </w:p>
                          </w:txbxContent>
                        </wps:txbx>
                        <wps:bodyPr horzOverflow="overflow" vert="horz" lIns="0" tIns="0" rIns="0" bIns="0" rtlCol="0">
                          <a:noAutofit/>
                        </wps:bodyPr>
                      </wps:wsp>
                      <wps:wsp>
                        <wps:cNvPr id="12359" name="Rectangle 1235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360" name="Rectangle 1236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82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6216" style="width:18.7031pt;height:260.874pt;position:absolute;mso-position-horizontal-relative:page;mso-position-horizontal:absolute;margin-left:662.928pt;mso-position-vertical-relative:page;margin-top:512.046pt;" coordsize="2375,33130">
                <v:rect id="Rectangle 1235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35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36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350 </w:t>
                        </w:r>
                      </w:p>
                    </w:txbxContent>
                  </v:textbox>
                </v:rect>
                <w10:wrap type="square"/>
              </v:group>
            </w:pict>
          </mc:Fallback>
        </mc:AlternateContent>
      </w:r>
      <w:r>
        <w:t xml:space="preserve"> </w:t>
      </w:r>
    </w:p>
    <w:p w:rsidR="00025683" w:rsidRDefault="007C2AAB">
      <w:pPr>
        <w:ind w:left="14" w:right="200"/>
      </w:pPr>
      <w:r>
        <w:t>Su delimitación es coincidente con la zona agrícola tradicional aba</w:t>
      </w:r>
      <w:r>
        <w:t>ncalada situada bajo el camino de Candelaria entre el Barranco de Chajarche y el Barranco de Arepo. Alberga el antiguo caserío de Pasacola, que se asentaba cerca de Igueste, en el antiguo Camino Real, que lo comunica con Barranco Hondo, contando con una ex</w:t>
      </w:r>
      <w:r>
        <w:t xml:space="preserve">tensión de 32.586,50, m2s.  </w:t>
      </w:r>
    </w:p>
    <w:p w:rsidR="00025683" w:rsidRDefault="007C2AAB">
      <w:pPr>
        <w:spacing w:after="0" w:line="259" w:lineRule="auto"/>
        <w:ind w:left="14" w:firstLine="0"/>
        <w:jc w:val="left"/>
      </w:pPr>
      <w:r>
        <w:t xml:space="preserve"> </w:t>
      </w:r>
    </w:p>
    <w:p w:rsidR="00025683" w:rsidRDefault="007C2AAB">
      <w:pPr>
        <w:ind w:left="14" w:right="200"/>
      </w:pPr>
      <w:r>
        <w:t>Este ámbito se encontraba constituido por varios edificios, con sus corrales, cuevas y casas de típica arquitectura canaria, estaban construidas con piedras y barro o argamasa, hoy en estado ruinoso y de abandono.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Su valor e interés histórico ha llevado a integrar el ámbito en el Bien de Interés Cultural en categoría de Sitio Histórico del Camino La Candelaria (DECRETO 227/2008, de 25 de noviembre, por el que se declara Bien de Interés Cultural, con categoría de Sit</w:t>
      </w:r>
      <w:r>
        <w:t>io Histórico “El Camino de Candelaria”, situado entre los términos municipales de El Rosario y Candelaria, isla de Tenerife).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986" w:firstLine="0"/>
        <w:jc w:val="right"/>
      </w:pPr>
      <w:r>
        <w:rPr>
          <w:noProof/>
        </w:rPr>
        <w:drawing>
          <wp:inline distT="0" distB="0" distL="0" distR="0">
            <wp:extent cx="5402440" cy="3573785"/>
            <wp:effectExtent l="0" t="0" r="0" b="0"/>
            <wp:docPr id="12396" name="Picture 12396"/>
            <wp:cNvGraphicFramePr/>
            <a:graphic xmlns:a="http://schemas.openxmlformats.org/drawingml/2006/main">
              <a:graphicData uri="http://schemas.openxmlformats.org/drawingml/2006/picture">
                <pic:pic xmlns:pic="http://schemas.openxmlformats.org/drawingml/2006/picture">
                  <pic:nvPicPr>
                    <pic:cNvPr id="12396" name="Picture 12396"/>
                    <pic:cNvPicPr/>
                  </pic:nvPicPr>
                  <pic:blipFill>
                    <a:blip r:embed="rId57"/>
                    <a:stretch>
                      <a:fillRect/>
                    </a:stretch>
                  </pic:blipFill>
                  <pic:spPr>
                    <a:xfrm>
                      <a:off x="0" y="0"/>
                      <a:ext cx="5402440" cy="3573785"/>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 xml:space="preserve">Parque periurbano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5946" name="Group 3959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401" name="Rectangle 12401"/>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2402" name="Rectangle 12402"/>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403" name="Rectangle 12403"/>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83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5946" style="width:18.7031pt;height:260.874pt;position:absolute;mso-position-horizontal-relative:page;mso-position-horizontal:absolute;margin-left:662.928pt;mso-position-vertical-relative:page;margin-top:512.046pt;" coordsize="2375,33130">
                <v:rect id="Rectangle 12401"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40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40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350 </w:t>
                        </w:r>
                      </w:p>
                    </w:txbxContent>
                  </v:textbox>
                </v:rect>
                <w10:wrap type="square"/>
              </v:group>
            </w:pict>
          </mc:Fallback>
        </mc:AlternateContent>
      </w:r>
      <w:r>
        <w:rPr>
          <w:b/>
        </w:rPr>
        <w:t xml:space="preserve"> </w:t>
      </w:r>
    </w:p>
    <w:p w:rsidR="00025683" w:rsidRDefault="007C2AAB">
      <w:pPr>
        <w:spacing w:after="0" w:line="259" w:lineRule="auto"/>
        <w:ind w:left="0" w:right="1015" w:firstLine="0"/>
        <w:jc w:val="right"/>
      </w:pPr>
      <w:r>
        <w:rPr>
          <w:noProof/>
        </w:rPr>
        <w:drawing>
          <wp:inline distT="0" distB="0" distL="0" distR="0">
            <wp:extent cx="5380969" cy="3437909"/>
            <wp:effectExtent l="0" t="0" r="0" b="0"/>
            <wp:docPr id="12398" name="Picture 12398"/>
            <wp:cNvGraphicFramePr/>
            <a:graphic xmlns:a="http://schemas.openxmlformats.org/drawingml/2006/main">
              <a:graphicData uri="http://schemas.openxmlformats.org/drawingml/2006/picture">
                <pic:pic xmlns:pic="http://schemas.openxmlformats.org/drawingml/2006/picture">
                  <pic:nvPicPr>
                    <pic:cNvPr id="12398" name="Picture 12398"/>
                    <pic:cNvPicPr/>
                  </pic:nvPicPr>
                  <pic:blipFill>
                    <a:blip r:embed="rId58"/>
                    <a:stretch>
                      <a:fillRect/>
                    </a:stretch>
                  </pic:blipFill>
                  <pic:spPr>
                    <a:xfrm>
                      <a:off x="0" y="0"/>
                      <a:ext cx="5380969" cy="3437909"/>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 xml:space="preserve">Suelo rústico de protección cultura. Ámbito del BIC </w:t>
      </w:r>
    </w:p>
    <w:p w:rsidR="00025683" w:rsidRDefault="007C2AAB">
      <w:pPr>
        <w:spacing w:after="0" w:line="259" w:lineRule="auto"/>
        <w:ind w:left="-2536" w:right="1071" w:firstLine="0"/>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6288" name="Group 3962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438" name="Rectangle 1243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2439" name="Rectangle 1243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440" name="Rectangle 1244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84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6288" style="width:18.7031pt;height:260.874pt;position:absolute;mso-position-horizontal-relative:page;mso-position-horizontal:absolute;margin-left:662.928pt;mso-position-vertical-relative:page;margin-top:512.046pt;" coordsize="2375,33130">
                <v:rect id="Rectangle 1243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43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44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350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column">
                  <wp:posOffset>8839</wp:posOffset>
                </wp:positionH>
                <wp:positionV relativeFrom="paragraph">
                  <wp:posOffset>-3981407</wp:posOffset>
                </wp:positionV>
                <wp:extent cx="5394171" cy="7648909"/>
                <wp:effectExtent l="0" t="0" r="0" b="0"/>
                <wp:wrapSquare wrapText="bothSides"/>
                <wp:docPr id="396287" name="Group 396287"/>
                <wp:cNvGraphicFramePr/>
                <a:graphic xmlns:a="http://schemas.openxmlformats.org/drawingml/2006/main">
                  <a:graphicData uri="http://schemas.microsoft.com/office/word/2010/wordprocessingGroup">
                    <wpg:wgp>
                      <wpg:cNvGrpSpPr/>
                      <wpg:grpSpPr>
                        <a:xfrm>
                          <a:off x="0" y="0"/>
                          <a:ext cx="5394171" cy="7648909"/>
                          <a:chOff x="0" y="0"/>
                          <a:chExt cx="5394171" cy="7648909"/>
                        </a:xfrm>
                      </wpg:grpSpPr>
                      <wps:wsp>
                        <wps:cNvPr id="12430" name="Rectangle 12430"/>
                        <wps:cNvSpPr/>
                        <wps:spPr>
                          <a:xfrm>
                            <a:off x="305" y="4118324"/>
                            <a:ext cx="51809" cy="207921"/>
                          </a:xfrm>
                          <a:prstGeom prst="rect">
                            <a:avLst/>
                          </a:prstGeom>
                          <a:ln>
                            <a:noFill/>
                          </a:ln>
                        </wps:spPr>
                        <wps:txbx>
                          <w:txbxContent>
                            <w:p w:rsidR="00025683" w:rsidRDefault="007C2AA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2433" name="Picture 12433"/>
                          <pic:cNvPicPr/>
                        </pic:nvPicPr>
                        <pic:blipFill>
                          <a:blip r:embed="rId59"/>
                          <a:stretch>
                            <a:fillRect/>
                          </a:stretch>
                        </pic:blipFill>
                        <pic:spPr>
                          <a:xfrm>
                            <a:off x="0" y="0"/>
                            <a:ext cx="5386664" cy="4117913"/>
                          </a:xfrm>
                          <a:prstGeom prst="rect">
                            <a:avLst/>
                          </a:prstGeom>
                        </pic:spPr>
                      </pic:pic>
                      <pic:pic xmlns:pic="http://schemas.openxmlformats.org/drawingml/2006/picture">
                        <pic:nvPicPr>
                          <pic:cNvPr id="12435" name="Picture 12435"/>
                          <pic:cNvPicPr/>
                        </pic:nvPicPr>
                        <pic:blipFill>
                          <a:blip r:embed="rId61"/>
                          <a:stretch>
                            <a:fillRect/>
                          </a:stretch>
                        </pic:blipFill>
                        <pic:spPr>
                          <a:xfrm>
                            <a:off x="0" y="4277884"/>
                            <a:ext cx="5394171" cy="3371026"/>
                          </a:xfrm>
                          <a:prstGeom prst="rect">
                            <a:avLst/>
                          </a:prstGeom>
                        </pic:spPr>
                      </pic:pic>
                    </wpg:wgp>
                  </a:graphicData>
                </a:graphic>
              </wp:anchor>
            </w:drawing>
          </mc:Choice>
          <mc:Fallback xmlns:a="http://schemas.openxmlformats.org/drawingml/2006/main">
            <w:pict>
              <v:group id="Group 396287" style="width:424.738pt;height:602.276pt;position:absolute;mso-position-horizontal-relative:text;mso-position-horizontal:absolute;margin-left:0.696014pt;mso-position-vertical-relative:text;margin-top:-313.497pt;" coordsize="53941,76489">
                <v:rect id="Rectangle 12430" style="position:absolute;width:518;height:2079;left:3;top:41183;"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12433" style="position:absolute;width:53866;height:41179;left:0;top:0;" filled="f">
                  <v:imagedata r:id="rId61"/>
                </v:shape>
                <v:shape id="Picture 12435" style="position:absolute;width:53941;height:33710;left:0;top:42778;" filled="f">
                  <v:imagedata r:id="rId62"/>
                </v:shape>
                <w10:wrap type="square"/>
              </v:group>
            </w:pict>
          </mc:Fallback>
        </mc:AlternateContent>
      </w:r>
    </w:p>
    <w:p w:rsidR="00025683" w:rsidRDefault="007C2AAB">
      <w:pPr>
        <w:spacing w:after="0" w:line="259" w:lineRule="auto"/>
        <w:ind w:left="0" w:right="983" w:firstLine="0"/>
        <w:jc w:val="right"/>
      </w:pPr>
      <w:r>
        <w:rPr>
          <w:noProof/>
        </w:rPr>
        <w:drawing>
          <wp:inline distT="0" distB="0" distL="0" distR="0">
            <wp:extent cx="5400985" cy="867066"/>
            <wp:effectExtent l="0" t="0" r="0" b="0"/>
            <wp:docPr id="12543" name="Picture 12543"/>
            <wp:cNvGraphicFramePr/>
            <a:graphic xmlns:a="http://schemas.openxmlformats.org/drawingml/2006/main">
              <a:graphicData uri="http://schemas.openxmlformats.org/drawingml/2006/picture">
                <pic:pic xmlns:pic="http://schemas.openxmlformats.org/drawingml/2006/picture">
                  <pic:nvPicPr>
                    <pic:cNvPr id="12543" name="Picture 12543"/>
                    <pic:cNvPicPr/>
                  </pic:nvPicPr>
                  <pic:blipFill>
                    <a:blip r:embed="rId63"/>
                    <a:stretch>
                      <a:fillRect/>
                    </a:stretch>
                  </pic:blipFill>
                  <pic:spPr>
                    <a:xfrm>
                      <a:off x="0" y="0"/>
                      <a:ext cx="5400985" cy="86706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ALTERNATIVA SELECCIONADA </w:t>
      </w:r>
    </w:p>
    <w:p w:rsidR="00025683" w:rsidRDefault="007C2AAB">
      <w:pPr>
        <w:spacing w:after="0" w:line="259" w:lineRule="auto"/>
        <w:ind w:left="14" w:firstLine="0"/>
        <w:jc w:val="left"/>
      </w:pPr>
      <w:r>
        <w:t xml:space="preserve"> </w:t>
      </w:r>
    </w:p>
    <w:p w:rsidR="00025683" w:rsidRDefault="007C2AAB">
      <w:pPr>
        <w:ind w:left="14" w:right="200"/>
      </w:pPr>
      <w:r>
        <w:t>La propuesta de ordenación para el Parque Periurbano de Pasacola parte de la Alternativa 1 – Un Espacio para la Historia, que plantea la recuperación del ámbito en condiciones lo más cercanas posible a su estado original, concibiéndolo como un espacio de e</w:t>
      </w:r>
      <w:r>
        <w:t xml:space="preserve">sparcimiento al servicio del municipio, en el que se conserven e integren los vestigios del antiguo asentamiento de Pasacola.  </w:t>
      </w:r>
    </w:p>
    <w:p w:rsidR="00025683" w:rsidRDefault="007C2AAB">
      <w:pPr>
        <w:ind w:left="14" w:right="200"/>
      </w:pPr>
      <w:r>
        <w:t xml:space="preserve">Esta propuesta se fundamenta en un modelo de intervención mínima, respetuoso con la memoria histórica y los valores ambientales </w:t>
      </w:r>
      <w:r>
        <w:t>del lugar, que prioriza la restauración del paisaje agrario tradicional y la activación de usos compatibles con su carácter patrimonial y productivo.  El espacio del parque se concibe como un ámbito de regeneración ambiental y patrimonial, diseñado para re</w:t>
      </w:r>
      <w:r>
        <w:t>cuperar y poner en valor tanto los ecosistemas naturales como la memoria histórica del lugar. Este espacio estará abierto a la visita pública y contará con un recorrido interpretativo que permitirá a los visitantes descubrir y comprender los restos históri</w:t>
      </w:r>
      <w:r>
        <w:t xml:space="preserve">cos del antiguo caserío de Pasacola, cuyas huellas forman parte del legado cultural del territorio.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5993" name="Group 39599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546" name="Rectangle 12546"/>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2547" name="Rectangle 12547"/>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548" name="Rectangle 12548"/>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w:t>
                              </w:r>
                              <w:r>
                                <w:rPr>
                                  <w:sz w:val="12"/>
                                </w:rPr>
                                <w:t xml:space="preserve">orma esPublico Gestiona | Página 85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5993" style="width:18.7031pt;height:260.874pt;position:absolute;mso-position-horizontal-relative:page;mso-position-horizontal:absolute;margin-left:662.928pt;mso-position-vertical-relative:page;margin-top:512.046pt;" coordsize="2375,33130">
                <v:rect id="Rectangle 12546"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54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54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350 </w:t>
                        </w:r>
                      </w:p>
                    </w:txbxContent>
                  </v:textbox>
                </v:rect>
                <w10:wrap type="square"/>
              </v:group>
            </w:pict>
          </mc:Fallback>
        </mc:AlternateContent>
      </w:r>
      <w:r>
        <w:t>A través de paneles informativos, señalización temática y elementos museográficos al aire libre, de baja intensidad visual, el recorrido ofrecerá una experiencia educativa dirigida a diversos públicos, fomentando</w:t>
      </w:r>
      <w:r>
        <w:t xml:space="preserve"> el conocimiento del patrimonio rural y la relación entre la comunidad y su entorno. Además, el parque integrará áreas de descanso estratégicamente ubicadas, que invitarán a la contemplación y la pausa, ligados al camino tradicional de La Candelaria, refor</w:t>
      </w:r>
      <w:r>
        <w:t xml:space="preserve">zando su dimensión cultural y paisajística.  </w:t>
      </w:r>
    </w:p>
    <w:p w:rsidR="00025683" w:rsidRDefault="007C2AAB">
      <w:pPr>
        <w:ind w:left="14" w:right="200"/>
      </w:pPr>
      <w:r>
        <w:t xml:space="preserve">El diseño del parque priorizará criterios de sostenibilidad, restauración ecológica y accesibilidad universal, de modo que se convierta en un referente de intervención respetuosa con el medio ambiente y con el </w:t>
      </w:r>
      <w:r>
        <w:t>patrimonio material e inmaterial.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De esta manera, se aspira a que el espacio se consolide como un lugar de encuentro, aprendizaje y recreación para la población local y los visitantes, al tiempo que contribuye a la protección y revitalización de los v</w:t>
      </w:r>
      <w:r>
        <w:t xml:space="preserve">alores identitarios del territorio.  </w:t>
      </w:r>
    </w:p>
    <w:p w:rsidR="00025683" w:rsidRDefault="007C2AAB">
      <w:pPr>
        <w:spacing w:after="0" w:line="259" w:lineRule="auto"/>
        <w:ind w:left="14" w:firstLine="0"/>
        <w:jc w:val="left"/>
      </w:pPr>
      <w:r>
        <w:t xml:space="preserve"> </w:t>
      </w:r>
    </w:p>
    <w:p w:rsidR="00025683" w:rsidRDefault="007C2AAB">
      <w:pPr>
        <w:ind w:left="14" w:right="200"/>
      </w:pPr>
      <w:r>
        <w:t xml:space="preserve">Los objetivos que orientan la ordenación se precisan así de la siguiente forma:  </w:t>
      </w:r>
    </w:p>
    <w:p w:rsidR="00025683" w:rsidRDefault="007C2AAB">
      <w:pPr>
        <w:spacing w:after="0" w:line="259" w:lineRule="auto"/>
        <w:ind w:left="14" w:firstLine="0"/>
        <w:jc w:val="left"/>
      </w:pPr>
      <w:r>
        <w:t xml:space="preserve"> </w:t>
      </w:r>
    </w:p>
    <w:p w:rsidR="00025683" w:rsidRDefault="007C2AAB">
      <w:pPr>
        <w:numPr>
          <w:ilvl w:val="0"/>
          <w:numId w:val="29"/>
        </w:numPr>
        <w:ind w:right="200"/>
      </w:pPr>
      <w:r>
        <w:t xml:space="preserve">Identificar, categorizar y favorecer la conservación y puesta en valor el patrimonio cultural del ámbito de Pasacola, con el fin de desarrollar todo su potencial y garantizar un nivel adecuado de conservación, uso y mantenimiento.  </w:t>
      </w:r>
    </w:p>
    <w:p w:rsidR="00025683" w:rsidRDefault="007C2AAB">
      <w:pPr>
        <w:numPr>
          <w:ilvl w:val="0"/>
          <w:numId w:val="29"/>
        </w:numPr>
        <w:ind w:right="200"/>
      </w:pPr>
      <w:r>
        <w:t>Adoptación de medidas d</w:t>
      </w:r>
      <w:r>
        <w:t xml:space="preserve">e conservación, mejora y protección de la naturaleza y del patrimonio natural de Pasacola.  </w:t>
      </w:r>
    </w:p>
    <w:p w:rsidR="00025683" w:rsidRDefault="007C2AAB">
      <w:pPr>
        <w:numPr>
          <w:ilvl w:val="0"/>
          <w:numId w:val="29"/>
        </w:numPr>
        <w:ind w:right="200"/>
      </w:pPr>
      <w:r>
        <w:t>Implantación limitada de los usos, con especial atención a las características geomorfológicas del territorio y a los valores patrimoniales existentes, garantizand</w:t>
      </w:r>
      <w:r>
        <w:t xml:space="preserve">o en todo momento un desarrollo sostenible que respete el medioambiente y los recursos naturales.  </w:t>
      </w:r>
    </w:p>
    <w:p w:rsidR="00025683" w:rsidRDefault="007C2AAB">
      <w:pPr>
        <w:numPr>
          <w:ilvl w:val="0"/>
          <w:numId w:val="29"/>
        </w:numPr>
        <w:ind w:right="200"/>
      </w:pPr>
      <w:r>
        <w:t xml:space="preserve">Fomentar actuaciones basadas en estrategias de movilidad sostenible considerando las limitaciones propias del lugar.  </w:t>
      </w:r>
    </w:p>
    <w:p w:rsidR="00025683" w:rsidRDefault="007C2AAB">
      <w:pPr>
        <w:numPr>
          <w:ilvl w:val="0"/>
          <w:numId w:val="29"/>
        </w:numPr>
        <w:ind w:right="200"/>
      </w:pPr>
      <w:r>
        <w:t>Inclusión de la perspectiva de género</w:t>
      </w:r>
      <w:r>
        <w:t xml:space="preserve"> en el diseño y ejecución de las distintas zonas y recorridos.  </w:t>
      </w:r>
    </w:p>
    <w:p w:rsidR="00025683" w:rsidRDefault="007C2AAB">
      <w:pPr>
        <w:numPr>
          <w:ilvl w:val="0"/>
          <w:numId w:val="29"/>
        </w:numPr>
        <w:ind w:right="200"/>
      </w:pPr>
      <w:r>
        <w:t xml:space="preserve">Recuperación de la estructura de bancales tradicionales, reestableciendo así el carácter del ámbito.  </w:t>
      </w:r>
    </w:p>
    <w:p w:rsidR="00025683" w:rsidRDefault="007C2AAB">
      <w:pPr>
        <w:numPr>
          <w:ilvl w:val="0"/>
          <w:numId w:val="29"/>
        </w:numPr>
        <w:ind w:right="200"/>
      </w:pPr>
      <w:r>
        <w:t>Conservación y mantenimiento de los vestigios arqueológicos del caserío de Pasacola en s</w:t>
      </w:r>
      <w:r>
        <w:t xml:space="preserve">u estado actual.  </w:t>
      </w:r>
    </w:p>
    <w:p w:rsidR="00025683" w:rsidRDefault="007C2AAB">
      <w:pPr>
        <w:numPr>
          <w:ilvl w:val="0"/>
          <w:numId w:val="29"/>
        </w:numPr>
        <w:ind w:right="200"/>
      </w:pPr>
      <w:r>
        <w:t xml:space="preserve">Difundir los valores naturales e históricos existentes en el ámbito procurando potenciar su identidad y fomentando la conservación y mejora del entorno, con la incorporación de discurso interpretativo del caserío.  </w:t>
      </w:r>
    </w:p>
    <w:p w:rsidR="00025683" w:rsidRDefault="007C2AAB">
      <w:pPr>
        <w:numPr>
          <w:ilvl w:val="0"/>
          <w:numId w:val="29"/>
        </w:numPr>
        <w:ind w:right="200"/>
      </w:pPr>
      <w:r>
        <w:t>Recualificación del p</w:t>
      </w:r>
      <w:r>
        <w:t>aisaje a través de la recuperación carácter agrícola del ámbito mediante la recuperación de los trazados y los elementos que se conservan del caserío original, con especial relevancia a los bancales de cultivo existentes, quedando integradas en la ordenaci</w:t>
      </w:r>
      <w:r>
        <w:t xml:space="preserve">ón propuesta.  - Protección de restos de vegetación potencial que constituyen hábitats naturales de interés comunitario.  </w:t>
      </w:r>
    </w:p>
    <w:p w:rsidR="00025683" w:rsidRDefault="007C2AAB">
      <w:pPr>
        <w:numPr>
          <w:ilvl w:val="0"/>
          <w:numId w:val="29"/>
        </w:numPr>
        <w:ind w:right="200"/>
      </w:pPr>
      <w:r>
        <w:t>Eliminación de especies invasoras detectadas, entre ellas el piteral, el tuneral y el rabo de gato.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6064" name="Group 39606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628" name="Rectangle 1262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Cód. Validación: 3J3KYNW3CJ</w:t>
                              </w:r>
                              <w:r>
                                <w:rPr>
                                  <w:sz w:val="12"/>
                                </w:rPr>
                                <w:t xml:space="preserve">M74AZ6SEHNT4KKY </w:t>
                              </w:r>
                            </w:p>
                          </w:txbxContent>
                        </wps:txbx>
                        <wps:bodyPr horzOverflow="overflow" vert="horz" lIns="0" tIns="0" rIns="0" bIns="0" rtlCol="0">
                          <a:noAutofit/>
                        </wps:bodyPr>
                      </wps:wsp>
                      <wps:wsp>
                        <wps:cNvPr id="12629" name="Rectangle 1262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630" name="Rectangle 1263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86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6064" style="width:18.7031pt;height:260.874pt;position:absolute;mso-position-horizontal-relative:page;mso-position-horizontal:absolute;margin-left:662.928pt;mso-position-vertical-relative:page;margin-top:512.046pt;" coordsize="2375,33130">
                <v:rect id="Rectangle 1262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62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63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350 </w:t>
                        </w:r>
                      </w:p>
                    </w:txbxContent>
                  </v:textbox>
                </v:rect>
                <w10:wrap type="topAndBottom"/>
              </v:group>
            </w:pict>
          </mc:Fallback>
        </mc:AlternateContent>
      </w:r>
      <w:r>
        <w:rPr>
          <w:b/>
        </w:rPr>
        <w:t xml:space="preserve"> </w:t>
      </w:r>
    </w:p>
    <w:p w:rsidR="00025683" w:rsidRDefault="007C2AAB">
      <w:pPr>
        <w:spacing w:after="0" w:line="259" w:lineRule="auto"/>
        <w:ind w:left="0" w:right="1015" w:firstLine="0"/>
        <w:jc w:val="right"/>
      </w:pPr>
      <w:r>
        <w:rPr>
          <w:noProof/>
        </w:rPr>
        <w:drawing>
          <wp:inline distT="0" distB="0" distL="0" distR="0">
            <wp:extent cx="5379354" cy="4695491"/>
            <wp:effectExtent l="0" t="0" r="0" b="0"/>
            <wp:docPr id="12625" name="Picture 12625"/>
            <wp:cNvGraphicFramePr/>
            <a:graphic xmlns:a="http://schemas.openxmlformats.org/drawingml/2006/main">
              <a:graphicData uri="http://schemas.openxmlformats.org/drawingml/2006/picture">
                <pic:pic xmlns:pic="http://schemas.openxmlformats.org/drawingml/2006/picture">
                  <pic:nvPicPr>
                    <pic:cNvPr id="12625" name="Picture 12625"/>
                    <pic:cNvPicPr/>
                  </pic:nvPicPr>
                  <pic:blipFill>
                    <a:blip r:embed="rId64"/>
                    <a:stretch>
                      <a:fillRect/>
                    </a:stretch>
                  </pic:blipFill>
                  <pic:spPr>
                    <a:xfrm>
                      <a:off x="0" y="0"/>
                      <a:ext cx="5379354" cy="469549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 xml:space="preserve">Teniendo en cuenta todas las consideraciones y condicionantes previos, se propone una zonificación dentro del ámbito del Plan Especial, con el objetivo de ordenar y regular los usos y las posibles intervenciones. Se delimitan tres zonas de ordenación:  </w:t>
      </w:r>
    </w:p>
    <w:p w:rsidR="00025683" w:rsidRDefault="007C2AAB">
      <w:pPr>
        <w:numPr>
          <w:ilvl w:val="0"/>
          <w:numId w:val="29"/>
        </w:numPr>
        <w:ind w:right="200"/>
      </w:pPr>
      <w:r>
        <w:t>Zo</w:t>
      </w:r>
      <w:r>
        <w:t xml:space="preserve">na A – Caserío de Pasacola  </w:t>
      </w:r>
    </w:p>
    <w:p w:rsidR="00025683" w:rsidRDefault="007C2AAB">
      <w:pPr>
        <w:numPr>
          <w:ilvl w:val="0"/>
          <w:numId w:val="29"/>
        </w:numPr>
        <w:ind w:right="200"/>
      </w:pPr>
      <w:r>
        <w:t xml:space="preserve">Zona B – Bancales tradicionales  </w:t>
      </w:r>
    </w:p>
    <w:p w:rsidR="00025683" w:rsidRDefault="007C2AAB">
      <w:pPr>
        <w:numPr>
          <w:ilvl w:val="0"/>
          <w:numId w:val="29"/>
        </w:numPr>
        <w:ind w:right="200"/>
      </w:pPr>
      <w:r>
        <w:t xml:space="preserve">Zona C – Rehabilitación ambiental  </w:t>
      </w:r>
    </w:p>
    <w:p w:rsidR="00025683" w:rsidRDefault="007C2AAB">
      <w:pPr>
        <w:spacing w:after="0" w:line="259" w:lineRule="auto"/>
        <w:ind w:left="14" w:firstLine="0"/>
        <w:jc w:val="left"/>
      </w:pPr>
      <w:r>
        <w:t xml:space="preserve"> </w:t>
      </w:r>
    </w:p>
    <w:p w:rsidR="00025683" w:rsidRDefault="007C2AAB">
      <w:pPr>
        <w:ind w:left="14" w:right="200"/>
      </w:pPr>
      <w:r>
        <w:t xml:space="preserve">ZONA A – CASERÍO DE PASACOLA  </w:t>
      </w:r>
    </w:p>
    <w:p w:rsidR="00025683" w:rsidRDefault="007C2AAB">
      <w:pPr>
        <w:ind w:left="14" w:right="200"/>
      </w:pPr>
      <w:r>
        <w:t>Se delimita la Zona A – Caserío de Pasacola, que recoge los restos reconocibles del antiguo asentamiento, integrados por ves</w:t>
      </w:r>
      <w:r>
        <w:t xml:space="preserve">tigios de edificaciones, hornos, la era comunitaria, una cueva cercana y restos de material disperso. Esta zona incluye además el sendero tradicional que parte del camino de La Candelaria y culmina en la zona de la era.  </w:t>
      </w:r>
    </w:p>
    <w:p w:rsidR="00025683" w:rsidRDefault="007C2AAB">
      <w:pPr>
        <w:ind w:left="14" w:right="200"/>
      </w:pPr>
      <w:r>
        <w:t>En esta zona se plantea la consoli</w:t>
      </w:r>
      <w:r>
        <w:t xml:space="preserve">dación y el mantenimiento de los restos del caserío, acompañados de la incorporación de un recorrido interpretativo que se apoye en los senderos y caminos existentes. Este discurso interpretativo partirá del camino de La </w:t>
      </w:r>
      <w:r>
        <w:rPr>
          <w:rFonts w:ascii="Times New Roman" w:eastAsia="Times New Roman" w:hAnsi="Times New Roman" w:cs="Times New Roman"/>
          <w:sz w:val="24"/>
        </w:rPr>
        <w:t xml:space="preserve"> </w:t>
      </w:r>
    </w:p>
    <w:p w:rsidR="00025683" w:rsidRDefault="007C2AAB">
      <w:pPr>
        <w:ind w:left="14" w:right="200"/>
      </w:pPr>
      <w:r>
        <w:t xml:space="preserve">Candelaria, diseñado para atraer </w:t>
      </w:r>
      <w:r>
        <w:t xml:space="preserve">a los transeúntes mediante elementos de baja intensidad visual y un diseño cuidado, basado en paneles explicativos.  </w:t>
      </w:r>
    </w:p>
    <w:p w:rsidR="00025683" w:rsidRDefault="007C2AAB">
      <w:pPr>
        <w:ind w:left="14" w:right="200"/>
      </w:pPr>
      <w:r>
        <w:t xml:space="preserve">El acondicionamiento de los caminos mantendrá el firme de tierra actual para preservar la naturalidad del entorno.  </w:t>
      </w:r>
    </w:p>
    <w:p w:rsidR="00025683" w:rsidRDefault="007C2AAB">
      <w:pPr>
        <w:ind w:left="14" w:right="200"/>
      </w:pPr>
      <w:r>
        <w:t>Además, se diseñará u</w:t>
      </w:r>
      <w:r>
        <w:t>na zona de mirador en la parte baja del caserío, situada en un punto óptimo para la contemplación del Valle y la Montaña de Güímar, donde el mobiliario y la urbanización serán de mínima intervención, evitando competir visual y estéticamente con las caracte</w:t>
      </w:r>
      <w:r>
        <w:t xml:space="preserve">rísticas naturales del entorno.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4629" name="Group 39462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771" name="Rectangle 12771"/>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2772" name="Rectangle 12772"/>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773" name="Rectangle 12773"/>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87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4629" style="width:18.7031pt;height:260.874pt;position:absolute;mso-position-horizontal-relative:page;mso-position-horizontal:absolute;margin-left:662.928pt;mso-position-vertical-relative:page;margin-top:512.046pt;" coordsize="2375,33130">
                <v:rect id="Rectangle 12771"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772"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773"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350 </w:t>
                        </w:r>
                      </w:p>
                    </w:txbxContent>
                  </v:textbox>
                </v:rect>
                <w10:wrap type="square"/>
              </v:group>
            </w:pict>
          </mc:Fallback>
        </mc:AlternateContent>
      </w:r>
      <w:r>
        <w:t xml:space="preserve">  </w:t>
      </w:r>
    </w:p>
    <w:p w:rsidR="00025683" w:rsidRDefault="007C2AAB">
      <w:pPr>
        <w:ind w:left="14" w:right="200"/>
      </w:pPr>
      <w:r>
        <w:t xml:space="preserve">ZONA B – </w:t>
      </w:r>
      <w:r>
        <w:t xml:space="preserve">BANCALES TRADICIONALES  </w:t>
      </w:r>
    </w:p>
    <w:p w:rsidR="00025683" w:rsidRDefault="007C2AAB">
      <w:pPr>
        <w:spacing w:after="0" w:line="259" w:lineRule="auto"/>
        <w:ind w:left="14" w:firstLine="0"/>
        <w:jc w:val="left"/>
      </w:pPr>
      <w:r>
        <w:t xml:space="preserve"> </w:t>
      </w:r>
    </w:p>
    <w:p w:rsidR="00025683" w:rsidRDefault="007C2AAB">
      <w:pPr>
        <w:ind w:left="14" w:right="200"/>
      </w:pPr>
      <w:r>
        <w:t xml:space="preserve">Se delimita la Zona B – Bancales Tradicionales, recogiendo las áreas abancaladas originales que se encuentran en mejor estado de conservación, considerando que tienen suficiente valor para su recuperación.  </w:t>
      </w:r>
    </w:p>
    <w:p w:rsidR="00025683" w:rsidRDefault="007C2AAB">
      <w:pPr>
        <w:ind w:left="14" w:right="200"/>
      </w:pPr>
      <w:r>
        <w:t xml:space="preserve">Se plantea la recuperación de las estructuras originales de muros y bancales, así como la restauración de los sistemas de abastecimiento de agua existentes, con el fin de recuperar el carácter agrícola tradicional de la zona.  </w:t>
      </w:r>
    </w:p>
    <w:p w:rsidR="00025683" w:rsidRDefault="007C2AAB">
      <w:pPr>
        <w:ind w:left="14" w:right="200"/>
      </w:pPr>
      <w:r>
        <w:t>Estos ámbitos se proponen ta</w:t>
      </w:r>
      <w:r>
        <w:t xml:space="preserve">nto como espacios de interpretación de las técnicas de cultivo ancestral, combinando la puesta en producción agrícola, como zonas estanciales destinadas al descanso y la contemplación, de acuerdo con los objetivos y necesidades del órgano promotor.  </w:t>
      </w:r>
    </w:p>
    <w:p w:rsidR="00025683" w:rsidRDefault="007C2AAB">
      <w:pPr>
        <w:spacing w:after="0" w:line="259" w:lineRule="auto"/>
        <w:ind w:left="14" w:firstLine="0"/>
        <w:jc w:val="left"/>
      </w:pPr>
      <w:r>
        <w:t xml:space="preserve"> </w:t>
      </w:r>
    </w:p>
    <w:p w:rsidR="00025683" w:rsidRDefault="007C2AAB">
      <w:pPr>
        <w:ind w:left="14" w:right="200"/>
      </w:pPr>
      <w:r>
        <w:t>ZON</w:t>
      </w:r>
      <w:r>
        <w:t xml:space="preserve">A C – REHABILITACIÓN AMBIENTAL  </w:t>
      </w:r>
    </w:p>
    <w:p w:rsidR="00025683" w:rsidRDefault="007C2AAB">
      <w:pPr>
        <w:spacing w:after="0" w:line="259" w:lineRule="auto"/>
        <w:ind w:left="14" w:firstLine="0"/>
        <w:jc w:val="left"/>
      </w:pPr>
      <w:r>
        <w:t xml:space="preserve"> </w:t>
      </w:r>
    </w:p>
    <w:p w:rsidR="00025683" w:rsidRDefault="007C2AAB">
      <w:pPr>
        <w:ind w:left="14" w:right="200"/>
      </w:pPr>
      <w:r>
        <w:t xml:space="preserve">El resto del ámbito del Plan Especial se recoge en la Zona C – Rehabilitación Ambiental, compuesta por suelos que, debido a sus características orográficas, su difícil acceso o por tratarse de zonas de bancales perdidos, </w:t>
      </w:r>
      <w:r>
        <w:t xml:space="preserve">no son aptos para intervenciones intensivas. En estos sectores se plantea únicamente la regeneración y limpieza del entorno, priorizando la conservación y el mantenimiento de los hábitats naturales existentes.  </w:t>
      </w:r>
    </w:p>
    <w:p w:rsidR="00025683" w:rsidRDefault="007C2AAB">
      <w:pPr>
        <w:ind w:left="14" w:right="200"/>
      </w:pPr>
      <w:r>
        <w:t>En las áreas susceptibles de revegetación, s</w:t>
      </w:r>
      <w:r>
        <w:t>e fomentará la plantación de especies autóctonas propias del piso bioclimático. Asimismo, se procederá a la eliminación de especies invasoras detectadas, entre ellas el piteral, el tuneral y el rabo de gato.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646" w:firstLine="0"/>
        <w:jc w:val="right"/>
      </w:pPr>
      <w:r>
        <w:rPr>
          <w:noProof/>
        </w:rPr>
        <w:drawing>
          <wp:inline distT="0" distB="0" distL="0" distR="0">
            <wp:extent cx="4962993" cy="6028831"/>
            <wp:effectExtent l="0" t="0" r="0" b="0"/>
            <wp:docPr id="12804" name="Picture 12804"/>
            <wp:cNvGraphicFramePr/>
            <a:graphic xmlns:a="http://schemas.openxmlformats.org/drawingml/2006/main">
              <a:graphicData uri="http://schemas.openxmlformats.org/drawingml/2006/picture">
                <pic:pic xmlns:pic="http://schemas.openxmlformats.org/drawingml/2006/picture">
                  <pic:nvPicPr>
                    <pic:cNvPr id="12804" name="Picture 12804"/>
                    <pic:cNvPicPr/>
                  </pic:nvPicPr>
                  <pic:blipFill>
                    <a:blip r:embed="rId65"/>
                    <a:stretch>
                      <a:fillRect/>
                    </a:stretch>
                  </pic:blipFill>
                  <pic:spPr>
                    <a:xfrm>
                      <a:off x="0" y="0"/>
                      <a:ext cx="4962993" cy="602883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4577" name="Group 3945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807" name="Rectangle 12807"/>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Cód. Validación: 3J3KYNW3CJM74AZ6SE</w:t>
                              </w:r>
                              <w:r>
                                <w:rPr>
                                  <w:sz w:val="12"/>
                                </w:rPr>
                                <w:t xml:space="preserve">HNT4KKY </w:t>
                              </w:r>
                            </w:p>
                          </w:txbxContent>
                        </wps:txbx>
                        <wps:bodyPr horzOverflow="overflow" vert="horz" lIns="0" tIns="0" rIns="0" bIns="0" rtlCol="0">
                          <a:noAutofit/>
                        </wps:bodyPr>
                      </wps:wsp>
                      <wps:wsp>
                        <wps:cNvPr id="12808" name="Rectangle 12808"/>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809" name="Rectangle 12809"/>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88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4577" style="width:18.7031pt;height:260.874pt;position:absolute;mso-position-horizontal-relative:page;mso-position-horizontal:absolute;margin-left:662.928pt;mso-position-vertical-relative:page;margin-top:512.046pt;" coordsize="2375,33130">
                <v:rect id="Rectangle 12807"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808"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809"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350 </w:t>
                        </w:r>
                      </w:p>
                    </w:txbxContent>
                  </v:textbox>
                </v:rect>
                <w10:wrap type="topAndBottom"/>
              </v:group>
            </w:pict>
          </mc:Fallback>
        </mc:AlternateContent>
      </w: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26" w:line="216" w:lineRule="auto"/>
        <w:ind w:left="14" w:right="1523" w:firstLine="0"/>
        <w:jc w:val="left"/>
      </w:pPr>
      <w:r>
        <w:rPr>
          <w:noProof/>
        </w:rPr>
        <w:drawing>
          <wp:inline distT="0" distB="0" distL="0" distR="0">
            <wp:extent cx="5047098" cy="1761676"/>
            <wp:effectExtent l="0" t="0" r="0" b="0"/>
            <wp:docPr id="12912" name="Picture 12912"/>
            <wp:cNvGraphicFramePr/>
            <a:graphic xmlns:a="http://schemas.openxmlformats.org/drawingml/2006/main">
              <a:graphicData uri="http://schemas.openxmlformats.org/drawingml/2006/picture">
                <pic:pic xmlns:pic="http://schemas.openxmlformats.org/drawingml/2006/picture">
                  <pic:nvPicPr>
                    <pic:cNvPr id="12912" name="Picture 12912"/>
                    <pic:cNvPicPr/>
                  </pic:nvPicPr>
                  <pic:blipFill>
                    <a:blip r:embed="rId66"/>
                    <a:stretch>
                      <a:fillRect/>
                    </a:stretch>
                  </pic:blipFill>
                  <pic:spPr>
                    <a:xfrm>
                      <a:off x="0" y="0"/>
                      <a:ext cx="5047098" cy="1761676"/>
                    </a:xfrm>
                    <a:prstGeom prst="rect">
                      <a:avLst/>
                    </a:prstGeom>
                  </pic:spPr>
                </pic:pic>
              </a:graphicData>
            </a:graphic>
          </wp:inline>
        </w:drawing>
      </w:r>
      <w:r>
        <w:rPr>
          <w:rFonts w:ascii="Times New Roman" w:eastAsia="Times New Roman" w:hAnsi="Times New Roman" w:cs="Times New Roman"/>
          <w:sz w:val="24"/>
        </w:rPr>
        <w:t xml:space="preserve"> </w:t>
      </w:r>
      <w:r>
        <w:rPr>
          <w:b/>
        </w:rPr>
        <w:t xml:space="preserve"> </w:t>
      </w:r>
    </w:p>
    <w:p w:rsidR="00025683" w:rsidRDefault="007C2AAB">
      <w:pPr>
        <w:ind w:left="14" w:right="200"/>
      </w:pPr>
      <w:r>
        <w:t xml:space="preserve">CONCLUSIONES </w:t>
      </w:r>
    </w:p>
    <w:p w:rsidR="00025683" w:rsidRDefault="007C2AAB">
      <w:pPr>
        <w:spacing w:after="0" w:line="259" w:lineRule="auto"/>
        <w:ind w:left="14" w:firstLine="0"/>
        <w:jc w:val="left"/>
      </w:pPr>
      <w:r>
        <w:t xml:space="preserve"> </w:t>
      </w:r>
    </w:p>
    <w:p w:rsidR="00025683" w:rsidRDefault="007C2AAB">
      <w:pPr>
        <w:spacing w:after="27"/>
        <w:ind w:left="14" w:right="200"/>
      </w:pPr>
      <w:r>
        <w:t xml:space="preserve">De acuerdo a todo lo expuesto anteriormente, se informa FAVORABLE la aprobación inicial del Plan Especial Parque Periurbano de Pasacola, T.M. de Candelaria…” </w:t>
      </w:r>
    </w:p>
    <w:p w:rsidR="00025683" w:rsidRDefault="007C2AAB">
      <w:pPr>
        <w:spacing w:after="0" w:line="259" w:lineRule="auto"/>
        <w:ind w:left="14" w:firstLine="0"/>
        <w:jc w:val="left"/>
      </w:pPr>
      <w:r>
        <w:t xml:space="preserve"> </w:t>
      </w:r>
    </w:p>
    <w:p w:rsidR="00025683" w:rsidRDefault="007C2AAB">
      <w:pPr>
        <w:ind w:left="14" w:right="200"/>
      </w:pPr>
      <w:r>
        <w:t>SEGUNDO. Abrir un período de información pública por plazo de un mes mediante anuncio en el Bol</w:t>
      </w:r>
      <w:r>
        <w:t xml:space="preserve">etín Oficial de Canarias y en el periódico de mayor difusión. </w:t>
      </w:r>
    </w:p>
    <w:p w:rsidR="00025683" w:rsidRDefault="007C2AAB">
      <w:pPr>
        <w:ind w:left="14" w:right="200"/>
      </w:pPr>
      <w:r>
        <w:t xml:space="preserve">Asimismo, estará disponible en la sede electrónica de este Ayuntamiento </w:t>
      </w:r>
      <w:r>
        <w:rPr>
          <w:color w:val="0000FF"/>
          <w:u w:val="single" w:color="0000FF"/>
        </w:rPr>
        <w:t>https://sedeelectronica.candelaria.es/publico/tablon</w:t>
      </w:r>
      <w:r>
        <w:t>.</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TERCERO. Solicitar, simultáneamente al trámite de información pú</w:t>
      </w:r>
      <w:r>
        <w:t xml:space="preserve">blica, los informes, dictámenes u otro tipo de pronunciamientos a órganos y Entidades administrativas gestores de intereses públicos afectados, previstos legalmente como preceptivos.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4845" name="Group 3948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915" name="Rectangle 12915"/>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2916" name="Rectangle 12916"/>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2917" name="Rectangle 12917"/>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89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4845" style="width:18.7031pt;height:260.874pt;position:absolute;mso-position-horizontal-relative:page;mso-position-horizontal:absolute;margin-left:662.928pt;mso-position-vertical-relative:page;margin-top:512.046pt;" coordsize="2375,33130">
                <v:rect id="Rectangle 12915"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291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291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350 </w:t>
                        </w:r>
                      </w:p>
                    </w:txbxContent>
                  </v:textbox>
                </v:rect>
                <w10:wrap type="square"/>
              </v:group>
            </w:pict>
          </mc:Fallback>
        </mc:AlternateContent>
      </w:r>
      <w:r>
        <w:t>CUARTO.- Ordenar la suspensión facultativa del otorgamiento de las licencias de obras de edificación (exclu</w:t>
      </w:r>
      <w:r>
        <w:t>yendo las permitidas por la Ley 4/2017, de 13 de julio, del Suelo y de los Espacios Naturales Protegidos de Canarias, en las situaciones legales de las construcciones preexistentes y en la situación de fuera de ordenación y las provisionales permitidas con</w:t>
      </w:r>
      <w:r>
        <w:t xml:space="preserve">forme al artículo 32 de la misma Ley), así como la suspensión de la autorización de obras de urbanización (excluyendo la mera conservación y mantenimiento) en todo el ámbito de la modificación. </w:t>
      </w:r>
    </w:p>
    <w:p w:rsidR="00025683" w:rsidRDefault="007C2AAB">
      <w:pPr>
        <w:ind w:left="14" w:right="200"/>
      </w:pPr>
      <w:r>
        <w:t>Esta suspensión surtirá efectos desde el día siguiente a la p</w:t>
      </w:r>
      <w:r>
        <w:t xml:space="preserve">ublicación del anuncio en el Boletín Oficial, y tendrá un plazo de un (1) año. por un plazo de un año. </w:t>
      </w:r>
    </w:p>
    <w:p w:rsidR="00025683" w:rsidRDefault="007C2AAB">
      <w:pPr>
        <w:spacing w:after="0" w:line="259" w:lineRule="auto"/>
        <w:ind w:left="14" w:firstLine="0"/>
        <w:jc w:val="left"/>
      </w:pPr>
      <w:r>
        <w:t xml:space="preserve"> </w:t>
      </w:r>
    </w:p>
    <w:p w:rsidR="00025683" w:rsidRDefault="007C2AAB">
      <w:pPr>
        <w:ind w:left="14" w:right="200"/>
      </w:pPr>
      <w:r>
        <w:t>QUINTO.- Ordenar la publicación de este acuerdo de suspensión en el Boletín Oficial de Canarias y en, al menos, dos de los diarios de mayor difusión e</w:t>
      </w:r>
      <w:r>
        <w:t xml:space="preserve">n la isla. </w:t>
      </w:r>
    </w:p>
    <w:p w:rsidR="00025683" w:rsidRDefault="007C2AAB">
      <w:pPr>
        <w:spacing w:after="0" w:line="259" w:lineRule="auto"/>
        <w:ind w:left="14" w:firstLine="0"/>
        <w:jc w:val="left"/>
      </w:pPr>
      <w:r>
        <w:t xml:space="preserve"> </w:t>
      </w:r>
    </w:p>
    <w:p w:rsidR="00025683" w:rsidRDefault="007C2AAB">
      <w:pPr>
        <w:ind w:left="14" w:right="200"/>
      </w:pPr>
      <w:r>
        <w:t>SEXTO.- Contra el acuerdo de suspensión del otorgamiento de licencias, se podrá interponer recurso potestativo de reposición ante el órgano que lo dictó en el plazo de un mes a contar desde el día siguiente de su notificación o publicación, o</w:t>
      </w:r>
      <w:r>
        <w:t xml:space="preserve"> recurso contencioso-administrativo ante la Jurisdicción Contenciosa-administrativa, en el plazo de dos meses a contar desde el día siguiente de su notificación o publicación….” </w:t>
      </w:r>
    </w:p>
    <w:p w:rsidR="00025683" w:rsidRDefault="007C2AAB">
      <w:pPr>
        <w:spacing w:after="0" w:line="259" w:lineRule="auto"/>
        <w:ind w:left="14" w:firstLine="0"/>
        <w:jc w:val="left"/>
      </w:pPr>
      <w:r>
        <w:t xml:space="preserve"> </w:t>
      </w:r>
    </w:p>
    <w:p w:rsidR="00025683" w:rsidRDefault="007C2AAB">
      <w:pPr>
        <w:ind w:left="14" w:right="200"/>
      </w:pPr>
      <w:r>
        <w:t>Por lo que se eleva a esta propuesta al Pleno del Ayuntamiento, que resolve</w:t>
      </w:r>
      <w:r>
        <w:t xml:space="preserve">rá como mejor proceda.”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12"/>
        <w:ind w:left="14" w:right="197" w:firstLine="708"/>
      </w:pPr>
      <w:r>
        <w:rPr>
          <w:b/>
        </w:rPr>
        <w:t>DICTAMEN FAVORABLE DE 22 DE DICIEMBRE DE LA COMISIÓN INFORMATIVA DE P. y G. URBANÍSTICA Y AMBIENTAL, OBRAS Y SERVICIOS PÚBLICOS.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722" w:right="200"/>
      </w:pPr>
      <w:r>
        <w:t xml:space="preserve">Votos a favor: 4. </w:t>
      </w:r>
    </w:p>
    <w:p w:rsidR="00025683" w:rsidRDefault="007C2AAB">
      <w:pPr>
        <w:ind w:left="14" w:right="200" w:firstLine="708"/>
      </w:pPr>
      <w:r>
        <w:t xml:space="preserve">4 concejales del Grupo Socialista, Don Reinaldo José Triviño Blanco, Don Airam Pérez Chinea, Doña Margarita Eva Tendero Barroso y Doña María del Carmen Clemente Díaz. </w:t>
      </w:r>
    </w:p>
    <w:p w:rsidR="00025683" w:rsidRDefault="007C2AAB">
      <w:pPr>
        <w:spacing w:after="0" w:line="259" w:lineRule="auto"/>
        <w:ind w:left="14" w:firstLine="0"/>
        <w:jc w:val="left"/>
      </w:pPr>
      <w:r>
        <w:t xml:space="preserve"> </w:t>
      </w:r>
    </w:p>
    <w:p w:rsidR="00025683" w:rsidRDefault="007C2AAB">
      <w:pPr>
        <w:ind w:left="722" w:right="200"/>
      </w:pPr>
      <w:r>
        <w:t xml:space="preserve">Votos en contra: 0. </w:t>
      </w:r>
    </w:p>
    <w:p w:rsidR="00025683" w:rsidRDefault="007C2AAB">
      <w:pPr>
        <w:spacing w:after="0" w:line="259" w:lineRule="auto"/>
        <w:ind w:left="722" w:firstLine="0"/>
        <w:jc w:val="left"/>
      </w:pPr>
      <w:r>
        <w:t xml:space="preserve"> </w:t>
      </w:r>
    </w:p>
    <w:p w:rsidR="00025683" w:rsidRDefault="007C2AAB">
      <w:pPr>
        <w:ind w:left="722" w:right="200"/>
      </w:pPr>
      <w:r>
        <w:t xml:space="preserve">Abstenciones: 3. </w:t>
      </w:r>
    </w:p>
    <w:p w:rsidR="00025683" w:rsidRDefault="007C2AAB">
      <w:pPr>
        <w:spacing w:after="0" w:line="259" w:lineRule="auto"/>
        <w:ind w:left="722" w:firstLine="0"/>
        <w:jc w:val="left"/>
      </w:pPr>
      <w:r>
        <w:t xml:space="preserve"> </w:t>
      </w:r>
    </w:p>
    <w:p w:rsidR="00025683" w:rsidRDefault="007C2AAB">
      <w:pPr>
        <w:ind w:left="14" w:right="200" w:firstLine="708"/>
      </w:pPr>
      <w:r>
        <w:t xml:space="preserve">2 de los concejales del Grupo Popular, Don </w:t>
      </w:r>
      <w:r>
        <w:t xml:space="preserve">Jacobo López Fariña y Doña Sheila Castellano Batista.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(USP), Doña Violeta López Jiménez. </w:t>
      </w:r>
    </w:p>
    <w:p w:rsidR="00025683" w:rsidRDefault="007C2AAB">
      <w:pPr>
        <w:spacing w:after="0" w:line="259" w:lineRule="auto"/>
        <w:ind w:left="14" w:firstLine="0"/>
        <w:jc w:val="left"/>
      </w:pPr>
      <w:r>
        <w:t xml:space="preserve"> </w:t>
      </w:r>
    </w:p>
    <w:p w:rsidR="00025683" w:rsidRDefault="007C2AAB">
      <w:pPr>
        <w:spacing w:after="12"/>
        <w:ind w:left="722" w:right="2172"/>
      </w:pPr>
      <w:r>
        <w:rPr>
          <w:b/>
        </w:rPr>
        <w:t xml:space="preserve">JUNTA DE PORTAVOCES DE 22 DE DICIEMBRE DE 2025. </w:t>
      </w:r>
      <w:r>
        <w:t xml:space="preserve">Quedó oída. </w:t>
      </w:r>
    </w:p>
    <w:p w:rsidR="00025683" w:rsidRDefault="007C2AAB">
      <w:pPr>
        <w:spacing w:after="0" w:line="259" w:lineRule="auto"/>
        <w:ind w:left="14" w:firstLine="0"/>
        <w:jc w:val="left"/>
      </w:pPr>
      <w:r>
        <w:t xml:space="preserve">  </w:t>
      </w:r>
    </w:p>
    <w:p w:rsidR="00025683" w:rsidRDefault="007C2AAB">
      <w:pPr>
        <w:spacing w:after="12"/>
        <w:ind w:left="722" w:right="197"/>
      </w:pPr>
      <w:r>
        <w:rPr>
          <w:b/>
        </w:rPr>
        <w:t xml:space="preserve">VOTACIÓN EN EL PLENO DE 29 DE DICIEMBRE DE 2025. </w:t>
      </w:r>
    </w:p>
    <w:p w:rsidR="00025683" w:rsidRDefault="007C2AAB">
      <w:pPr>
        <w:spacing w:after="0" w:line="259" w:lineRule="auto"/>
        <w:ind w:left="14" w:firstLine="0"/>
        <w:jc w:val="left"/>
      </w:pPr>
      <w:r>
        <w:rPr>
          <w:b/>
        </w:rPr>
        <w:t xml:space="preserve"> </w:t>
      </w:r>
    </w:p>
    <w:p w:rsidR="00025683" w:rsidRDefault="007C2AAB">
      <w:pPr>
        <w:ind w:left="722" w:right="200"/>
      </w:pPr>
      <w:r>
        <w:t>Votos a favo</w:t>
      </w:r>
      <w:r>
        <w:t xml:space="preserve">r: 12. </w:t>
      </w:r>
    </w:p>
    <w:p w:rsidR="00025683" w:rsidRDefault="007C2AAB">
      <w:pPr>
        <w:ind w:left="14" w:right="200" w:firstLine="708"/>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5162" name="Group 3951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018" name="Rectangle 13018"/>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019" name="Rectangle 13019"/>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020" name="Rectangle 13020"/>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90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5162" style="width:18.7031pt;height:260.874pt;position:absolute;mso-position-horizontal-relative:page;mso-position-horizontal:absolute;margin-left:662.928pt;mso-position-vertical-relative:page;margin-top:512.046pt;" coordsize="2375,33130">
                <v:rect id="Rectangle 13018"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019"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020"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350 </w:t>
                        </w:r>
                      </w:p>
                    </w:txbxContent>
                  </v:textbox>
                </v:rect>
                <w10:wrap type="square"/>
              </v:group>
            </w:pict>
          </mc:Fallback>
        </mc:AlternateContent>
      </w:r>
      <w:r>
        <w:t>11 concejales del Grupo Socialista: Dª. María Concepción Brito Núñez, D. Jorge Baute Delgado, D. José Francisco Pinto Ramos, Dª. Olivia Concepción Pérez, D. Reinaldo José Triviño Blanco, D. Manuel Alberto González Pestano, Dª. Margarita Eva Tendero Barroso</w:t>
      </w:r>
      <w:r>
        <w:t xml:space="preserve">, D. Airam Pérez Chinea, Dª. María del Carmen Clemente Díaz, D. Olegario Francisco Alonso Bello, Dª. Mónica Monserrat Yanes Delgado.  </w:t>
      </w:r>
    </w:p>
    <w:p w:rsidR="00025683" w:rsidRDefault="007C2AAB">
      <w:pPr>
        <w:spacing w:after="0" w:line="259" w:lineRule="auto"/>
        <w:ind w:left="14" w:firstLine="0"/>
        <w:jc w:val="left"/>
      </w:pPr>
      <w:r>
        <w:t xml:space="preserve"> </w:t>
      </w:r>
    </w:p>
    <w:p w:rsidR="00025683" w:rsidRDefault="007C2AAB">
      <w:pPr>
        <w:ind w:left="722" w:right="200"/>
      </w:pPr>
      <w:r>
        <w:t xml:space="preserve">1 del concejal del Grupo Mixto (Vox), D. José Tortosa Pallarés. </w:t>
      </w:r>
    </w:p>
    <w:p w:rsidR="00025683" w:rsidRDefault="007C2AAB">
      <w:pPr>
        <w:spacing w:after="0" w:line="259" w:lineRule="auto"/>
        <w:ind w:left="722" w:firstLine="0"/>
        <w:jc w:val="left"/>
      </w:pPr>
      <w:r>
        <w:t xml:space="preserve"> </w:t>
      </w:r>
    </w:p>
    <w:p w:rsidR="00025683" w:rsidRDefault="007C2AAB">
      <w:pPr>
        <w:ind w:left="722" w:right="200"/>
      </w:pPr>
      <w:r>
        <w:t xml:space="preserve">Votos en contra: 0. </w:t>
      </w:r>
    </w:p>
    <w:p w:rsidR="00025683" w:rsidRDefault="007C2AAB">
      <w:pPr>
        <w:spacing w:after="0" w:line="259" w:lineRule="auto"/>
        <w:ind w:left="722" w:firstLine="0"/>
        <w:jc w:val="left"/>
      </w:pPr>
      <w:r>
        <w:t xml:space="preserve"> </w:t>
      </w:r>
    </w:p>
    <w:p w:rsidR="00025683" w:rsidRDefault="007C2AAB">
      <w:pPr>
        <w:ind w:left="722" w:right="200"/>
      </w:pPr>
      <w:r>
        <w:t xml:space="preserve">Abstenciones: 7. </w:t>
      </w:r>
    </w:p>
    <w:p w:rsidR="00025683" w:rsidRDefault="007C2AAB">
      <w:pPr>
        <w:ind w:left="14" w:right="200" w:firstLine="708"/>
      </w:pPr>
      <w:r>
        <w:t xml:space="preserve">5 concejales del Grupo Popular: D. Jacobo López Fariña, D. Miguel Eduardo Hernández Chitty, Dª. Raquel Martín Castro, Dª. María Carlota Díaz González y D. José Daniel Sosa González.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(CC), Doña Ángela Cruz Perera. </w:t>
      </w:r>
    </w:p>
    <w:p w:rsidR="00025683" w:rsidRDefault="007C2AAB">
      <w:pPr>
        <w:spacing w:after="0" w:line="259" w:lineRule="auto"/>
        <w:ind w:left="14" w:firstLine="0"/>
        <w:jc w:val="left"/>
      </w:pPr>
      <w:r>
        <w:t xml:space="preserve"> </w:t>
      </w:r>
    </w:p>
    <w:p w:rsidR="00025683" w:rsidRDefault="007C2AAB">
      <w:pPr>
        <w:ind w:left="722" w:right="200"/>
      </w:pPr>
      <w:r>
        <w:t>1 de</w:t>
      </w:r>
      <w:r>
        <w:t xml:space="preserve"> la concejal del Grupo Mixto (USP), Dª. Violeta López Jiménez.</w:t>
      </w:r>
      <w:r>
        <w:rPr>
          <w:rFonts w:ascii="Times New Roman" w:eastAsia="Times New Roman" w:hAnsi="Times New Roman" w:cs="Times New Roman"/>
          <w:sz w:val="24"/>
        </w:rPr>
        <w:t xml:space="preserve"> </w:t>
      </w:r>
    </w:p>
    <w:p w:rsidR="00025683" w:rsidRDefault="007C2AAB">
      <w:pPr>
        <w:spacing w:after="0" w:line="259" w:lineRule="auto"/>
        <w:ind w:left="722" w:firstLine="0"/>
        <w:jc w:val="left"/>
      </w:pPr>
      <w:r>
        <w:rPr>
          <w:color w:val="FFFFFF"/>
        </w:rPr>
        <w:t xml:space="preserve"> </w:t>
      </w:r>
    </w:p>
    <w:p w:rsidR="00025683" w:rsidRDefault="007C2AAB">
      <w:pPr>
        <w:spacing w:after="0" w:line="259" w:lineRule="auto"/>
        <w:ind w:left="14" w:firstLine="0"/>
        <w:jc w:val="left"/>
      </w:pPr>
      <w:r>
        <w:rPr>
          <w:b/>
        </w:rPr>
        <w:t xml:space="preserve">                           </w:t>
      </w:r>
    </w:p>
    <w:p w:rsidR="00025683" w:rsidRDefault="007C2AAB">
      <w:pPr>
        <w:spacing w:after="100" w:line="259" w:lineRule="auto"/>
        <w:ind w:left="1433" w:firstLine="0"/>
        <w:jc w:val="left"/>
      </w:pPr>
      <w:r>
        <w:rPr>
          <w:b/>
        </w:rPr>
        <w:t xml:space="preserve"> </w:t>
      </w:r>
    </w:p>
    <w:p w:rsidR="00025683" w:rsidRDefault="007C2AAB">
      <w:pPr>
        <w:spacing w:after="98" w:line="259" w:lineRule="auto"/>
        <w:ind w:left="1433" w:firstLine="0"/>
        <w:jc w:val="left"/>
      </w:pPr>
      <w:r>
        <w:rPr>
          <w:b/>
        </w:rPr>
        <w:t xml:space="preserve"> </w:t>
      </w:r>
    </w:p>
    <w:p w:rsidR="00025683" w:rsidRDefault="007C2AAB">
      <w:pPr>
        <w:spacing w:after="101" w:line="259" w:lineRule="auto"/>
        <w:ind w:left="1433"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111"/>
        <w:ind w:left="1433" w:right="197"/>
      </w:pPr>
      <w:r>
        <w:rPr>
          <w:b/>
        </w:rPr>
        <w:t xml:space="preserve">ACUERDO DEL PLENO DE 29 DE DICIEMBRE DE 2025.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w:t>
      </w:r>
      <w:r>
        <w:rPr>
          <w:b/>
        </w:rPr>
        <w:t>PRIMERO: Aprobar inicialmente el Plan Especial Parque Periurbano de Pasacola, T.M. de Candelaria, según lo indicado en el informe técnico favorable emitido con fecha 15/12/2025.</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SEGUNDO: Abrir un período de información pública por plazo de un mes</w:t>
      </w:r>
      <w:r>
        <w:rPr>
          <w:b/>
        </w:rPr>
        <w:t xml:space="preserve"> mediante anuncio en el Boletín Oficial de Canarias y en el periódico de mayor difusión.</w:t>
      </w:r>
      <w:r>
        <w:rPr>
          <w:rFonts w:ascii="Times New Roman" w:eastAsia="Times New Roman" w:hAnsi="Times New Roman" w:cs="Times New Roman"/>
          <w:sz w:val="24"/>
        </w:rPr>
        <w:t xml:space="preserve"> </w:t>
      </w:r>
    </w:p>
    <w:p w:rsidR="00025683" w:rsidRDefault="007C2AAB">
      <w:pPr>
        <w:spacing w:after="12"/>
        <w:ind w:left="14" w:right="197"/>
      </w:pPr>
      <w:r>
        <w:rPr>
          <w:b/>
        </w:rPr>
        <w:t xml:space="preserve">Asimismo, estará disponible en la sede electrónica de este Ayuntamiento </w:t>
      </w:r>
      <w:r>
        <w:rPr>
          <w:b/>
          <w:color w:val="0000FF"/>
          <w:u w:val="single" w:color="0000FF"/>
        </w:rPr>
        <w:t>https://sedeelectronica.candelaria.es/publico/tablon</w:t>
      </w:r>
      <w:r>
        <w:rPr>
          <w:b/>
        </w:rPr>
        <w:t>.</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13" w:line="259" w:lineRule="auto"/>
        <w:ind w:left="14" w:firstLine="0"/>
        <w:jc w:val="left"/>
      </w:pPr>
      <w:r>
        <w:rPr>
          <w:b/>
        </w:rPr>
        <w:t xml:space="preserve"> </w:t>
      </w:r>
    </w:p>
    <w:p w:rsidR="00025683" w:rsidRDefault="007C2AAB">
      <w:pPr>
        <w:spacing w:after="12"/>
        <w:ind w:left="14" w:right="197"/>
      </w:pPr>
      <w:r>
        <w:rPr>
          <w:b/>
          <w:sz w:val="24"/>
        </w:rPr>
        <w:t xml:space="preserve">       TERCERO: </w:t>
      </w:r>
      <w:r>
        <w:rPr>
          <w:b/>
        </w:rPr>
        <w:t>Solicitar, simultán</w:t>
      </w:r>
      <w:r>
        <w:rPr>
          <w:b/>
        </w:rPr>
        <w:t>eamente al trámite de información pública, los informes, dictámenes u otro tipo de pronunciamientos a órganos y Entidades administrativas gestores de intereses públicos afectados, previstos legalmente como preceptivos</w:t>
      </w:r>
      <w:r>
        <w:rPr>
          <w:rFonts w:ascii="Times New Roman" w:eastAsia="Times New Roman" w:hAnsi="Times New Roman" w:cs="Times New Roman"/>
          <w:sz w:val="24"/>
        </w:rPr>
        <w:t xml:space="preserve"> </w:t>
      </w:r>
    </w:p>
    <w:p w:rsidR="00025683" w:rsidRDefault="007C2AAB">
      <w:pPr>
        <w:spacing w:after="0" w:line="259" w:lineRule="auto"/>
        <w:ind w:left="722" w:firstLine="0"/>
        <w:jc w:val="left"/>
      </w:pPr>
      <w:r>
        <w:rPr>
          <w:rFonts w:ascii="Times New Roman" w:eastAsia="Times New Roman" w:hAnsi="Times New Roman" w:cs="Times New Roman"/>
          <w:b/>
          <w:sz w:val="24"/>
        </w:rPr>
        <w:t xml:space="preserve"> </w:t>
      </w:r>
    </w:p>
    <w:p w:rsidR="00025683" w:rsidRDefault="007C2AAB">
      <w:pPr>
        <w:spacing w:after="12"/>
        <w:ind w:left="14" w:right="197"/>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5685" name="Group 3956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149" name="Rectangle 13149"/>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150" name="Rectangle 13150"/>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151" name="Rectangle 13151"/>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91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5685" style="width:18.7031pt;height:260.874pt;position:absolute;mso-position-horizontal-relative:page;mso-position-horizontal:absolute;margin-left:662.928pt;mso-position-vertical-relative:page;margin-top:512.046pt;" coordsize="2375,33130">
                <v:rect id="Rectangle 13149"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15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15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350 </w:t>
                        </w:r>
                      </w:p>
                    </w:txbxContent>
                  </v:textbox>
                </v:rect>
                <w10:wrap type="square"/>
              </v:group>
            </w:pict>
          </mc:Fallback>
        </mc:AlternateContent>
      </w:r>
      <w:r>
        <w:rPr>
          <w:b/>
        </w:rPr>
        <w:t xml:space="preserve">       </w:t>
      </w:r>
      <w:r>
        <w:rPr>
          <w:b/>
        </w:rPr>
        <w:t>CUARTO: Ordenar la suspensión facultativa del otorgamiento de las licencias de obras de edificación (excluyendo las permitidas por la Ley 4/2017, de 13 de julio, del Suelo y de los Espacios Naturales Protegidos de Canarias, en las situaciones legales de la</w:t>
      </w:r>
      <w:r>
        <w:rPr>
          <w:b/>
        </w:rPr>
        <w:t>s construcciones preexistentes y en la situación de fuera de ordenación y las provisionales permitidas conforme al artículo 32 de la misma Ley), así como la suspensión de la autorización de obras de urbanización (excluyendo la mera conservación y mantenimi</w:t>
      </w:r>
      <w:r>
        <w:rPr>
          <w:b/>
        </w:rPr>
        <w:t xml:space="preserve">ento) en todo el ámbito de la modificación. </w:t>
      </w:r>
    </w:p>
    <w:p w:rsidR="00025683" w:rsidRDefault="007C2AAB">
      <w:pPr>
        <w:spacing w:after="12"/>
        <w:ind w:left="14" w:right="197"/>
      </w:pPr>
      <w:r>
        <w:rPr>
          <w:b/>
        </w:rPr>
        <w:t xml:space="preserve">Esta suspensión surtirá efectos desde el día siguiente a la publicación del anuncio en el Boletín Oficial, y tendrá un plazo de un (1) año. por un plazo de un año.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QUINTO: Ordenar la publicación de est</w:t>
      </w:r>
      <w:r>
        <w:rPr>
          <w:b/>
        </w:rPr>
        <w:t xml:space="preserve">e acuerdo de suspensión en el Boletín Oficial de Canarias y en, al menos, dos de los diarios de mayor difusión en la isla.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SEXTO: Contra el acuerdo de suspensión del otorgamiento de licencias, se podrá interponer recurso potestativo de reposición </w:t>
      </w:r>
      <w:r>
        <w:rPr>
          <w:b/>
        </w:rPr>
        <w:t>ante el órgano que lo dictó en el plazo de un mes a contar desde el día siguiente de su notificación o publicación, o recurso contencioso-administrativo ante la Jurisdicción Contenciosa-administrativa, en el plazo de dos meses a contar desde el día siguien</w:t>
      </w:r>
      <w:r>
        <w:rPr>
          <w:b/>
        </w:rPr>
        <w:t xml:space="preserve">te de su notificación o publicación….” </w:t>
      </w:r>
    </w:p>
    <w:p w:rsidR="00025683" w:rsidRDefault="007C2AAB">
      <w:pPr>
        <w:spacing w:after="0" w:line="259" w:lineRule="auto"/>
        <w:ind w:left="722" w:firstLine="0"/>
        <w:jc w:val="left"/>
      </w:pPr>
      <w:r>
        <w:rPr>
          <w:rFonts w:ascii="Times New Roman" w:eastAsia="Times New Roman" w:hAnsi="Times New Roman" w:cs="Times New Roman"/>
          <w:b/>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35" w:line="259" w:lineRule="auto"/>
        <w:ind w:left="14" w:firstLine="0"/>
        <w:jc w:val="left"/>
      </w:pPr>
      <w:r>
        <w:rPr>
          <w:b/>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4" w:line="245" w:lineRule="auto"/>
        <w:ind w:left="9" w:right="193" w:hanging="10"/>
      </w:pPr>
      <w:r>
        <w:rPr>
          <w:rFonts w:ascii="Calibri" w:eastAsia="Calibri" w:hAnsi="Calibri" w:cs="Calibri"/>
          <w:noProof/>
        </w:rPr>
        <mc:AlternateContent>
          <mc:Choice Requires="wpg">
            <w:drawing>
              <wp:anchor distT="0" distB="0" distL="114300" distR="114300" simplePos="0" relativeHeight="251758592" behindDoc="1" locked="0" layoutInCell="1" allowOverlap="1">
                <wp:simplePos x="0" y="0"/>
                <wp:positionH relativeFrom="column">
                  <wp:posOffset>9144</wp:posOffset>
                </wp:positionH>
                <wp:positionV relativeFrom="paragraph">
                  <wp:posOffset>-9319</wp:posOffset>
                </wp:positionV>
                <wp:extent cx="5941517" cy="620268"/>
                <wp:effectExtent l="0" t="0" r="0" b="0"/>
                <wp:wrapNone/>
                <wp:docPr id="396346" name="Group 396346"/>
                <wp:cNvGraphicFramePr/>
                <a:graphic xmlns:a="http://schemas.openxmlformats.org/drawingml/2006/main">
                  <a:graphicData uri="http://schemas.microsoft.com/office/word/2010/wordprocessingGroup">
                    <wpg:wgp>
                      <wpg:cNvGrpSpPr/>
                      <wpg:grpSpPr>
                        <a:xfrm>
                          <a:off x="0" y="0"/>
                          <a:ext cx="5941517" cy="620268"/>
                          <a:chOff x="0" y="0"/>
                          <a:chExt cx="5941517" cy="620268"/>
                        </a:xfrm>
                      </wpg:grpSpPr>
                      <wps:wsp>
                        <wps:cNvPr id="446704" name="Shape 446704"/>
                        <wps:cNvSpPr/>
                        <wps:spPr>
                          <a:xfrm>
                            <a:off x="2225370" y="0"/>
                            <a:ext cx="3716147" cy="210312"/>
                          </a:xfrm>
                          <a:custGeom>
                            <a:avLst/>
                            <a:gdLst/>
                            <a:ahLst/>
                            <a:cxnLst/>
                            <a:rect l="0" t="0" r="0" b="0"/>
                            <a:pathLst>
                              <a:path w="3716147" h="210312">
                                <a:moveTo>
                                  <a:pt x="0" y="0"/>
                                </a:moveTo>
                                <a:lnTo>
                                  <a:pt x="3716147" y="0"/>
                                </a:lnTo>
                                <a:lnTo>
                                  <a:pt x="3716147"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6705" name="Shape 446705"/>
                        <wps:cNvSpPr/>
                        <wps:spPr>
                          <a:xfrm>
                            <a:off x="0" y="205740"/>
                            <a:ext cx="5941441" cy="210312"/>
                          </a:xfrm>
                          <a:custGeom>
                            <a:avLst/>
                            <a:gdLst/>
                            <a:ahLst/>
                            <a:cxnLst/>
                            <a:rect l="0" t="0" r="0" b="0"/>
                            <a:pathLst>
                              <a:path w="5941441" h="210312">
                                <a:moveTo>
                                  <a:pt x="0" y="0"/>
                                </a:moveTo>
                                <a:lnTo>
                                  <a:pt x="5941441" y="0"/>
                                </a:lnTo>
                                <a:lnTo>
                                  <a:pt x="5941441"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6706" name="Shape 446706"/>
                        <wps:cNvSpPr/>
                        <wps:spPr>
                          <a:xfrm>
                            <a:off x="0" y="409956"/>
                            <a:ext cx="1966214" cy="210312"/>
                          </a:xfrm>
                          <a:custGeom>
                            <a:avLst/>
                            <a:gdLst/>
                            <a:ahLst/>
                            <a:cxnLst/>
                            <a:rect l="0" t="0" r="0" b="0"/>
                            <a:pathLst>
                              <a:path w="1966214" h="210312">
                                <a:moveTo>
                                  <a:pt x="0" y="0"/>
                                </a:moveTo>
                                <a:lnTo>
                                  <a:pt x="1966214" y="0"/>
                                </a:lnTo>
                                <a:lnTo>
                                  <a:pt x="1966214"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w:pict>
              <v:group id="Group 396346" style="width:467.836pt;height:48.84pt;position:absolute;z-index:-2147483614;mso-position-horizontal-relative:text;mso-position-horizontal:absolute;margin-left:0.720001pt;mso-position-vertical-relative:text;margin-top:-0.733826pt;" coordsize="59415,6202">
                <v:shape id="Shape 446707" style="position:absolute;width:37161;height:2103;left:22253;top:0;" coordsize="3716147,210312" path="m0,0l3716147,0l3716147,210312l0,210312l0,0">
                  <v:stroke weight="0pt" endcap="square" joinstyle="miter" miterlimit="10" on="false" color="#000000" opacity="0"/>
                  <v:fill on="true" color="#f5f7f9"/>
                </v:shape>
                <v:shape id="Shape 446708" style="position:absolute;width:59414;height:2103;left:0;top:2057;" coordsize="5941441,210312" path="m0,0l5941441,0l5941441,210312l0,210312l0,0">
                  <v:stroke weight="0pt" endcap="square" joinstyle="miter" miterlimit="10" on="false" color="#000000" opacity="0"/>
                  <v:fill on="true" color="#f5f7f9"/>
                </v:shape>
                <v:shape id="Shape 446709" style="position:absolute;width:19662;height:2103;left:0;top:4099;" coordsize="1966214,210312" path="m0,0l1966214,0l1966214,210312l0,210312l0,0">
                  <v:stroke weight="0pt" endcap="square" joinstyle="miter" miterlimit="10" on="false" color="#000000" opacity="0"/>
                  <v:fill on="true" color="#f5f7f9"/>
                </v:shape>
              </v:group>
            </w:pict>
          </mc:Fallback>
        </mc:AlternateContent>
      </w:r>
      <w:r>
        <w:rPr>
          <w:b/>
          <w:sz w:val="28"/>
        </w:rPr>
        <w:t xml:space="preserve">6.- </w:t>
      </w:r>
      <w:r>
        <w:rPr>
          <w:b/>
          <w:sz w:val="28"/>
          <w:u w:val="single" w:color="000000"/>
        </w:rPr>
        <w:t>Expediente 3110/2023</w:t>
      </w:r>
      <w:r>
        <w:rPr>
          <w:b/>
          <w:sz w:val="28"/>
        </w:rPr>
        <w:t>. J203. Propuesta de la Alcaldesa-Presidenta al Pleno de la Aprobación inicial Plan Especial de reforma interior (PEPRI) de La Jiménez.</w:t>
      </w:r>
      <w:r>
        <w:rPr>
          <w:rFonts w:ascii="Times New Roman" w:eastAsia="Times New Roman" w:hAnsi="Times New Roman" w:cs="Times New Roman"/>
          <w:sz w:val="28"/>
        </w:rPr>
        <w:t xml:space="preserve"> </w:t>
      </w:r>
    </w:p>
    <w:p w:rsidR="00025683" w:rsidRDefault="007C2AAB">
      <w:pPr>
        <w:spacing w:after="0" w:line="259" w:lineRule="auto"/>
        <w:ind w:left="14" w:firstLine="0"/>
        <w:jc w:val="left"/>
      </w:pPr>
      <w:r>
        <w:rPr>
          <w:b/>
        </w:rPr>
        <w:t xml:space="preserve"> </w:t>
      </w:r>
    </w:p>
    <w:p w:rsidR="00025683" w:rsidRDefault="007C2AAB">
      <w:pPr>
        <w:spacing w:after="1" w:line="249" w:lineRule="auto"/>
        <w:ind w:left="17" w:right="197" w:hanging="10"/>
      </w:pPr>
      <w:r>
        <w:rPr>
          <w:b/>
          <w:sz w:val="24"/>
        </w:rPr>
        <w:t>Consta en el expediente Informe de la Técnico de Administración General Dª. Olga Fernández Méndez - Bencomo que desempeña el puesto de trabajo de Técnico de Administración General, conformado por el secretario General, de 17 de diciembre de 2025, del sigui</w:t>
      </w:r>
      <w:r>
        <w:rPr>
          <w:b/>
          <w:sz w:val="24"/>
        </w:rPr>
        <w:t xml:space="preserve">ente tenor literal: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color w:val="FF0000"/>
          <w:sz w:val="24"/>
        </w:rPr>
        <w:t xml:space="preserve"> </w:t>
      </w:r>
    </w:p>
    <w:p w:rsidR="00025683" w:rsidRDefault="007C2AAB">
      <w:pPr>
        <w:spacing w:after="0" w:line="259" w:lineRule="auto"/>
        <w:ind w:left="14" w:firstLine="0"/>
        <w:jc w:val="left"/>
      </w:pPr>
      <w:r>
        <w:rPr>
          <w:sz w:val="24"/>
        </w:rPr>
        <w:t xml:space="preserve"> </w:t>
      </w:r>
    </w:p>
    <w:p w:rsidR="00025683" w:rsidRDefault="007C2AAB">
      <w:pPr>
        <w:pStyle w:val="Ttulo4"/>
        <w:ind w:left="274" w:right="460"/>
      </w:pPr>
      <w:r>
        <w:rPr>
          <w:b w:val="0"/>
          <w:sz w:val="24"/>
        </w:rPr>
        <w:t xml:space="preserve"> “</w:t>
      </w:r>
      <w:r>
        <w:t xml:space="preserve">INFORME JURÍDICO </w:t>
      </w:r>
      <w:r>
        <w:rPr>
          <w:rFonts w:ascii="Times New Roman" w:eastAsia="Times New Roman" w:hAnsi="Times New Roman" w:cs="Times New Roman"/>
          <w:b w:val="0"/>
          <w:sz w:val="24"/>
        </w:rPr>
        <w:t xml:space="preserve"> </w:t>
      </w:r>
    </w:p>
    <w:p w:rsidR="00025683" w:rsidRDefault="007C2AAB">
      <w:pPr>
        <w:spacing w:after="0" w:line="259" w:lineRule="auto"/>
        <w:ind w:left="0" w:right="133" w:firstLine="0"/>
        <w:jc w:val="center"/>
      </w:pPr>
      <w:r>
        <w:t xml:space="preserve"> </w:t>
      </w:r>
    </w:p>
    <w:p w:rsidR="00025683" w:rsidRDefault="007C2AAB">
      <w:pPr>
        <w:ind w:left="14" w:right="200"/>
      </w:pPr>
      <w:r>
        <w:t xml:space="preserve">La Técnico de Administración General Olga Fernández Méndez- </w:t>
      </w:r>
      <w:r>
        <w:t xml:space="preserve">Bencomo, en el expediente anteriormente indicado, emite el siguiente informe conformado por el Secretario General Octavio Manuel Fernández Hernández:  </w:t>
      </w:r>
    </w:p>
    <w:p w:rsidR="00025683" w:rsidRDefault="007C2AAB">
      <w:pPr>
        <w:spacing w:after="0" w:line="259" w:lineRule="auto"/>
        <w:ind w:left="14" w:firstLine="0"/>
        <w:jc w:val="left"/>
      </w:pPr>
      <w:r>
        <w:t xml:space="preserve"> </w:t>
      </w:r>
    </w:p>
    <w:p w:rsidR="00025683" w:rsidRDefault="007C2AAB">
      <w:pPr>
        <w:pStyle w:val="Ttulo4"/>
        <w:ind w:left="274" w:right="463"/>
      </w:pPr>
      <w:r>
        <w:t xml:space="preserve">ANTECEDENTES </w:t>
      </w:r>
    </w:p>
    <w:p w:rsidR="00025683" w:rsidRDefault="007C2AAB">
      <w:pPr>
        <w:spacing w:after="0" w:line="259" w:lineRule="auto"/>
        <w:ind w:left="0" w:right="133" w:firstLine="0"/>
        <w:jc w:val="center"/>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6347" name="Group 39634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266" name="Rectangle 13266"/>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267" name="Rectangle 13267"/>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https://candelaria.sede</w:t>
                              </w:r>
                              <w:r>
                                <w:rPr>
                                  <w:sz w:val="12"/>
                                </w:rPr>
                                <w:t xml:space="preserve">lectronica.es/ </w:t>
                              </w:r>
                            </w:p>
                          </w:txbxContent>
                        </wps:txbx>
                        <wps:bodyPr horzOverflow="overflow" vert="horz" lIns="0" tIns="0" rIns="0" bIns="0" rtlCol="0">
                          <a:noAutofit/>
                        </wps:bodyPr>
                      </wps:wsp>
                      <wps:wsp>
                        <wps:cNvPr id="13268" name="Rectangle 13268"/>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92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6347" style="width:18.7031pt;height:260.874pt;position:absolute;mso-position-horizontal-relative:page;mso-position-horizontal:absolute;margin-left:662.928pt;mso-position-vertical-relative:page;margin-top:512.046pt;" coordsize="2375,33130">
                <v:rect id="Rectangle 13266"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26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26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350 </w:t>
                        </w:r>
                      </w:p>
                    </w:txbxContent>
                  </v:textbox>
                </v:rect>
                <w10:wrap type="square"/>
              </v:group>
            </w:pict>
          </mc:Fallback>
        </mc:AlternateContent>
      </w:r>
      <w:r>
        <w:t xml:space="preserve">Visto el expediente número 3110/2023 que se tramita en esta Corporación en relación a la aprobación del </w:t>
      </w:r>
      <w:r>
        <w:rPr>
          <w:b/>
        </w:rPr>
        <w:t xml:space="preserve">Plan Especial de Reforma Interior de la </w:t>
      </w:r>
      <w:r>
        <w:rPr>
          <w:b/>
        </w:rPr>
        <w:t xml:space="preserve">Jiménez. T.M. de Candelaria </w:t>
      </w:r>
      <w:r>
        <w:t>encomendado a Gesplan SA por acuerdo del Pleno de fecha 30 de marzo de 2023, para el desarrollo de la ordenación pormenorizada atendiendo a las directrices y criterios de ordenación establecidos en el vigente Plan General de Ord</w:t>
      </w:r>
      <w:r>
        <w:t>enación aprobado definitivamente el 10 de noviembre de 2006 y publicado el 10 de mayo de 2007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Visto que con fecha 3 de octubre de 2024 se dictó la Resolución n.º 64, en virtud de la cual se inició el procedimiento de evaluación ambiental estratégica o</w:t>
      </w:r>
      <w:r>
        <w:t>rdinaria relativo al Plan Especial de Reforma Interior (PEPRI) de La Jiménez, en el término municipal de Candelaria y se sometió a consultas de las administraciones públicas afectadas y de las personas interesadas el documento inicial estratégico y el borr</w:t>
      </w:r>
      <w:r>
        <w:t xml:space="preserve">ador del citado instrumento de ordenación urbanística. En consecuencia, se publica anuncio en el Boletín Oficial de Canarias (BOC nº 216, de 29 de octubre de 2024) y en la web del Gobierno de Canarias.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ind w:left="14" w:right="200"/>
      </w:pPr>
      <w:r>
        <w:rPr>
          <w:sz w:val="24"/>
        </w:rPr>
        <w:t xml:space="preserve"> </w:t>
      </w:r>
      <w:r>
        <w:t>Visto que mediante resolución de La Comisión Aut</w:t>
      </w:r>
      <w:r>
        <w:t>onómica de Evaluación Ambiental, en sesión celebrada el 14 de marzo de 2025, se acordó formular, el DOCUMENTO DE ALCANCE en el procedimiento de la Evaluación Ambiental Estratégica Ordinaria del Plan Especial de Ordenación del Parque Periurbano de Pasacola,</w:t>
      </w:r>
      <w:r>
        <w:t xml:space="preserve"> en el Término Municipal de Candelaria que se incorpora como Anexo.</w:t>
      </w:r>
      <w:r>
        <w:rPr>
          <w:rFonts w:ascii="Times New Roman" w:eastAsia="Times New Roman" w:hAnsi="Times New Roman" w:cs="Times New Roman"/>
          <w:sz w:val="24"/>
        </w:rPr>
        <w:t xml:space="preserve"> </w:t>
      </w:r>
    </w:p>
    <w:p w:rsidR="00025683" w:rsidRDefault="007C2AAB">
      <w:pPr>
        <w:spacing w:after="244" w:line="259" w:lineRule="auto"/>
        <w:ind w:left="0" w:right="623" w:firstLine="0"/>
        <w:jc w:val="center"/>
      </w:pPr>
      <w:r>
        <w:t xml:space="preserve"> </w:t>
      </w:r>
    </w:p>
    <w:p w:rsidR="00025683" w:rsidRDefault="007C2AAB">
      <w:pPr>
        <w:ind w:left="14" w:right="200"/>
      </w:pPr>
      <w:r>
        <w:t xml:space="preserve">Vista la documentación que obra en el expediente para la aprobación inicial de este Plan Especial y que son los siguientes:  </w:t>
      </w:r>
    </w:p>
    <w:p w:rsidR="00025683" w:rsidRDefault="007C2AAB">
      <w:pPr>
        <w:spacing w:after="0" w:line="259" w:lineRule="auto"/>
        <w:ind w:left="14" w:firstLine="0"/>
        <w:jc w:val="left"/>
      </w:pPr>
      <w:r>
        <w:t xml:space="preserve"> </w:t>
      </w:r>
    </w:p>
    <w:p w:rsidR="00025683" w:rsidRDefault="007C2AAB">
      <w:pPr>
        <w:spacing w:after="170" w:line="259" w:lineRule="auto"/>
        <w:ind w:left="0" w:right="811" w:firstLine="0"/>
        <w:jc w:val="right"/>
      </w:pPr>
      <w:r>
        <w:rPr>
          <w:noProof/>
        </w:rPr>
        <w:drawing>
          <wp:inline distT="0" distB="0" distL="0" distR="0">
            <wp:extent cx="5393826" cy="4524532"/>
            <wp:effectExtent l="0" t="0" r="0" b="0"/>
            <wp:docPr id="13327" name="Picture 13327"/>
            <wp:cNvGraphicFramePr/>
            <a:graphic xmlns:a="http://schemas.openxmlformats.org/drawingml/2006/main">
              <a:graphicData uri="http://schemas.openxmlformats.org/drawingml/2006/picture">
                <pic:pic xmlns:pic="http://schemas.openxmlformats.org/drawingml/2006/picture">
                  <pic:nvPicPr>
                    <pic:cNvPr id="13327" name="Picture 13327"/>
                    <pic:cNvPicPr/>
                  </pic:nvPicPr>
                  <pic:blipFill>
                    <a:blip r:embed="rId67"/>
                    <a:stretch>
                      <a:fillRect/>
                    </a:stretch>
                  </pic:blipFill>
                  <pic:spPr>
                    <a:xfrm>
                      <a:off x="0" y="0"/>
                      <a:ext cx="5393826" cy="4524532"/>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4" w:line="259" w:lineRule="auto"/>
        <w:ind w:left="0" w:right="623" w:firstLine="0"/>
        <w:jc w:val="center"/>
      </w:pPr>
      <w:r>
        <w:t xml:space="preserve"> </w:t>
      </w:r>
    </w:p>
    <w:p w:rsidR="00025683" w:rsidRDefault="007C2AAB">
      <w:pPr>
        <w:ind w:left="14" w:right="200"/>
      </w:pPr>
      <w:r>
        <w:t xml:space="preserve">Consta </w:t>
      </w:r>
      <w:r>
        <w:t xml:space="preserve">en el expediente informe técnico emitido por la Arquitecta Municipal de fecha 16/12/2025 que transcrito literalmente dice: </w:t>
      </w:r>
    </w:p>
    <w:p w:rsidR="00025683" w:rsidRDefault="007C2AAB">
      <w:pPr>
        <w:spacing w:after="0" w:line="259" w:lineRule="auto"/>
        <w:ind w:left="14" w:firstLine="0"/>
        <w:jc w:val="left"/>
      </w:pPr>
      <w:r>
        <w:t xml:space="preserve"> </w:t>
      </w:r>
    </w:p>
    <w:p w:rsidR="00025683" w:rsidRDefault="007C2AAB">
      <w:pPr>
        <w:ind w:left="14" w:right="200"/>
      </w:pPr>
      <w:r>
        <w:t xml:space="preserve">“…Visto el expediente antedicho, Nayra Guzmán Hernández, arquitecta municipal, emite el siguiente informe: </w:t>
      </w:r>
    </w:p>
    <w:p w:rsidR="00025683" w:rsidRDefault="007C2AAB">
      <w:pPr>
        <w:spacing w:after="0" w:line="259" w:lineRule="auto"/>
        <w:ind w:left="14" w:firstLine="0"/>
        <w:jc w:val="left"/>
      </w:pPr>
      <w:r>
        <w:t xml:space="preserve"> </w:t>
      </w:r>
    </w:p>
    <w:p w:rsidR="00025683" w:rsidRDefault="007C2AAB">
      <w:pPr>
        <w:spacing w:line="249" w:lineRule="auto"/>
        <w:ind w:left="17" w:right="198" w:hanging="10"/>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7496" name="Group 3974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330" name="Rectangle 13330"/>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331" name="Rectangle 13331"/>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332" name="Rectangle 13332"/>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93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7496" style="width:18.7031pt;height:260.874pt;position:absolute;mso-position-horizontal-relative:page;mso-position-horizontal:absolute;margin-left:662.928pt;mso-position-vertical-relative:page;margin-top:512.046pt;" coordsize="2375,33130">
                <v:rect id="Rectangle 13330"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331"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332"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350 </w:t>
                        </w:r>
                      </w:p>
                    </w:txbxContent>
                  </v:textbox>
                </v:rect>
                <w10:wrap type="square"/>
              </v:group>
            </w:pict>
          </mc:Fallback>
        </mc:AlternateContent>
      </w:r>
      <w:r>
        <w:rPr>
          <w:b/>
          <w:sz w:val="20"/>
        </w:rPr>
        <w:t>1.</w:t>
      </w:r>
      <w:r>
        <w:rPr>
          <w:b/>
          <w:sz w:val="23"/>
        </w:rPr>
        <w:t>ANTECEDENTES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numPr>
          <w:ilvl w:val="0"/>
          <w:numId w:val="30"/>
        </w:numPr>
        <w:ind w:right="200" w:hanging="360"/>
      </w:pPr>
      <w:r>
        <w:rPr>
          <w:sz w:val="23"/>
        </w:rPr>
        <w:t>Con fecha 3 de octubre de 2024 se dictó la Resolución n.º 64, en virtud de la cual se inició el procedimiento de evaluación ambiental estratégica ordinaria relativo al Plan Especial de Reforma Interior (PEPRI) de La Jiménez, en el término municipal de Cand</w:t>
      </w:r>
      <w:r>
        <w:rPr>
          <w:sz w:val="23"/>
        </w:rPr>
        <w:t>elaria y se sometió a consultas de las administraciones públicas afectadas y de las personas interesadas el documento inicial estratégico y el borrador del citado instrumento de ordenación urbanística. En consecuencia, se publica anuncio en el Boletín Ofic</w:t>
      </w:r>
      <w:r>
        <w:rPr>
          <w:sz w:val="23"/>
        </w:rPr>
        <w:t xml:space="preserve">ial de Canarias (BOC nº 216, de 29 de octubre de 2024) y en la web del Gobierno de Canarias.  </w:t>
      </w:r>
    </w:p>
    <w:p w:rsidR="00025683" w:rsidRDefault="007C2AAB">
      <w:pPr>
        <w:spacing w:after="4" w:line="259" w:lineRule="auto"/>
        <w:ind w:left="14" w:firstLine="0"/>
        <w:jc w:val="left"/>
      </w:pPr>
      <w:r>
        <w:rPr>
          <w:sz w:val="24"/>
        </w:rPr>
        <w:t xml:space="preserve"> </w:t>
      </w:r>
    </w:p>
    <w:p w:rsidR="00025683" w:rsidRDefault="007C2AAB">
      <w:pPr>
        <w:numPr>
          <w:ilvl w:val="0"/>
          <w:numId w:val="30"/>
        </w:numPr>
        <w:spacing w:line="249" w:lineRule="auto"/>
        <w:ind w:right="200" w:hanging="360"/>
      </w:pPr>
      <w:r>
        <w:rPr>
          <w:sz w:val="23"/>
        </w:rPr>
        <w:t>La Comisión Autonómica de Evaluación Ambiental, en sesión celebrada el 14 de marzo de 2025, acuerda formular, por delegación del Ayuntamiento de Candelaria, el</w:t>
      </w:r>
      <w:r>
        <w:rPr>
          <w:sz w:val="23"/>
        </w:rPr>
        <w:t xml:space="preserve"> </w:t>
      </w:r>
      <w:r>
        <w:rPr>
          <w:b/>
          <w:sz w:val="23"/>
        </w:rPr>
        <w:t>DOCUMENTO DE ALCANCE en el procedimiento de la Evaluación Ambiental Estratégica Ordinaria del Plan Especial de Reforma Interior de La Jiménez, en el Término Municipal de Candelaria que lo incorpora como Anexo.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numPr>
          <w:ilvl w:val="0"/>
          <w:numId w:val="31"/>
        </w:numPr>
        <w:spacing w:line="249" w:lineRule="auto"/>
        <w:ind w:left="672" w:right="198" w:hanging="665"/>
      </w:pPr>
      <w:r>
        <w:rPr>
          <w:b/>
          <w:sz w:val="23"/>
        </w:rPr>
        <w:t>DOCUMENTACIÓN INTEGRANTE DE LA APROBACIO</w:t>
      </w:r>
      <w:r>
        <w:rPr>
          <w:b/>
          <w:sz w:val="23"/>
        </w:rPr>
        <w:t>N INICIAL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237"/>
        <w:ind w:left="21" w:right="696"/>
      </w:pPr>
      <w:r>
        <w:rPr>
          <w:sz w:val="23"/>
        </w:rPr>
        <w:t>Con fecha 3 de diciembre de 2025 y con registro de entrada 2025-E-RE-10757 Eva María Latorre Sánchez, en representación de GESPLAN S.A, aporta los siguientes documentos, para la aprobación inicial y Evaluación Ambiental Estratégica:</w:t>
      </w:r>
      <w:r>
        <w:rPr>
          <w:rFonts w:ascii="Times New Roman" w:eastAsia="Times New Roman" w:hAnsi="Times New Roman" w:cs="Times New Roman"/>
          <w:sz w:val="24"/>
        </w:rPr>
        <w:t xml:space="preserve"> </w:t>
      </w:r>
    </w:p>
    <w:p w:rsidR="00025683" w:rsidRDefault="007C2AAB">
      <w:pPr>
        <w:spacing w:after="253" w:line="259" w:lineRule="auto"/>
        <w:ind w:left="0" w:right="623" w:firstLine="0"/>
        <w:jc w:val="center"/>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7478" name="Group 39747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393" name="Rectangle 13393"/>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394" name="Rectangle 13394"/>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395" name="Rectangle 13395"/>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94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7478" style="width:18.7031pt;height:260.874pt;position:absolute;mso-position-horizontal-relative:page;mso-position-horizontal:absolute;margin-left:662.928pt;mso-position-vertical-relative:page;margin-top:512.046pt;" coordsize="2375,33130">
                <v:rect id="Rectangle 13393"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394"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395"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350 </w:t>
                        </w:r>
                      </w:p>
                    </w:txbxContent>
                  </v:textbox>
                </v:rect>
                <w10:wrap type="topAndBottom"/>
              </v:group>
            </w:pict>
          </mc:Fallback>
        </mc:AlternateContent>
      </w:r>
      <w:r>
        <w:t xml:space="preserve"> </w:t>
      </w:r>
    </w:p>
    <w:p w:rsidR="00025683" w:rsidRDefault="007C2AAB">
      <w:pPr>
        <w:spacing w:after="185" w:line="259" w:lineRule="auto"/>
        <w:ind w:left="0" w:right="811" w:firstLine="0"/>
        <w:jc w:val="right"/>
      </w:pPr>
      <w:r>
        <w:rPr>
          <w:noProof/>
        </w:rPr>
        <w:drawing>
          <wp:inline distT="0" distB="0" distL="0" distR="0">
            <wp:extent cx="5393827" cy="4657114"/>
            <wp:effectExtent l="0" t="0" r="0" b="0"/>
            <wp:docPr id="13390" name="Picture 13390"/>
            <wp:cNvGraphicFramePr/>
            <a:graphic xmlns:a="http://schemas.openxmlformats.org/drawingml/2006/main">
              <a:graphicData uri="http://schemas.openxmlformats.org/drawingml/2006/picture">
                <pic:pic xmlns:pic="http://schemas.openxmlformats.org/drawingml/2006/picture">
                  <pic:nvPicPr>
                    <pic:cNvPr id="13390" name="Picture 13390"/>
                    <pic:cNvPicPr/>
                  </pic:nvPicPr>
                  <pic:blipFill>
                    <a:blip r:embed="rId67"/>
                    <a:stretch>
                      <a:fillRect/>
                    </a:stretch>
                  </pic:blipFill>
                  <pic:spPr>
                    <a:xfrm>
                      <a:off x="0" y="0"/>
                      <a:ext cx="5393827" cy="4657114"/>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numPr>
          <w:ilvl w:val="0"/>
          <w:numId w:val="31"/>
        </w:numPr>
        <w:spacing w:line="249" w:lineRule="auto"/>
        <w:ind w:left="672" w:right="198" w:hanging="665"/>
      </w:pPr>
      <w:r>
        <w:rPr>
          <w:b/>
          <w:sz w:val="23"/>
        </w:rPr>
        <w:t xml:space="preserve">NORMATIVA URBANISTICA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El plan general adscribe la </w:t>
      </w:r>
      <w:r>
        <w:rPr>
          <w:sz w:val="23"/>
        </w:rPr>
        <w:t xml:space="preserve">totalidad del ámbito del Plan Especial de Reforma Interior de La Jiménez a las siguientes clases y categorías de suelo:  </w:t>
      </w:r>
    </w:p>
    <w:p w:rsidR="00025683" w:rsidRDefault="007C2AAB">
      <w:pPr>
        <w:spacing w:after="15" w:line="259" w:lineRule="auto"/>
        <w:ind w:left="14" w:firstLine="0"/>
        <w:jc w:val="left"/>
      </w:pPr>
      <w:r>
        <w:rPr>
          <w:sz w:val="23"/>
        </w:rPr>
        <w:t xml:space="preserve"> </w:t>
      </w:r>
    </w:p>
    <w:p w:rsidR="00025683" w:rsidRDefault="007C2AAB">
      <w:pPr>
        <w:ind w:left="21" w:right="202"/>
      </w:pPr>
      <w:r>
        <w:rPr>
          <w:sz w:val="23"/>
        </w:rPr>
        <w:t xml:space="preserve">    •Suelo urbano al suelo urbano en la categoría de interés cultural (SUCU-IC)  </w:t>
      </w:r>
    </w:p>
    <w:p w:rsidR="00025683" w:rsidRDefault="007C2AAB">
      <w:pPr>
        <w:spacing w:after="7" w:line="259" w:lineRule="auto"/>
        <w:ind w:left="14" w:firstLine="0"/>
        <w:jc w:val="left"/>
      </w:pPr>
      <w:r>
        <w:rPr>
          <w:sz w:val="23"/>
        </w:rPr>
        <w:t xml:space="preserve"> </w:t>
      </w:r>
    </w:p>
    <w:p w:rsidR="00025683" w:rsidRDefault="007C2AAB">
      <w:pPr>
        <w:ind w:left="21" w:right="202"/>
      </w:pPr>
      <w:r>
        <w:rPr>
          <w:sz w:val="23"/>
        </w:rPr>
        <w:t xml:space="preserve">    </w:t>
      </w:r>
      <w:r>
        <w:rPr>
          <w:sz w:val="23"/>
        </w:rPr>
        <w:t xml:space="preserve">•Suelo Rústico de Protección Agrícola Tradicional (SRPAG-1) adscribe la zona agrícola de bancales que rodea al núcleo  </w:t>
      </w:r>
    </w:p>
    <w:p w:rsidR="00025683" w:rsidRDefault="007C2AAB">
      <w:pPr>
        <w:spacing w:after="11" w:line="259" w:lineRule="auto"/>
        <w:ind w:left="14" w:firstLine="0"/>
        <w:jc w:val="left"/>
      </w:pPr>
      <w:r>
        <w:rPr>
          <w:sz w:val="23"/>
        </w:rPr>
        <w:t xml:space="preserve"> </w:t>
      </w:r>
    </w:p>
    <w:p w:rsidR="00025683" w:rsidRDefault="007C2AAB">
      <w:pPr>
        <w:ind w:left="21" w:right="202"/>
      </w:pPr>
      <w:r>
        <w:rPr>
          <w:sz w:val="23"/>
        </w:rPr>
        <w:t xml:space="preserve">    •Suelo Rústico de Protección Ambiental, protección de barrancos (SRPN-3), los cauces de los barrancos localizados en el ámbito.  </w:t>
      </w:r>
    </w:p>
    <w:p w:rsidR="00025683" w:rsidRDefault="007C2AAB">
      <w:pPr>
        <w:spacing w:after="0" w:line="259" w:lineRule="auto"/>
        <w:ind w:left="14" w:firstLine="0"/>
        <w:jc w:val="left"/>
      </w:pPr>
      <w:r>
        <w:rPr>
          <w:sz w:val="23"/>
        </w:rPr>
        <w:t xml:space="preserve"> </w:t>
      </w:r>
    </w:p>
    <w:p w:rsidR="00025683" w:rsidRDefault="007C2AAB">
      <w:pPr>
        <w:spacing w:after="248"/>
        <w:ind w:left="21" w:right="698"/>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7662" name="Group 3976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466" name="Rectangle 13466"/>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467" name="Rectangle 13467"/>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468" name="Rectangle 13468"/>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95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7662" style="width:18.7031pt;height:260.874pt;position:absolute;mso-position-horizontal-relative:page;mso-position-horizontal:absolute;margin-left:662.928pt;mso-position-vertical-relative:page;margin-top:512.046pt;" coordsize="2375,33130">
                <v:rect id="Rectangle 13466"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467"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468"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350 </w:t>
                        </w:r>
                      </w:p>
                    </w:txbxContent>
                  </v:textbox>
                </v:rect>
                <w10:wrap type="topAndBottom"/>
              </v:group>
            </w:pict>
          </mc:Fallback>
        </mc:AlternateContent>
      </w:r>
      <w:r>
        <w:rPr>
          <w:sz w:val="23"/>
        </w:rPr>
        <w:t xml:space="preserve">Parte del ámbito del Plan Especial está afectado por el </w:t>
      </w:r>
      <w:r>
        <w:rPr>
          <w:sz w:val="23"/>
        </w:rPr>
        <w:t>Sitio Histórico "El Camino de Candelaria" declarado Bien de Interés Cultural (BIC) por el Decreto 227/2008, de 25 de noviembre (BOC nº 2008/245. Martes 9 de diciembre de 2008, incluyendo no solo el camino tradicional, sino que abarca también parte del barr</w:t>
      </w:r>
      <w:r>
        <w:rPr>
          <w:sz w:val="23"/>
        </w:rPr>
        <w:t>io de La Jiménez.</w:t>
      </w:r>
      <w:r>
        <w:rPr>
          <w:rFonts w:ascii="Times New Roman" w:eastAsia="Times New Roman" w:hAnsi="Times New Roman" w:cs="Times New Roman"/>
          <w:sz w:val="24"/>
        </w:rPr>
        <w:t xml:space="preserve"> </w:t>
      </w:r>
    </w:p>
    <w:p w:rsidR="00025683" w:rsidRDefault="007C2AAB">
      <w:pPr>
        <w:spacing w:after="0" w:line="259" w:lineRule="auto"/>
        <w:ind w:left="0" w:right="988" w:firstLine="0"/>
        <w:jc w:val="right"/>
      </w:pPr>
      <w:r>
        <w:rPr>
          <w:noProof/>
        </w:rPr>
        <w:drawing>
          <wp:inline distT="0" distB="0" distL="0" distR="0">
            <wp:extent cx="5394725" cy="4085873"/>
            <wp:effectExtent l="0" t="0" r="0" b="0"/>
            <wp:docPr id="13463" name="Picture 13463"/>
            <wp:cNvGraphicFramePr/>
            <a:graphic xmlns:a="http://schemas.openxmlformats.org/drawingml/2006/main">
              <a:graphicData uri="http://schemas.openxmlformats.org/drawingml/2006/picture">
                <pic:pic xmlns:pic="http://schemas.openxmlformats.org/drawingml/2006/picture">
                  <pic:nvPicPr>
                    <pic:cNvPr id="13463" name="Picture 13463"/>
                    <pic:cNvPicPr/>
                  </pic:nvPicPr>
                  <pic:blipFill>
                    <a:blip r:embed="rId68"/>
                    <a:stretch>
                      <a:fillRect/>
                    </a:stretch>
                  </pic:blipFill>
                  <pic:spPr>
                    <a:xfrm>
                      <a:off x="0" y="0"/>
                      <a:ext cx="5394725" cy="4085873"/>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187" w:line="259" w:lineRule="auto"/>
        <w:ind w:left="0" w:right="988" w:firstLine="0"/>
        <w:jc w:val="right"/>
      </w:pPr>
      <w:r>
        <w:rPr>
          <w:rFonts w:ascii="Calibri" w:eastAsia="Calibri" w:hAnsi="Calibri" w:cs="Calibri"/>
          <w:noProof/>
        </w:rPr>
        <mc:AlternateContent>
          <mc:Choice Requires="wpg">
            <w:drawing>
              <wp:inline distT="0" distB="0" distL="0" distR="0">
                <wp:extent cx="5400965" cy="5264125"/>
                <wp:effectExtent l="0" t="0" r="0" b="0"/>
                <wp:docPr id="397809" name="Group 397809"/>
                <wp:cNvGraphicFramePr/>
                <a:graphic xmlns:a="http://schemas.openxmlformats.org/drawingml/2006/main">
                  <a:graphicData uri="http://schemas.microsoft.com/office/word/2010/wordprocessingGroup">
                    <wpg:wgp>
                      <wpg:cNvGrpSpPr/>
                      <wpg:grpSpPr>
                        <a:xfrm>
                          <a:off x="0" y="0"/>
                          <a:ext cx="5400965" cy="5264125"/>
                          <a:chOff x="0" y="0"/>
                          <a:chExt cx="5400965" cy="5264125"/>
                        </a:xfrm>
                      </wpg:grpSpPr>
                      <wps:wsp>
                        <wps:cNvPr id="13501" name="Rectangle 13501"/>
                        <wps:cNvSpPr/>
                        <wps:spPr>
                          <a:xfrm>
                            <a:off x="1638554" y="4109390"/>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502" name="Rectangle 13502"/>
                        <wps:cNvSpPr/>
                        <wps:spPr>
                          <a:xfrm>
                            <a:off x="2885567" y="5095418"/>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527" name="Picture 13527"/>
                          <pic:cNvPicPr/>
                        </pic:nvPicPr>
                        <pic:blipFill>
                          <a:blip r:embed="rId69"/>
                          <a:stretch>
                            <a:fillRect/>
                          </a:stretch>
                        </pic:blipFill>
                        <pic:spPr>
                          <a:xfrm>
                            <a:off x="0" y="0"/>
                            <a:ext cx="5400965" cy="3639350"/>
                          </a:xfrm>
                          <a:prstGeom prst="rect">
                            <a:avLst/>
                          </a:prstGeom>
                        </pic:spPr>
                      </pic:pic>
                      <pic:pic xmlns:pic="http://schemas.openxmlformats.org/drawingml/2006/picture">
                        <pic:nvPicPr>
                          <pic:cNvPr id="13529" name="Picture 13529"/>
                          <pic:cNvPicPr/>
                        </pic:nvPicPr>
                        <pic:blipFill>
                          <a:blip r:embed="rId70"/>
                          <a:stretch>
                            <a:fillRect/>
                          </a:stretch>
                        </pic:blipFill>
                        <pic:spPr>
                          <a:xfrm>
                            <a:off x="0" y="3806908"/>
                            <a:ext cx="1600868" cy="437562"/>
                          </a:xfrm>
                          <a:prstGeom prst="rect">
                            <a:avLst/>
                          </a:prstGeom>
                        </pic:spPr>
                      </pic:pic>
                      <pic:pic xmlns:pic="http://schemas.openxmlformats.org/drawingml/2006/picture">
                        <pic:nvPicPr>
                          <pic:cNvPr id="13531" name="Picture 13531"/>
                          <pic:cNvPicPr/>
                        </pic:nvPicPr>
                        <pic:blipFill>
                          <a:blip r:embed="rId71"/>
                          <a:stretch>
                            <a:fillRect/>
                          </a:stretch>
                        </pic:blipFill>
                        <pic:spPr>
                          <a:xfrm>
                            <a:off x="0" y="4411937"/>
                            <a:ext cx="2886456" cy="809336"/>
                          </a:xfrm>
                          <a:prstGeom prst="rect">
                            <a:avLst/>
                          </a:prstGeom>
                        </pic:spPr>
                      </pic:pic>
                    </wpg:wgp>
                  </a:graphicData>
                </a:graphic>
              </wp:inline>
            </w:drawing>
          </mc:Choice>
          <mc:Fallback xmlns:a="http://schemas.openxmlformats.org/drawingml/2006/main">
            <w:pict>
              <v:group id="Group 397809" style="width:425.273pt;height:414.498pt;mso-position-horizontal-relative:char;mso-position-vertical-relative:line" coordsize="54009,52641">
                <v:rect id="Rectangle 13501" style="position:absolute;width:506;height:2243;left:16385;top:4109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3502" style="position:absolute;width:506;height:2243;left:28855;top:5095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3527" style="position:absolute;width:54009;height:36393;left:0;top:0;" filled="f">
                  <v:imagedata r:id="rId72"/>
                </v:shape>
                <v:shape id="Picture 13529" style="position:absolute;width:16008;height:4375;left:0;top:38069;" filled="f">
                  <v:imagedata r:id="rId73"/>
                </v:shape>
                <v:shape id="Picture 13531" style="position:absolute;width:28864;height:8093;left:0;top:44119;" filled="f">
                  <v:imagedata r:id="rId74"/>
                </v:shape>
              </v:group>
            </w:pict>
          </mc:Fallback>
        </mc:AlternateConten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12"/>
        <w:ind w:left="22" w:right="197"/>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7810" name="Group 3978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534" name="Rectangle 13534"/>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535" name="Rectangle 13535"/>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536" name="Rectangle 13536"/>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96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7810" style="width:18.7031pt;height:260.874pt;position:absolute;mso-position-horizontal-relative:page;mso-position-horizontal:absolute;margin-left:662.928pt;mso-position-vertical-relative:page;margin-top:512.046pt;" coordsize="2375,33130">
                <v:rect id="Rectangle 13534"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535"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536"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350 </w:t>
                        </w:r>
                      </w:p>
                    </w:txbxContent>
                  </v:textbox>
                </v:rect>
                <w10:wrap type="square"/>
              </v:group>
            </w:pict>
          </mc:Fallback>
        </mc:AlternateContent>
      </w:r>
      <w:r>
        <w:rPr>
          <w:b/>
          <w:sz w:val="20"/>
        </w:rPr>
        <w:t>4.</w:t>
      </w:r>
      <w:r>
        <w:rPr>
          <w:b/>
        </w:rPr>
        <w:t>ALTERNATIVA SELECCIONADA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7" w:hanging="10"/>
        <w:jc w:val="left"/>
      </w:pPr>
      <w:r>
        <w:rPr>
          <w:b/>
          <w:sz w:val="20"/>
        </w:rPr>
        <w:t>ALTERNATIVA 2: GARANTIZAR LA CONSERVACIÓN DE LOS VALORES PATRIMONIALES Y PRO-</w:t>
      </w:r>
    </w:p>
    <w:p w:rsidR="00025683" w:rsidRDefault="007C2AAB">
      <w:pPr>
        <w:spacing w:after="0" w:line="259" w:lineRule="auto"/>
        <w:ind w:left="17" w:hanging="10"/>
        <w:jc w:val="left"/>
      </w:pPr>
      <w:r>
        <w:rPr>
          <w:b/>
          <w:sz w:val="20"/>
        </w:rPr>
        <w:t xml:space="preserve">MOVER LA PROXIMIDAD DE LOS SERVICIOS </w:t>
      </w:r>
    </w:p>
    <w:p w:rsidR="00025683" w:rsidRDefault="007C2AAB">
      <w:pPr>
        <w:spacing w:after="12" w:line="259" w:lineRule="auto"/>
        <w:ind w:left="14" w:firstLine="0"/>
        <w:jc w:val="left"/>
      </w:pPr>
      <w:r>
        <w:rPr>
          <w:sz w:val="20"/>
        </w:rPr>
        <w:t xml:space="preserve"> </w:t>
      </w:r>
    </w:p>
    <w:p w:rsidR="00025683" w:rsidRDefault="007C2AAB">
      <w:pPr>
        <w:ind w:left="21" w:right="202"/>
      </w:pPr>
      <w:r>
        <w:rPr>
          <w:sz w:val="23"/>
        </w:rPr>
        <w:t>La alternativa 2 amplia el ámbito que delimita el Plan General, derivado del análisis histórico y constatada l</w:t>
      </w:r>
      <w:r>
        <w:rPr>
          <w:sz w:val="23"/>
        </w:rPr>
        <w:t xml:space="preserve">a existencia de valores patrimoniales en la Calle Reverendo Padre Simón Higuera, se propone la inclusión de las parcelas con frente a esta vía hasta la Iglesia de Igueste de Candelaria y su plaza anexa.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La inclusión de estos recintos viene motivada, principalmente, por la vinculación histórica con el </w:t>
      </w:r>
      <w:r>
        <w:rPr>
          <w:i/>
          <w:sz w:val="23"/>
        </w:rPr>
        <w:t>Camino de La Virgen</w:t>
      </w:r>
      <w:r>
        <w:rPr>
          <w:sz w:val="23"/>
        </w:rPr>
        <w:t>, siendo parte del recorrido de peregrinación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Esta alternativa se plantea con una visión estratégica, para lograr un mayor alcance en l</w:t>
      </w:r>
      <w:r>
        <w:rPr>
          <w:sz w:val="23"/>
        </w:rPr>
        <w:t xml:space="preserve">a ordenación y, por tanto, de los objetivos específicos del plan especial. Se trata de una </w:t>
      </w:r>
      <w:r>
        <w:rPr>
          <w:b/>
          <w:sz w:val="23"/>
        </w:rPr>
        <w:t xml:space="preserve">zona estratégica </w:t>
      </w:r>
      <w:r>
        <w:rPr>
          <w:sz w:val="23"/>
        </w:rPr>
        <w:t xml:space="preserve">donde se plantearía una tipología diferenciada del Caserío Tradicional estableciendo una mayor flexibilidad de los parámetros urbanísticos. De este </w:t>
      </w:r>
      <w:r>
        <w:rPr>
          <w:sz w:val="23"/>
        </w:rPr>
        <w:t xml:space="preserve">modo se promueve el desarrollo de otros </w:t>
      </w:r>
      <w:r>
        <w:rPr>
          <w:b/>
          <w:sz w:val="23"/>
        </w:rPr>
        <w:t>usos terciarios que garanticen la proximidad de la actividad cotidiana</w:t>
      </w:r>
      <w:r>
        <w:rPr>
          <w:sz w:val="23"/>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La incorporación de estos recintos supone </w:t>
      </w:r>
      <w:r>
        <w:rPr>
          <w:b/>
          <w:sz w:val="23"/>
        </w:rPr>
        <w:t xml:space="preserve">un incremento de 18% </w:t>
      </w:r>
      <w:r>
        <w:rPr>
          <w:sz w:val="23"/>
        </w:rPr>
        <w:t>del total del ámbito del plan especial respecto a la delimitación definida en</w:t>
      </w:r>
      <w:r>
        <w:rPr>
          <w:sz w:val="23"/>
        </w:rPr>
        <w:t xml:space="preserve"> el plan general, sumando una superficie total de </w:t>
      </w:r>
      <w:r>
        <w:rPr>
          <w:b/>
          <w:sz w:val="23"/>
        </w:rPr>
        <w:t>141.567,42 m²</w:t>
      </w:r>
      <w:r>
        <w:rPr>
          <w:sz w:val="23"/>
        </w:rPr>
        <w:t>. La ampliación que se propone no implica una modificación de la clase de suelo.</w:t>
      </w:r>
      <w:r>
        <w:rPr>
          <w:rFonts w:ascii="Times New Roman" w:eastAsia="Times New Roman" w:hAnsi="Times New Roman" w:cs="Times New Roman"/>
          <w:sz w:val="24"/>
        </w:rPr>
        <w:t xml:space="preserve"> </w:t>
      </w:r>
    </w:p>
    <w:p w:rsidR="00025683" w:rsidRDefault="007C2AAB">
      <w:pPr>
        <w:ind w:left="21" w:right="202"/>
      </w:pPr>
      <w:r>
        <w:rPr>
          <w:sz w:val="23"/>
        </w:rPr>
        <w:t>Con la ampliación del ámbito, se amplía el alcance de los objetivos específicos del plan especial desde tres pu</w:t>
      </w:r>
      <w:r>
        <w:rPr>
          <w:sz w:val="23"/>
        </w:rPr>
        <w:t xml:space="preserve">ntos de vista: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397855" name="Group 39785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625" name="Rectangle 13625"/>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626" name="Rectangle 13626"/>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627" name="Rectangle 13627"/>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97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7855" style="width:18.7031pt;height:260.874pt;position:absolute;mso-position-horizontal-relative:page;mso-position-horizontal:absolute;margin-left:662.928pt;mso-position-vertical-relative:page;margin-top:512.046pt;" coordsize="2375,33130">
                <v:rect id="Rectangle 13625"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62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62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350 </w:t>
                        </w:r>
                      </w:p>
                    </w:txbxContent>
                  </v:textbox>
                </v:rect>
                <w10:wrap type="topAndBottom"/>
              </v:group>
            </w:pict>
          </mc:Fallback>
        </mc:AlternateContent>
      </w:r>
      <w:r>
        <w:rPr>
          <w:rFonts w:ascii="Times New Roman" w:eastAsia="Times New Roman" w:hAnsi="Times New Roman" w:cs="Times New Roman"/>
          <w:sz w:val="23"/>
        </w:rPr>
        <w:t xml:space="preserve">       •</w:t>
      </w:r>
      <w:r>
        <w:rPr>
          <w:b/>
          <w:sz w:val="23"/>
        </w:rPr>
        <w:t xml:space="preserve">Preservación de los valores patrimoniales, </w:t>
      </w:r>
      <w:r>
        <w:rPr>
          <w:sz w:val="23"/>
        </w:rPr>
        <w:t>ya que se incluye un número considerable de bienes que requieren de una protección especial al encontrarse, actualmente, en peligro de desaparición.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b/>
          <w:sz w:val="23"/>
        </w:rPr>
        <w:t>Paisajístico</w:t>
      </w:r>
      <w:r>
        <w:rPr>
          <w:sz w:val="23"/>
        </w:rPr>
        <w:t xml:space="preserve">, se han incluido parcelas vinculadas al </w:t>
      </w:r>
      <w:r>
        <w:rPr>
          <w:sz w:val="23"/>
        </w:rPr>
        <w:t>caserío tradicional donde se aprecian las características propias del paisaje rural y que se excluyeron del ámbito definido por el plan general.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b/>
          <w:sz w:val="23"/>
        </w:rPr>
        <w:t>La Movilidad</w:t>
      </w:r>
      <w:r>
        <w:rPr>
          <w:sz w:val="23"/>
        </w:rPr>
        <w:t>, la inclusión de la calle Reverendo Padre Simón Higuera garantiza la funcionalidad de to</w:t>
      </w:r>
      <w:r>
        <w:rPr>
          <w:sz w:val="23"/>
        </w:rPr>
        <w:t>do el sistema viario del Barrio de La Jiménez con una visión global. Este elemento resulta clave mejorar la relación del caserío con los equipamientos y áreas libres localizadas en el entorno de la iglesia. Concretamente; la plaza de La Libertad, el centro</w:t>
      </w:r>
      <w:r>
        <w:rPr>
          <w:sz w:val="23"/>
        </w:rPr>
        <w:t xml:space="preserve"> cultural multifuncional “Porfirio Torres Cruz”, un parque infantil, la iglesia y plaza anexa y el terrero de lucha.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0" w:right="1015" w:firstLine="0"/>
        <w:jc w:val="right"/>
      </w:pPr>
      <w:r>
        <w:rPr>
          <w:noProof/>
        </w:rPr>
        <w:drawing>
          <wp:inline distT="0" distB="0" distL="0" distR="0">
            <wp:extent cx="5383905" cy="4191099"/>
            <wp:effectExtent l="0" t="0" r="0" b="0"/>
            <wp:docPr id="13686" name="Picture 13686"/>
            <wp:cNvGraphicFramePr/>
            <a:graphic xmlns:a="http://schemas.openxmlformats.org/drawingml/2006/main">
              <a:graphicData uri="http://schemas.openxmlformats.org/drawingml/2006/picture">
                <pic:pic xmlns:pic="http://schemas.openxmlformats.org/drawingml/2006/picture">
                  <pic:nvPicPr>
                    <pic:cNvPr id="13686" name="Picture 13686"/>
                    <pic:cNvPicPr/>
                  </pic:nvPicPr>
                  <pic:blipFill>
                    <a:blip r:embed="rId75"/>
                    <a:stretch>
                      <a:fillRect/>
                    </a:stretch>
                  </pic:blipFill>
                  <pic:spPr>
                    <a:xfrm>
                      <a:off x="0" y="0"/>
                      <a:ext cx="5383905" cy="4191099"/>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35" w:line="259" w:lineRule="auto"/>
        <w:ind w:left="10" w:hanging="10"/>
        <w:jc w:val="left"/>
      </w:pPr>
      <w:r>
        <w:rPr>
          <w:b/>
          <w:sz w:val="18"/>
        </w:rPr>
        <w:t>ALTERNATIVA 2 SELECCIONADA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El objetivo sería la regulación de las condiciones estéticas y de ornato de los inmuebles y espacios públicos incluidos en el ámbito del plan especial considerando lo siguiente:  </w:t>
      </w:r>
    </w:p>
    <w:p w:rsidR="00025683" w:rsidRDefault="007C2AAB">
      <w:pPr>
        <w:spacing w:after="18" w:line="259" w:lineRule="auto"/>
        <w:ind w:left="14" w:firstLine="0"/>
        <w:jc w:val="left"/>
      </w:pPr>
      <w:r>
        <w:rPr>
          <w:sz w:val="23"/>
        </w:rPr>
        <w:t xml:space="preserve"> </w:t>
      </w:r>
    </w:p>
    <w:p w:rsidR="00025683" w:rsidRDefault="007C2AAB">
      <w:pPr>
        <w:numPr>
          <w:ilvl w:val="0"/>
          <w:numId w:val="32"/>
        </w:numPr>
        <w:spacing w:after="162"/>
        <w:ind w:right="202" w:hanging="146"/>
      </w:pPr>
      <w:r>
        <w:rPr>
          <w:sz w:val="23"/>
        </w:rPr>
        <w:t xml:space="preserve">Actuaciones en los paramentos exteriores de la edificación.  </w:t>
      </w:r>
    </w:p>
    <w:p w:rsidR="00025683" w:rsidRDefault="007C2AAB">
      <w:pPr>
        <w:numPr>
          <w:ilvl w:val="0"/>
          <w:numId w:val="32"/>
        </w:numPr>
        <w:spacing w:after="161"/>
        <w:ind w:right="202" w:hanging="146"/>
      </w:pPr>
      <w:r>
        <w:rPr>
          <w:sz w:val="23"/>
        </w:rPr>
        <w:t xml:space="preserve">Actuaciones en la cubierta.  </w:t>
      </w:r>
    </w:p>
    <w:p w:rsidR="00025683" w:rsidRDefault="007C2AAB">
      <w:pPr>
        <w:numPr>
          <w:ilvl w:val="0"/>
          <w:numId w:val="32"/>
        </w:numPr>
        <w:spacing w:after="141"/>
        <w:ind w:right="202" w:hanging="146"/>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7710" name="Group 3977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689" name="Rectangle 13689"/>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690" name="Rectangle 13690"/>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691" name="Rectangle 13691"/>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98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7710" style="width:18.7031pt;height:260.874pt;position:absolute;mso-position-horizontal-relative:page;mso-position-horizontal:absolute;margin-left:662.928pt;mso-position-vertical-relative:page;margin-top:512.046pt;" coordsize="2375,33130">
                <v:rect id="Rectangle 13689"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690"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691"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350 </w:t>
                        </w:r>
                      </w:p>
                    </w:txbxContent>
                  </v:textbox>
                </v:rect>
                <w10:wrap type="square"/>
              </v:group>
            </w:pict>
          </mc:Fallback>
        </mc:AlternateContent>
      </w:r>
      <w:r>
        <w:rPr>
          <w:sz w:val="23"/>
        </w:rPr>
        <w:t>Actuaciones en las medianera</w:t>
      </w:r>
      <w:r>
        <w:rPr>
          <w:sz w:val="23"/>
        </w:rPr>
        <w:t xml:space="preserve">s.  </w:t>
      </w:r>
    </w:p>
    <w:p w:rsidR="00025683" w:rsidRDefault="007C2AAB">
      <w:pPr>
        <w:numPr>
          <w:ilvl w:val="0"/>
          <w:numId w:val="32"/>
        </w:numPr>
        <w:spacing w:after="161"/>
        <w:ind w:right="202" w:hanging="146"/>
      </w:pPr>
      <w:r>
        <w:rPr>
          <w:sz w:val="23"/>
        </w:rPr>
        <w:t xml:space="preserve">Actuaciones en la fachada.  </w:t>
      </w:r>
    </w:p>
    <w:p w:rsidR="00025683" w:rsidRDefault="007C2AAB">
      <w:pPr>
        <w:numPr>
          <w:ilvl w:val="0"/>
          <w:numId w:val="32"/>
        </w:numPr>
        <w:spacing w:after="161"/>
        <w:ind w:right="202" w:hanging="146"/>
      </w:pPr>
      <w:r>
        <w:rPr>
          <w:sz w:val="23"/>
        </w:rPr>
        <w:t xml:space="preserve">Consideraciones relativas al cromatismo.  </w:t>
      </w:r>
    </w:p>
    <w:p w:rsidR="00025683" w:rsidRDefault="007C2AAB">
      <w:pPr>
        <w:numPr>
          <w:ilvl w:val="0"/>
          <w:numId w:val="32"/>
        </w:numPr>
        <w:spacing w:after="162"/>
        <w:ind w:right="202" w:hanging="146"/>
      </w:pPr>
      <w:r>
        <w:rPr>
          <w:sz w:val="23"/>
        </w:rPr>
        <w:t xml:space="preserve">Composición de la fachada.  </w:t>
      </w:r>
    </w:p>
    <w:p w:rsidR="00025683" w:rsidRDefault="007C2AAB">
      <w:pPr>
        <w:numPr>
          <w:ilvl w:val="0"/>
          <w:numId w:val="32"/>
        </w:numPr>
        <w:spacing w:after="161"/>
        <w:ind w:right="202" w:hanging="146"/>
      </w:pPr>
      <w:r>
        <w:rPr>
          <w:sz w:val="23"/>
        </w:rPr>
        <w:t xml:space="preserve">Materiales.  </w:t>
      </w:r>
    </w:p>
    <w:p w:rsidR="00025683" w:rsidRDefault="007C2AAB">
      <w:pPr>
        <w:numPr>
          <w:ilvl w:val="0"/>
          <w:numId w:val="32"/>
        </w:numPr>
        <w:spacing w:after="161"/>
        <w:ind w:right="202" w:hanging="146"/>
      </w:pPr>
      <w:r>
        <w:rPr>
          <w:sz w:val="23"/>
        </w:rPr>
        <w:t xml:space="preserve">Elementos antepuestos y sobrepuestos, otros elementos decorativos.  </w:t>
      </w:r>
    </w:p>
    <w:p w:rsidR="00025683" w:rsidRDefault="007C2AAB">
      <w:pPr>
        <w:numPr>
          <w:ilvl w:val="0"/>
          <w:numId w:val="32"/>
        </w:numPr>
        <w:spacing w:after="164"/>
        <w:ind w:right="202" w:hanging="146"/>
      </w:pPr>
      <w:r>
        <w:rPr>
          <w:sz w:val="23"/>
        </w:rPr>
        <w:t xml:space="preserve">Carteles publicitarios.  </w:t>
      </w:r>
    </w:p>
    <w:p w:rsidR="00025683" w:rsidRDefault="007C2AAB">
      <w:pPr>
        <w:numPr>
          <w:ilvl w:val="0"/>
          <w:numId w:val="32"/>
        </w:numPr>
        <w:ind w:right="202" w:hanging="146"/>
      </w:pPr>
      <w:r>
        <w:rPr>
          <w:sz w:val="23"/>
        </w:rPr>
        <w:t xml:space="preserve">Instalaciones en fachada.  </w:t>
      </w:r>
    </w:p>
    <w:p w:rsidR="00025683" w:rsidRDefault="007C2AAB">
      <w:pPr>
        <w:numPr>
          <w:ilvl w:val="0"/>
          <w:numId w:val="32"/>
        </w:numPr>
        <w:spacing w:after="163"/>
        <w:ind w:right="202" w:hanging="146"/>
      </w:pPr>
      <w:r>
        <w:rPr>
          <w:sz w:val="23"/>
        </w:rPr>
        <w:t xml:space="preserve">Diseño de espacios libres. </w:t>
      </w:r>
    </w:p>
    <w:p w:rsidR="00025683" w:rsidRDefault="007C2AAB">
      <w:pPr>
        <w:numPr>
          <w:ilvl w:val="0"/>
          <w:numId w:val="32"/>
        </w:numPr>
        <w:spacing w:after="161"/>
        <w:ind w:right="202" w:hanging="146"/>
      </w:pPr>
      <w:r>
        <w:rPr>
          <w:sz w:val="23"/>
        </w:rPr>
        <w:t xml:space="preserve">Mobiliario urbano.  </w:t>
      </w:r>
    </w:p>
    <w:p w:rsidR="00025683" w:rsidRDefault="007C2AAB">
      <w:pPr>
        <w:numPr>
          <w:ilvl w:val="0"/>
          <w:numId w:val="32"/>
        </w:numPr>
        <w:spacing w:after="166"/>
        <w:ind w:right="202" w:hanging="146"/>
      </w:pPr>
      <w:r>
        <w:rPr>
          <w:sz w:val="23"/>
        </w:rPr>
        <w:t xml:space="preserve">Tratamiento de vías de plataforma única.  </w:t>
      </w:r>
    </w:p>
    <w:p w:rsidR="00025683" w:rsidRDefault="007C2AAB">
      <w:pPr>
        <w:numPr>
          <w:ilvl w:val="0"/>
          <w:numId w:val="32"/>
        </w:numPr>
        <w:spacing w:after="117"/>
        <w:ind w:right="202" w:hanging="146"/>
      </w:pPr>
      <w:r>
        <w:rPr>
          <w:sz w:val="23"/>
        </w:rPr>
        <w:t>Iluminación urbana.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line="249" w:lineRule="auto"/>
        <w:ind w:left="17" w:right="198" w:hanging="10"/>
      </w:pPr>
      <w:r>
        <w:rPr>
          <w:b/>
          <w:sz w:val="20"/>
        </w:rPr>
        <w:t>5.</w:t>
      </w:r>
      <w:r>
        <w:rPr>
          <w:b/>
          <w:sz w:val="23"/>
        </w:rPr>
        <w:t>OBJETO DEL PLAN ESPECIAL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Respecto a la ordenación, el plan especial como instrumento de desarrollo mantiene las clases y categorías del </w:t>
      </w:r>
      <w:r>
        <w:rPr>
          <w:sz w:val="23"/>
        </w:rPr>
        <w:t xml:space="preserve">suelo definidas por el plan general en el que incluyen suelo urbano consolidado y suelo rústico. </w:t>
      </w:r>
    </w:p>
    <w:p w:rsidR="00025683" w:rsidRDefault="007C2AAB">
      <w:pPr>
        <w:ind w:left="21" w:right="202"/>
      </w:pPr>
      <w:r>
        <w:rPr>
          <w:sz w:val="23"/>
        </w:rPr>
        <w:t xml:space="preserve">En base a estas clases de suelo, la ordenación del plan especial se dirige a garantizar la conservación de los valores patrimoniales y promover la proximidad </w:t>
      </w:r>
      <w:r>
        <w:rPr>
          <w:sz w:val="23"/>
        </w:rPr>
        <w:t xml:space="preserve">de los servicios existentes. En este sentido, cabe destacar las líneas estratégicas que se resumen a continuación: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Régimen de usos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Movilidad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Espacios Libres y Equipamientos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Regulación de la edificación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397944" name="Group 3979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805" name="Rectangle 13805"/>
                        <wps:cNvSpPr/>
                        <wps:spPr>
                          <a:xfrm rot="-5399999">
                            <a:off x="-1151584" y="204829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806" name="Rectangle 13806"/>
                        <wps:cNvSpPr/>
                        <wps:spPr>
                          <a:xfrm rot="-5399999">
                            <a:off x="-976166" y="214751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807" name="Rectangle 13807"/>
                        <wps:cNvSpPr/>
                        <wps:spPr>
                          <a:xfrm rot="-5399999">
                            <a:off x="-1994198" y="1053277"/>
                            <a:ext cx="440642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99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7944" style="width:18.7031pt;height:260.874pt;position:absolute;mso-position-horizontal-relative:page;mso-position-horizontal:absolute;margin-left:662.928pt;mso-position-vertical-relative:page;margin-top:512.046pt;" coordsize="2375,33130">
                <v:rect id="Rectangle 13805" style="position:absolute;width:24163;height:1132;left:-11515;top:2048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806" style="position:absolute;width:22179;height:1132;left:-9761;top:2147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807" style="position:absolute;width:44064;height:1132;left:-19941;top:1053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350 </w:t>
                        </w:r>
                      </w:p>
                    </w:txbxContent>
                  </v:textbox>
                </v:rect>
                <w10:wrap type="square"/>
              </v:group>
            </w:pict>
          </mc:Fallback>
        </mc:AlternateContent>
      </w: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Protección del Patrimonio: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rFonts w:ascii="Times New Roman" w:eastAsia="Times New Roman" w:hAnsi="Times New Roman" w:cs="Times New Roman"/>
          <w:sz w:val="23"/>
        </w:rPr>
        <w:t>•</w:t>
      </w:r>
      <w:r>
        <w:rPr>
          <w:sz w:val="23"/>
        </w:rPr>
        <w:t xml:space="preserve">Régimen cautelar de protección </w:t>
      </w:r>
      <w:r>
        <w:rPr>
          <w:rFonts w:ascii="Times New Roman" w:eastAsia="Times New Roman" w:hAnsi="Times New Roman" w:cs="Times New Roman"/>
          <w:sz w:val="24"/>
        </w:rPr>
        <w:t xml:space="preserve"> </w:t>
      </w:r>
    </w:p>
    <w:p w:rsidR="00025683" w:rsidRDefault="007C2AAB">
      <w:pPr>
        <w:spacing w:after="0" w:line="259" w:lineRule="auto"/>
        <w:ind w:left="19"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Inventario de Bienes Patrimoniales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Por un lado, para estas edificaciones identificadas en el inventario de bienes patrimoniales culturales del tomo I de información se establece un régimen específi</w:t>
      </w:r>
      <w:r>
        <w:rPr>
          <w:sz w:val="23"/>
        </w:rPr>
        <w:t xml:space="preserve">co transitorio, en tanto no se actualice el catálogo municipal vigente.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Por otro lado, se mejoran las condiciones del sistema de movilidad para mejorar su funcionalidad y aproximar los equipamientos existentes a las personas residentes en el caserío de </w:t>
      </w:r>
      <w:r>
        <w:rPr>
          <w:sz w:val="23"/>
        </w:rPr>
        <w:t xml:space="preserve">La Jiménez.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Paralelamente, se amplía la superficie de espacios libres y sus condiciones de accesibilidad para favorecer la integración paisajística del suelo urbano y garantizar el acceso a pequeñas zonas de estancia, localizadas a lo largo de las vías con pendientes </w:t>
      </w:r>
      <w:r>
        <w:rPr>
          <w:sz w:val="23"/>
        </w:rPr>
        <w:t xml:space="preserve">pronunciadas.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Se incorpora un nuevo equipamiento para rehabilitar una construcción con valores patrimoniales que formará parte de una estrategia de conexión del Lomo Acoroma, con los equipamientos y espacios libres existentes.  </w:t>
      </w:r>
    </w:p>
    <w:p w:rsidR="00025683" w:rsidRDefault="007C2AAB">
      <w:pPr>
        <w:spacing w:after="0" w:line="259" w:lineRule="auto"/>
        <w:ind w:left="10" w:firstLine="0"/>
        <w:jc w:val="left"/>
      </w:pPr>
      <w:r>
        <w:rPr>
          <w:sz w:val="23"/>
        </w:rPr>
        <w:t xml:space="preserve"> </w:t>
      </w:r>
    </w:p>
    <w:p w:rsidR="00025683" w:rsidRDefault="007C2AAB">
      <w:pPr>
        <w:spacing w:after="254"/>
        <w:ind w:left="21" w:right="700"/>
      </w:pPr>
      <w:r>
        <w:rPr>
          <w:sz w:val="23"/>
        </w:rPr>
        <w:t>Se promueve la flexib</w:t>
      </w:r>
      <w:r>
        <w:rPr>
          <w:sz w:val="23"/>
        </w:rPr>
        <w:t>ilización del uso residencial para permitir el desarrollo de modelos residenciales colaborativos como el cohousing, dada su creciente implantación y demanda.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12"/>
        <w:ind w:left="22" w:right="197"/>
      </w:pPr>
      <w:r>
        <w:rPr>
          <w:b/>
          <w:sz w:val="20"/>
        </w:rPr>
        <w:t>6.</w:t>
      </w:r>
      <w:r>
        <w:rPr>
          <w:b/>
        </w:rPr>
        <w:t>ACTUACIONES PROPUESTAS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21" w:right="202"/>
      </w:pPr>
      <w:r>
        <w:rPr>
          <w:sz w:val="23"/>
        </w:rPr>
        <w:t xml:space="preserve">La totalidad de las actuaciones urbanísticas </w:t>
      </w:r>
      <w:r>
        <w:rPr>
          <w:sz w:val="23"/>
        </w:rPr>
        <w:t xml:space="preserve">constituyen en los términos del artículo 259 de la LSENPC, actuaciones urbanísticas aisladas (AUA), a ejecutar como obras públicas ordinarias. </w:t>
      </w:r>
    </w:p>
    <w:p w:rsidR="00025683" w:rsidRDefault="007C2AAB">
      <w:pPr>
        <w:spacing w:after="0" w:line="259" w:lineRule="auto"/>
        <w:ind w:left="14" w:firstLine="0"/>
        <w:jc w:val="left"/>
      </w:pPr>
      <w:r>
        <w:rPr>
          <w:color w:val="8A1C3F"/>
          <w:sz w:val="23"/>
        </w:rPr>
        <w:t xml:space="preserve"> </w:t>
      </w:r>
    </w:p>
    <w:p w:rsidR="00025683" w:rsidRDefault="007C2AAB">
      <w:pPr>
        <w:numPr>
          <w:ilvl w:val="0"/>
          <w:numId w:val="33"/>
        </w:numPr>
        <w:ind w:right="202"/>
      </w:pPr>
      <w:r>
        <w:rPr>
          <w:b/>
          <w:sz w:val="23"/>
        </w:rPr>
        <w:t xml:space="preserve">Actuaciones de mejora y acondicionamiento de espacios libres y víarios existentes: </w:t>
      </w:r>
      <w:r>
        <w:rPr>
          <w:sz w:val="23"/>
        </w:rPr>
        <w:t xml:space="preserve">Se trata de intervenciones </w:t>
      </w:r>
      <w:r>
        <w:rPr>
          <w:sz w:val="23"/>
        </w:rPr>
        <w:t>en el espacio público donde las condiciones actuales hacen necesarias la ejecución de obras destinadas a mejorar la calidad del entorno urbano. Son obras de reparación de pavimentos en vías peatonales, rampas y escaleras, de sustitución de mobiliario urban</w:t>
      </w:r>
      <w:r>
        <w:rPr>
          <w:sz w:val="23"/>
        </w:rPr>
        <w:t xml:space="preserve">o y elementos de señalización en mal estado de conservación y obras de embellecimiento como pintado y reposición de vegetación. La finalidad de estas actuaciones es mejorar la accesibilidad, la seguridad y funcionalidad para todas las personas.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color w:val="8A1C3F"/>
          <w:sz w:val="23"/>
        </w:rPr>
        <w:t xml:space="preserve"> </w:t>
      </w:r>
    </w:p>
    <w:p w:rsidR="00025683" w:rsidRDefault="007C2AAB">
      <w:pPr>
        <w:numPr>
          <w:ilvl w:val="0"/>
          <w:numId w:val="33"/>
        </w:numPr>
        <w:ind w:right="202"/>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8208" name="Group 3982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912" name="Rectangle 1391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w:t>
                              </w:r>
                              <w:r>
                                <w:rPr>
                                  <w:sz w:val="12"/>
                                </w:rPr>
                                <w:t xml:space="preserve"> Validación: 3J3KYNW3CJM74AZ6SEHNT4KKY </w:t>
                              </w:r>
                            </w:p>
                          </w:txbxContent>
                        </wps:txbx>
                        <wps:bodyPr horzOverflow="overflow" vert="horz" lIns="0" tIns="0" rIns="0" bIns="0" rtlCol="0">
                          <a:noAutofit/>
                        </wps:bodyPr>
                      </wps:wsp>
                      <wps:wsp>
                        <wps:cNvPr id="13913" name="Rectangle 1391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914" name="Rectangle 1391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100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208" style="width:18.7031pt;height:264.21pt;position:absolute;mso-position-horizontal-relative:page;mso-position-horizontal:absolute;margin-left:662.928pt;mso-position-vertical-relative:page;margin-top:508.71pt;" coordsize="2375,33554">
                <v:rect id="Rectangle 1391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91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91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350 </w:t>
                        </w:r>
                      </w:p>
                    </w:txbxContent>
                  </v:textbox>
                </v:rect>
                <w10:wrap type="square"/>
              </v:group>
            </w:pict>
          </mc:Fallback>
        </mc:AlternateContent>
      </w:r>
      <w:r>
        <w:rPr>
          <w:b/>
          <w:sz w:val="23"/>
        </w:rPr>
        <w:t xml:space="preserve">Actuaciones de renovación y reforma de víarios existentes: </w:t>
      </w:r>
      <w:r>
        <w:rPr>
          <w:sz w:val="23"/>
        </w:rPr>
        <w:t>Se distinguen de las anteriores por el alcance de las obras, ya que implica una transformación integral del espacio público, tanto de la calidad ambiental, como de su funcionalidad. Además de reordenar las vías y sus elementos, estas actuaciones incluyen e</w:t>
      </w:r>
      <w:r>
        <w:rPr>
          <w:sz w:val="23"/>
        </w:rPr>
        <w:t xml:space="preserve">l soterramiento y mejora de las instalaciones existentes.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color w:val="8A1C3F"/>
          <w:sz w:val="23"/>
        </w:rPr>
        <w:t xml:space="preserve"> </w:t>
      </w:r>
    </w:p>
    <w:p w:rsidR="00025683" w:rsidRDefault="007C2AAB">
      <w:pPr>
        <w:numPr>
          <w:ilvl w:val="0"/>
          <w:numId w:val="33"/>
        </w:numPr>
        <w:ind w:right="202"/>
      </w:pPr>
      <w:r>
        <w:rPr>
          <w:b/>
          <w:sz w:val="23"/>
        </w:rPr>
        <w:t xml:space="preserve">Actuaciones para la obtención y ejecución de nuevos espacios libres, víarios y equipamientos: </w:t>
      </w:r>
      <w:r>
        <w:rPr>
          <w:sz w:val="23"/>
        </w:rPr>
        <w:t>Previo a la ejecución de los nuevos espacios libres, víarios y equipamientos definidos en la ordenac</w:t>
      </w:r>
      <w:r>
        <w:rPr>
          <w:sz w:val="23"/>
        </w:rPr>
        <w:t>ión, se llevará a cabo la obtención de estos suelos mediante el sistema de gestión definido en el programa de actuaciones. La finalidad de estas actuaciones es implementar el sistema de espacios libres denominados “apartaderos”, mejorar la funcionalidad de</w:t>
      </w:r>
      <w:r>
        <w:rPr>
          <w:sz w:val="23"/>
        </w:rPr>
        <w:t>l sistema víario conectando las calles La Jiménez - La Morrita y ampliar las dotaciones a través de la rehabilitación y ampliación de un inmueble con valores patrimoniales culturales, a la vez que se mejora la conexión de Lomo Acoroma con la calle El Pico.</w:t>
      </w:r>
      <w:r>
        <w:rPr>
          <w:sz w:val="23"/>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Las actuaciones en el espacio público que se proponen en el plan se representan en el plano de ordenación OP-4 “Actuaciones urbanísticas aisladas”, identificadas con un código (AUAnº), su denominación y el objeto que la definen. Se describen en el Pro</w:t>
      </w:r>
      <w:r>
        <w:rPr>
          <w:sz w:val="23"/>
        </w:rPr>
        <w:t xml:space="preserve">grama de Actuaciones incorporado al Tomo II.5 “Estudio Económico Financiero”.  </w:t>
      </w:r>
    </w:p>
    <w:p w:rsidR="00025683" w:rsidRDefault="007C2AAB">
      <w:pPr>
        <w:spacing w:after="237"/>
        <w:ind w:left="21" w:right="695"/>
      </w:pPr>
      <w:r>
        <w:rPr>
          <w:sz w:val="23"/>
        </w:rPr>
        <w:t xml:space="preserve">En resumen, se han definido un total de </w:t>
      </w:r>
      <w:r>
        <w:rPr>
          <w:b/>
          <w:sz w:val="23"/>
        </w:rPr>
        <w:t>19 actuaciones</w:t>
      </w:r>
      <w:r>
        <w:rPr>
          <w:sz w:val="23"/>
        </w:rPr>
        <w:t>, de las cuales, una, está destinada a la ejecución de una dotación y el resto, son actuaciones en espacios libres y viari</w:t>
      </w:r>
      <w:r>
        <w:rPr>
          <w:sz w:val="23"/>
        </w:rPr>
        <w:t>os. Se propone se realicen mediante obras públicas ordinarias</w:t>
      </w:r>
      <w:r>
        <w:rPr>
          <w:rFonts w:ascii="Times New Roman" w:eastAsia="Times New Roman" w:hAnsi="Times New Roman" w:cs="Times New Roman"/>
          <w:sz w:val="24"/>
        </w:rPr>
        <w:t xml:space="preserve"> </w:t>
      </w:r>
    </w:p>
    <w:p w:rsidR="00025683" w:rsidRDefault="007C2AAB">
      <w:pPr>
        <w:spacing w:after="0" w:line="259" w:lineRule="auto"/>
        <w:ind w:left="10" w:firstLine="0"/>
        <w:jc w:val="left"/>
      </w:pPr>
      <w:r>
        <w:t xml:space="preserve"> </w:t>
      </w:r>
    </w:p>
    <w:p w:rsidR="00025683" w:rsidRDefault="007C2AAB">
      <w:pPr>
        <w:spacing w:after="170" w:line="259" w:lineRule="auto"/>
        <w:ind w:left="0" w:right="1019" w:firstLine="0"/>
        <w:jc w:val="right"/>
      </w:pPr>
      <w:r>
        <w:rPr>
          <w:noProof/>
        </w:rPr>
        <w:drawing>
          <wp:inline distT="0" distB="0" distL="0" distR="0">
            <wp:extent cx="5382976" cy="4809678"/>
            <wp:effectExtent l="0" t="0" r="0" b="0"/>
            <wp:docPr id="13948" name="Picture 13948"/>
            <wp:cNvGraphicFramePr/>
            <a:graphic xmlns:a="http://schemas.openxmlformats.org/drawingml/2006/main">
              <a:graphicData uri="http://schemas.openxmlformats.org/drawingml/2006/picture">
                <pic:pic xmlns:pic="http://schemas.openxmlformats.org/drawingml/2006/picture">
                  <pic:nvPicPr>
                    <pic:cNvPr id="13948" name="Picture 13948"/>
                    <pic:cNvPicPr/>
                  </pic:nvPicPr>
                  <pic:blipFill>
                    <a:blip r:embed="rId76"/>
                    <a:stretch>
                      <a:fillRect/>
                    </a:stretch>
                  </pic:blipFill>
                  <pic:spPr>
                    <a:xfrm>
                      <a:off x="0" y="0"/>
                      <a:ext cx="5382976" cy="4809678"/>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2" w:line="259" w:lineRule="auto"/>
        <w:ind w:left="10" w:firstLine="0"/>
        <w:jc w:val="left"/>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8448" name="Group 3984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951" name="Rectangle 1395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952" name="Rectangle 1395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953" name="Rectangle 1395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101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448" style="width:18.7031pt;height:264.21pt;position:absolute;mso-position-horizontal-relative:page;mso-position-horizontal:absolute;margin-left:662.928pt;mso-position-vertical-relative:page;margin-top:508.71pt;" coordsize="2375,33554">
                <v:rect id="Rectangle 1395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95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95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350 </w:t>
                        </w:r>
                      </w:p>
                    </w:txbxContent>
                  </v:textbox>
                </v:rect>
                <w10:wrap type="topAndBottom"/>
              </v:group>
            </w:pict>
          </mc:Fallback>
        </mc:AlternateContent>
      </w:r>
      <w:r>
        <w:t xml:space="preserve"> </w:t>
      </w:r>
    </w:p>
    <w:p w:rsidR="00025683" w:rsidRDefault="007C2AAB">
      <w:pPr>
        <w:spacing w:after="0" w:line="259" w:lineRule="auto"/>
        <w:ind w:left="10" w:firstLine="0"/>
        <w:jc w:val="left"/>
      </w:pPr>
      <w:r>
        <w:t xml:space="preserve"> </w:t>
      </w:r>
    </w:p>
    <w:p w:rsidR="00025683" w:rsidRDefault="007C2AAB">
      <w:pPr>
        <w:spacing w:after="168" w:line="259" w:lineRule="auto"/>
        <w:ind w:left="0" w:right="988" w:firstLine="0"/>
        <w:jc w:val="right"/>
      </w:pPr>
      <w:r>
        <w:rPr>
          <w:noProof/>
        </w:rPr>
        <w:drawing>
          <wp:inline distT="0" distB="0" distL="0" distR="0">
            <wp:extent cx="5386428" cy="6000051"/>
            <wp:effectExtent l="0" t="0" r="0" b="0"/>
            <wp:docPr id="13983" name="Picture 13983"/>
            <wp:cNvGraphicFramePr/>
            <a:graphic xmlns:a="http://schemas.openxmlformats.org/drawingml/2006/main">
              <a:graphicData uri="http://schemas.openxmlformats.org/drawingml/2006/picture">
                <pic:pic xmlns:pic="http://schemas.openxmlformats.org/drawingml/2006/picture">
                  <pic:nvPicPr>
                    <pic:cNvPr id="13983" name="Picture 13983"/>
                    <pic:cNvPicPr/>
                  </pic:nvPicPr>
                  <pic:blipFill>
                    <a:blip r:embed="rId77"/>
                    <a:stretch>
                      <a:fillRect/>
                    </a:stretch>
                  </pic:blipFill>
                  <pic:spPr>
                    <a:xfrm>
                      <a:off x="0" y="0"/>
                      <a:ext cx="5386428" cy="600005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4" w:line="259" w:lineRule="auto"/>
        <w:ind w:left="10" w:firstLine="0"/>
        <w:jc w:val="left"/>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8464" name="Group 3984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986" name="Rectangle 1398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3987" name="Rectangle 1398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3988" name="Rectangle 1398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102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464" style="width:18.7031pt;height:264.21pt;position:absolute;mso-position-horizontal-relative:page;mso-position-horizontal:absolute;margin-left:662.928pt;mso-position-vertical-relative:page;margin-top:508.71pt;" coordsize="2375,33554">
                <v:rect id="Rectangle 1398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398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398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350 </w:t>
                        </w:r>
                      </w:p>
                    </w:txbxContent>
                  </v:textbox>
                </v:rect>
                <w10:wrap type="topAndBottom"/>
              </v:group>
            </w:pict>
          </mc:Fallback>
        </mc:AlternateContent>
      </w:r>
      <w:r>
        <w:t xml:space="preserve"> </w:t>
      </w:r>
    </w:p>
    <w:p w:rsidR="00025683" w:rsidRDefault="007C2AAB">
      <w:pPr>
        <w:spacing w:after="0" w:line="259" w:lineRule="auto"/>
        <w:ind w:left="10" w:firstLine="0"/>
        <w:jc w:val="left"/>
      </w:pPr>
      <w:r>
        <w:t xml:space="preserve"> </w:t>
      </w:r>
    </w:p>
    <w:p w:rsidR="00025683" w:rsidRDefault="007C2AAB">
      <w:pPr>
        <w:spacing w:after="170" w:line="259" w:lineRule="auto"/>
        <w:ind w:left="0" w:right="988" w:firstLine="0"/>
        <w:jc w:val="right"/>
      </w:pPr>
      <w:r>
        <w:rPr>
          <w:noProof/>
        </w:rPr>
        <w:drawing>
          <wp:inline distT="0" distB="0" distL="0" distR="0">
            <wp:extent cx="5379171" cy="4658696"/>
            <wp:effectExtent l="0" t="0" r="0" b="0"/>
            <wp:docPr id="14020" name="Picture 14020"/>
            <wp:cNvGraphicFramePr/>
            <a:graphic xmlns:a="http://schemas.openxmlformats.org/drawingml/2006/main">
              <a:graphicData uri="http://schemas.openxmlformats.org/drawingml/2006/picture">
                <pic:pic xmlns:pic="http://schemas.openxmlformats.org/drawingml/2006/picture">
                  <pic:nvPicPr>
                    <pic:cNvPr id="14020" name="Picture 14020"/>
                    <pic:cNvPicPr/>
                  </pic:nvPicPr>
                  <pic:blipFill>
                    <a:blip r:embed="rId78"/>
                    <a:stretch>
                      <a:fillRect/>
                    </a:stretch>
                  </pic:blipFill>
                  <pic:spPr>
                    <a:xfrm>
                      <a:off x="0" y="0"/>
                      <a:ext cx="5379171" cy="465869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50" w:line="259" w:lineRule="auto"/>
        <w:ind w:left="10" w:firstLine="0"/>
        <w:jc w:val="left"/>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8672" name="Group 3986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025" name="Rectangle 1402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026" name="Rectangle 1402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027" name="Rectangle 1402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103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672" style="width:18.7031pt;height:264.21pt;position:absolute;mso-position-horizontal-relative:page;mso-position-horizontal:absolute;margin-left:662.928pt;mso-position-vertical-relative:page;margin-top:508.71pt;" coordsize="2375,33554">
                <v:rect id="Rectangle 1402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02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02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350 </w:t>
                        </w:r>
                      </w:p>
                    </w:txbxContent>
                  </v:textbox>
                </v:rect>
                <w10:wrap type="topAndBottom"/>
              </v:group>
            </w:pict>
          </mc:Fallback>
        </mc:AlternateContent>
      </w:r>
      <w:r>
        <w:t xml:space="preserve"> </w:t>
      </w:r>
    </w:p>
    <w:p w:rsidR="00025683" w:rsidRDefault="007C2AAB">
      <w:pPr>
        <w:spacing w:after="168" w:line="259" w:lineRule="auto"/>
        <w:ind w:left="0" w:right="988" w:firstLine="0"/>
        <w:jc w:val="right"/>
      </w:pPr>
      <w:r>
        <w:rPr>
          <w:noProof/>
        </w:rPr>
        <w:drawing>
          <wp:inline distT="0" distB="0" distL="0" distR="0">
            <wp:extent cx="5376249" cy="1856239"/>
            <wp:effectExtent l="0" t="0" r="0" b="0"/>
            <wp:docPr id="14022" name="Picture 14022"/>
            <wp:cNvGraphicFramePr/>
            <a:graphic xmlns:a="http://schemas.openxmlformats.org/drawingml/2006/main">
              <a:graphicData uri="http://schemas.openxmlformats.org/drawingml/2006/picture">
                <pic:pic xmlns:pic="http://schemas.openxmlformats.org/drawingml/2006/picture">
                  <pic:nvPicPr>
                    <pic:cNvPr id="14022" name="Picture 14022"/>
                    <pic:cNvPicPr/>
                  </pic:nvPicPr>
                  <pic:blipFill>
                    <a:blip r:embed="rId79"/>
                    <a:stretch>
                      <a:fillRect/>
                    </a:stretch>
                  </pic:blipFill>
                  <pic:spPr>
                    <a:xfrm>
                      <a:off x="0" y="0"/>
                      <a:ext cx="5376249" cy="1856239"/>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5" w:line="259" w:lineRule="auto"/>
        <w:ind w:left="10" w:firstLine="0"/>
        <w:jc w:val="left"/>
      </w:pPr>
      <w:r>
        <w:t xml:space="preserve"> </w:t>
      </w:r>
    </w:p>
    <w:p w:rsidR="00025683" w:rsidRDefault="007C2AAB">
      <w:pPr>
        <w:spacing w:after="0" w:line="259" w:lineRule="auto"/>
        <w:ind w:left="10" w:firstLine="0"/>
        <w:jc w:val="left"/>
      </w:pPr>
      <w:r>
        <w:t xml:space="preserve"> </w:t>
      </w:r>
    </w:p>
    <w:p w:rsidR="00025683" w:rsidRDefault="007C2AAB">
      <w:pPr>
        <w:spacing w:after="168" w:line="259" w:lineRule="auto"/>
        <w:ind w:left="0" w:right="1019" w:firstLine="0"/>
        <w:jc w:val="right"/>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8514" name="Group 3985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059" name="Rectangle 1405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060" name="Rectangle 1406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061" name="Rectangle 1406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104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514" style="width:18.7031pt;height:264.21pt;position:absolute;mso-position-horizontal-relative:page;mso-position-horizontal:absolute;margin-left:662.928pt;mso-position-vertical-relative:page;margin-top:508.71pt;" coordsize="2375,33554">
                <v:rect id="Rectangle 1405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06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06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350 </w:t>
                        </w:r>
                      </w:p>
                    </w:txbxContent>
                  </v:textbox>
                </v:rect>
                <w10:wrap type="topAndBottom"/>
              </v:group>
            </w:pict>
          </mc:Fallback>
        </mc:AlternateContent>
      </w:r>
      <w:r>
        <w:rPr>
          <w:noProof/>
        </w:rPr>
        <w:drawing>
          <wp:inline distT="0" distB="0" distL="0" distR="0">
            <wp:extent cx="5375578" cy="7447620"/>
            <wp:effectExtent l="0" t="0" r="0" b="0"/>
            <wp:docPr id="14056" name="Picture 14056"/>
            <wp:cNvGraphicFramePr/>
            <a:graphic xmlns:a="http://schemas.openxmlformats.org/drawingml/2006/main">
              <a:graphicData uri="http://schemas.openxmlformats.org/drawingml/2006/picture">
                <pic:pic xmlns:pic="http://schemas.openxmlformats.org/drawingml/2006/picture">
                  <pic:nvPicPr>
                    <pic:cNvPr id="14056" name="Picture 14056"/>
                    <pic:cNvPicPr/>
                  </pic:nvPicPr>
                  <pic:blipFill>
                    <a:blip r:embed="rId80"/>
                    <a:stretch>
                      <a:fillRect/>
                    </a:stretch>
                  </pic:blipFill>
                  <pic:spPr>
                    <a:xfrm>
                      <a:off x="0" y="0"/>
                      <a:ext cx="5375578" cy="7447620"/>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0" w:firstLine="0"/>
        <w:jc w:val="left"/>
      </w:pPr>
      <w:r>
        <w:t xml:space="preserve"> </w:t>
      </w:r>
    </w:p>
    <w:p w:rsidR="00025683" w:rsidRDefault="007C2AAB">
      <w:pPr>
        <w:spacing w:after="0" w:line="259" w:lineRule="auto"/>
        <w:ind w:left="17" w:hanging="10"/>
        <w:jc w:val="left"/>
      </w:pPr>
      <w:r>
        <w:rPr>
          <w:b/>
          <w:sz w:val="20"/>
        </w:rPr>
        <w:t xml:space="preserve">7.ALCANCE DE LAS ALTERACIONES EN RELACIÓN CON LA ORDENACIÓN ESTABLECIDA EN EL </w:t>
      </w:r>
    </w:p>
    <w:p w:rsidR="00025683" w:rsidRDefault="007C2AAB">
      <w:pPr>
        <w:spacing w:after="0" w:line="259" w:lineRule="auto"/>
        <w:ind w:left="17" w:hanging="10"/>
        <w:jc w:val="left"/>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8544" name="Group 3985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098" name="Rectangle 1409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099" name="Rectangle 1409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w:t>
                              </w:r>
                              <w:r>
                                <w:rPr>
                                  <w:sz w:val="12"/>
                                </w:rPr>
                                <w:t xml:space="preserve">aria.sedelectronica.es/ </w:t>
                              </w:r>
                            </w:p>
                          </w:txbxContent>
                        </wps:txbx>
                        <wps:bodyPr horzOverflow="overflow" vert="horz" lIns="0" tIns="0" rIns="0" bIns="0" rtlCol="0">
                          <a:noAutofit/>
                        </wps:bodyPr>
                      </wps:wsp>
                      <wps:wsp>
                        <wps:cNvPr id="14100" name="Rectangle 1410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105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544" style="width:18.7031pt;height:264.21pt;position:absolute;mso-position-horizontal-relative:page;mso-position-horizontal:absolute;margin-left:662.928pt;mso-position-vertical-relative:page;margin-top:508.71pt;" coordsize="2375,33554">
                <v:rect id="Rectangle 1409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09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10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350 </w:t>
                        </w:r>
                      </w:p>
                    </w:txbxContent>
                  </v:textbox>
                </v:rect>
                <w10:wrap type="topAndBottom"/>
              </v:group>
            </w:pict>
          </mc:Fallback>
        </mc:AlternateContent>
      </w:r>
      <w:r>
        <w:rPr>
          <w:b/>
          <w:sz w:val="20"/>
        </w:rPr>
        <w:t xml:space="preserve">PLAN GENERAL </w:t>
      </w:r>
      <w:r>
        <w:rPr>
          <w:rFonts w:ascii="Times New Roman" w:eastAsia="Times New Roman" w:hAnsi="Times New Roman" w:cs="Times New Roman"/>
          <w:sz w:val="24"/>
        </w:rPr>
        <w:t xml:space="preserve"> </w:t>
      </w:r>
    </w:p>
    <w:p w:rsidR="00025683" w:rsidRDefault="007C2AAB">
      <w:pPr>
        <w:spacing w:after="165" w:line="259" w:lineRule="auto"/>
        <w:ind w:left="0" w:right="1245" w:firstLine="0"/>
        <w:jc w:val="right"/>
      </w:pPr>
      <w:r>
        <w:rPr>
          <w:noProof/>
        </w:rPr>
        <w:drawing>
          <wp:inline distT="0" distB="0" distL="0" distR="0">
            <wp:extent cx="5248905" cy="6418916"/>
            <wp:effectExtent l="0" t="0" r="0" b="0"/>
            <wp:docPr id="14095" name="Picture 14095"/>
            <wp:cNvGraphicFramePr/>
            <a:graphic xmlns:a="http://schemas.openxmlformats.org/drawingml/2006/main">
              <a:graphicData uri="http://schemas.openxmlformats.org/drawingml/2006/picture">
                <pic:pic xmlns:pic="http://schemas.openxmlformats.org/drawingml/2006/picture">
                  <pic:nvPicPr>
                    <pic:cNvPr id="14095" name="Picture 14095"/>
                    <pic:cNvPicPr/>
                  </pic:nvPicPr>
                  <pic:blipFill>
                    <a:blip r:embed="rId81"/>
                    <a:stretch>
                      <a:fillRect/>
                    </a:stretch>
                  </pic:blipFill>
                  <pic:spPr>
                    <a:xfrm>
                      <a:off x="0" y="0"/>
                      <a:ext cx="5248905" cy="641891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2" w:line="259" w:lineRule="auto"/>
        <w:ind w:left="0" w:right="623" w:firstLine="0"/>
        <w:jc w:val="center"/>
      </w:pPr>
      <w:r>
        <w:rPr>
          <w:b/>
          <w:color w:val="FF0000"/>
        </w:rPr>
        <w:t xml:space="preserve"> </w:t>
      </w:r>
    </w:p>
    <w:p w:rsidR="00025683" w:rsidRDefault="007C2AAB">
      <w:pPr>
        <w:spacing w:after="245" w:line="259" w:lineRule="auto"/>
        <w:ind w:left="0" w:right="623" w:firstLine="0"/>
        <w:jc w:val="center"/>
      </w:pPr>
      <w:r>
        <w:rPr>
          <w:b/>
          <w:color w:val="FF0000"/>
        </w:rPr>
        <w:t xml:space="preserve"> </w:t>
      </w:r>
    </w:p>
    <w:p w:rsidR="00025683" w:rsidRDefault="007C2AAB">
      <w:pPr>
        <w:spacing w:after="0" w:line="259" w:lineRule="auto"/>
        <w:ind w:left="0" w:right="623" w:firstLine="0"/>
        <w:jc w:val="center"/>
      </w:pPr>
      <w:r>
        <w:rPr>
          <w:b/>
          <w:color w:val="FF0000"/>
        </w:rPr>
        <w:t xml:space="preserve"> </w:t>
      </w:r>
    </w:p>
    <w:p w:rsidR="00025683" w:rsidRDefault="007C2AAB">
      <w:pPr>
        <w:spacing w:after="0" w:line="259" w:lineRule="auto"/>
        <w:ind w:left="292" w:firstLine="0"/>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8536" name="Group 3985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133" name="Rectangle 1413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134" name="Rectangle 1413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135" name="Rectangle 1413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106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536" style="width:18.7031pt;height:264.21pt;position:absolute;mso-position-horizontal-relative:page;mso-position-horizontal:absolute;margin-left:662.928pt;mso-position-vertical-relative:page;margin-top:508.71pt;" coordsize="2375,33554">
                <v:rect id="Rectangle 1413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13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13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350 </w:t>
                        </w:r>
                      </w:p>
                    </w:txbxContent>
                  </v:textbox>
                </v:rect>
                <w10:wrap type="topAndBottom"/>
              </v:group>
            </w:pict>
          </mc:Fallback>
        </mc:AlternateContent>
      </w:r>
      <w:r>
        <w:rPr>
          <w:noProof/>
        </w:rPr>
        <w:drawing>
          <wp:inline distT="0" distB="0" distL="0" distR="0">
            <wp:extent cx="5266944" cy="6438900"/>
            <wp:effectExtent l="0" t="0" r="0" b="0"/>
            <wp:docPr id="14130" name="Picture 14130"/>
            <wp:cNvGraphicFramePr/>
            <a:graphic xmlns:a="http://schemas.openxmlformats.org/drawingml/2006/main">
              <a:graphicData uri="http://schemas.openxmlformats.org/drawingml/2006/picture">
                <pic:pic xmlns:pic="http://schemas.openxmlformats.org/drawingml/2006/picture">
                  <pic:nvPicPr>
                    <pic:cNvPr id="14130" name="Picture 14130"/>
                    <pic:cNvPicPr/>
                  </pic:nvPicPr>
                  <pic:blipFill>
                    <a:blip r:embed="rId82"/>
                    <a:stretch>
                      <a:fillRect/>
                    </a:stretch>
                  </pic:blipFill>
                  <pic:spPr>
                    <a:xfrm>
                      <a:off x="0" y="0"/>
                      <a:ext cx="5266944" cy="6438900"/>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187" w:line="259" w:lineRule="auto"/>
        <w:ind w:left="0" w:right="1471" w:firstLine="0"/>
        <w:jc w:val="right"/>
      </w:pPr>
      <w:r>
        <w:rPr>
          <w:noProof/>
        </w:rPr>
        <w:drawing>
          <wp:inline distT="0" distB="0" distL="0" distR="0">
            <wp:extent cx="5095959" cy="1438611"/>
            <wp:effectExtent l="0" t="0" r="0" b="0"/>
            <wp:docPr id="14226" name="Picture 14226"/>
            <wp:cNvGraphicFramePr/>
            <a:graphic xmlns:a="http://schemas.openxmlformats.org/drawingml/2006/main">
              <a:graphicData uri="http://schemas.openxmlformats.org/drawingml/2006/picture">
                <pic:pic xmlns:pic="http://schemas.openxmlformats.org/drawingml/2006/picture">
                  <pic:nvPicPr>
                    <pic:cNvPr id="14226" name="Picture 14226"/>
                    <pic:cNvPicPr/>
                  </pic:nvPicPr>
                  <pic:blipFill>
                    <a:blip r:embed="rId83"/>
                    <a:stretch>
                      <a:fillRect/>
                    </a:stretch>
                  </pic:blipFill>
                  <pic:spPr>
                    <a:xfrm>
                      <a:off x="0" y="0"/>
                      <a:ext cx="5095959" cy="143861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12"/>
        <w:ind w:left="22" w:right="197"/>
      </w:pPr>
      <w:r>
        <w:rPr>
          <w:b/>
          <w:sz w:val="20"/>
        </w:rPr>
        <w:t>8.</w:t>
      </w:r>
      <w:r>
        <w:rPr>
          <w:b/>
        </w:rPr>
        <w:t>CONCLUSIONES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21" w:right="202"/>
      </w:pPr>
      <w:r>
        <w:rPr>
          <w:sz w:val="23"/>
        </w:rPr>
        <w:t xml:space="preserve">De acuerdo a todo lo expuesto anteriormente, se informa </w:t>
      </w:r>
      <w:r>
        <w:rPr>
          <w:b/>
          <w:sz w:val="23"/>
        </w:rPr>
        <w:t xml:space="preserve">FAVORABLE </w:t>
      </w:r>
      <w:r>
        <w:rPr>
          <w:sz w:val="23"/>
        </w:rPr>
        <w:t>la aprobación inicial del Plan Especial de Reforma Interior (PEPR</w:t>
      </w:r>
      <w:r>
        <w:rPr>
          <w:sz w:val="23"/>
        </w:rPr>
        <w:t>I) La Jiménez Igueste, T.M. de Candelaria.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Se propone dar traslado a la Concejalía de Cultura, Identidad Canaria, Patrimonio Histórico, Fiestas y Deporte, para que se inicien los trámites necesarios para la inclusión en el Catálogo Municipales de Bienes</w:t>
      </w:r>
      <w:r>
        <w:rPr>
          <w:sz w:val="23"/>
        </w:rPr>
        <w:t xml:space="preserve"> Patrimoniales Culturales, de los bienes recogidos en el inventario: </w:t>
      </w:r>
    </w:p>
    <w:p w:rsidR="00025683" w:rsidRDefault="007C2AAB">
      <w:pPr>
        <w:spacing w:after="0" w:line="259" w:lineRule="auto"/>
        <w:ind w:left="14" w:firstLine="0"/>
        <w:jc w:val="left"/>
      </w:pPr>
      <w:r>
        <w:rPr>
          <w:b/>
          <w:sz w:val="23"/>
        </w:rPr>
        <w:t xml:space="preserve"> </w:t>
      </w:r>
    </w:p>
    <w:p w:rsidR="00025683" w:rsidRDefault="007C2AAB">
      <w:pPr>
        <w:spacing w:line="249" w:lineRule="auto"/>
        <w:ind w:left="17" w:right="198" w:hanging="10"/>
      </w:pPr>
      <w:r>
        <w:rPr>
          <w:b/>
          <w:sz w:val="23"/>
        </w:rPr>
        <w:t>Tomo I.3 Anexo 4. Inventario de bienes integrantes del patrimonio cultural del barrio de La Jiménez, La Sabinita y Lomo Acoroma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8592" name="Group 3985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229" name="Rectangle 1422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230" name="Rectangle 1423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231" name="Rectangle 1423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107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592" style="width:18.7031pt;height:264.21pt;position:absolute;mso-position-horizontal-relative:page;mso-position-horizontal:absolute;margin-left:662.928pt;mso-position-vertical-relative:page;margin-top:508.71pt;" coordsize="2375,33554">
                <v:rect id="Rectangle 1422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23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23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350 </w:t>
                        </w:r>
                      </w:p>
                    </w:txbxContent>
                  </v:textbox>
                </v:rect>
                <w10:wrap type="square"/>
              </v:group>
            </w:pict>
          </mc:Fallback>
        </mc:AlternateContent>
      </w:r>
      <w:r>
        <w:rPr>
          <w:sz w:val="23"/>
        </w:rPr>
        <w:t>En este sentido, en tanto no se actualice el catálogo de protección, solo serán posibles intervenciones de mantenimiento, conservación, consolidación, restauración, rehabilitación y reconstrucción. La naturaleza cautelar del régimen de protección determina</w:t>
      </w:r>
      <w:r>
        <w:rPr>
          <w:sz w:val="23"/>
        </w:rPr>
        <w:t xml:space="preserve"> la limitación de las intervenciones permitidas en estos inmuebles.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Se prohíben expresamente las intervenciones de reestructuración, remonta y ampliación, y por supuesto, la demolición. En este sentido, se establecen condiciones adicionales al deber de </w:t>
      </w:r>
      <w:r>
        <w:rPr>
          <w:sz w:val="23"/>
        </w:rPr>
        <w:t xml:space="preserve">conservación basadas en la presencia de valores culturales…”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pStyle w:val="Ttulo4"/>
        <w:ind w:left="274" w:right="464"/>
      </w:pPr>
      <w:r>
        <w:t>CONSIDERACIONES JURÍDICAS</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PRIMERA. - El artículo 146.1 de la Ley 4/2017, de 13 de julio, del Suelo y de los Espacios Naturales Protegidos de Canarias que los Planes Especiales de Ordenaci</w:t>
      </w:r>
      <w:r>
        <w:t xml:space="preserve">ón tienen por objeto desarrollar o completar las determinaciones de los planes generales, ordenando elementos específicos de un ámbito territorial determinado.  </w:t>
      </w:r>
    </w:p>
    <w:p w:rsidR="00025683" w:rsidRDefault="007C2AAB">
      <w:pPr>
        <w:spacing w:after="0" w:line="259" w:lineRule="auto"/>
        <w:ind w:left="14" w:firstLine="0"/>
        <w:jc w:val="left"/>
      </w:pPr>
      <w:r>
        <w:t xml:space="preserve"> </w:t>
      </w:r>
    </w:p>
    <w:p w:rsidR="00025683" w:rsidRDefault="007C2AAB">
      <w:pPr>
        <w:ind w:left="14" w:right="200"/>
      </w:pPr>
      <w:r>
        <w:t>Conforme al artículo 146.2, los ayuntamientos podrán aprobar planes especiales, en desarroll</w:t>
      </w:r>
      <w:r>
        <w:t xml:space="preserve">o del plan general o de forma autónoma, con las siguientes finalidades: </w:t>
      </w:r>
    </w:p>
    <w:p w:rsidR="00025683" w:rsidRDefault="007C2AAB">
      <w:pPr>
        <w:ind w:left="14" w:right="200"/>
      </w:pPr>
      <w:r>
        <w:t>“a)Establecer la ordenación pormenorizada precisa para la ejecución del planeamiento, en todo o en parte, del suelo urbano consolidado y del suelo rústico de asentamiento rural. b) Co</w:t>
      </w:r>
      <w:r>
        <w:t xml:space="preserve">nservar y mejorar el medio natural y el paisaje natural y urbano. </w:t>
      </w:r>
    </w:p>
    <w:p w:rsidR="00025683" w:rsidRDefault="007C2AAB">
      <w:pPr>
        <w:numPr>
          <w:ilvl w:val="0"/>
          <w:numId w:val="34"/>
        </w:numPr>
        <w:ind w:right="200"/>
      </w:pPr>
      <w:r>
        <w:t xml:space="preserve">Proteger, conservar y rehabilitar el patrimonio histórico canario. </w:t>
      </w:r>
    </w:p>
    <w:p w:rsidR="00025683" w:rsidRDefault="007C2AAB">
      <w:pPr>
        <w:numPr>
          <w:ilvl w:val="0"/>
          <w:numId w:val="34"/>
        </w:numPr>
        <w:ind w:right="200"/>
      </w:pPr>
      <w:r>
        <w:t>Establecer la ordenación pormenorizada de las áreas urbanas sometidas a operaciones de reforma o de renovación urbanas, s</w:t>
      </w:r>
      <w:r>
        <w:t xml:space="preserve">in perjuicio de las actuaciones sobre el medio urbano previstas en esta ley. </w:t>
      </w:r>
    </w:p>
    <w:p w:rsidR="00025683" w:rsidRDefault="007C2AAB">
      <w:pPr>
        <w:numPr>
          <w:ilvl w:val="0"/>
          <w:numId w:val="34"/>
        </w:numPr>
        <w:ind w:right="200"/>
      </w:pPr>
      <w:r>
        <w:t xml:space="preserve">Definir las actuaciones en los núcleos o zonas turísticas a rehabilitar. </w:t>
      </w:r>
    </w:p>
    <w:p w:rsidR="00025683" w:rsidRDefault="007C2AAB">
      <w:pPr>
        <w:numPr>
          <w:ilvl w:val="0"/>
          <w:numId w:val="34"/>
        </w:numPr>
        <w:ind w:right="200"/>
      </w:pPr>
      <w:r>
        <w:t>Ordenar los sistemas generales, cuando así lo determine el plan general.</w:t>
      </w:r>
      <w:r>
        <w:rPr>
          <w:rFonts w:ascii="Times New Roman" w:eastAsia="Times New Roman" w:hAnsi="Times New Roman" w:cs="Times New Roman"/>
          <w:sz w:val="24"/>
        </w:rPr>
        <w:t xml:space="preserve"> </w:t>
      </w:r>
    </w:p>
    <w:p w:rsidR="00025683" w:rsidRDefault="007C2AAB">
      <w:pPr>
        <w:numPr>
          <w:ilvl w:val="0"/>
          <w:numId w:val="34"/>
        </w:numPr>
        <w:ind w:right="200"/>
      </w:pPr>
      <w:r>
        <w:t xml:space="preserve">Cualesquiera otras análogas que se prevean reglamentariamente.” </w:t>
      </w:r>
    </w:p>
    <w:p w:rsidR="00025683" w:rsidRDefault="007C2AAB">
      <w:pPr>
        <w:spacing w:after="0" w:line="259" w:lineRule="auto"/>
        <w:ind w:left="14" w:firstLine="0"/>
        <w:jc w:val="left"/>
      </w:pPr>
      <w:r>
        <w:t xml:space="preserve"> </w:t>
      </w:r>
    </w:p>
    <w:p w:rsidR="00025683" w:rsidRDefault="007C2AAB">
      <w:pPr>
        <w:ind w:left="14" w:right="200"/>
      </w:pPr>
      <w:r>
        <w:t xml:space="preserve">El artículo 147. de la Ley 4/2017, de 13 de julio, del Suelo y de los Espacios Naturales Protegidos de Canarias </w:t>
      </w:r>
    </w:p>
    <w:p w:rsidR="00025683" w:rsidRDefault="007C2AAB">
      <w:pPr>
        <w:numPr>
          <w:ilvl w:val="0"/>
          <w:numId w:val="35"/>
        </w:numPr>
        <w:ind w:right="200"/>
      </w:pPr>
      <w:r>
        <w:t>establece que cualquier sujeto, público o privado, podrá elaborar y proponer</w:t>
      </w:r>
      <w:r>
        <w:t xml:space="preserve"> planes parciales y planes especiales, en los términos fijados por el plan general.  </w:t>
      </w:r>
    </w:p>
    <w:p w:rsidR="00025683" w:rsidRDefault="007C2AAB">
      <w:pPr>
        <w:numPr>
          <w:ilvl w:val="0"/>
          <w:numId w:val="35"/>
        </w:numPr>
        <w:ind w:right="200"/>
      </w:pPr>
      <w:r>
        <w:t xml:space="preserve">Formulado el instrumento de planeamiento, se procederá a su aprobación inicial por el órgano competente de acuerdo con la legislación de régimen local, previo informe de </w:t>
      </w:r>
      <w:r>
        <w:t xml:space="preserve">los servicios técnicos y jurídicos municipales. Cuando se trate de un instrumento de iniciativa particular solo podrá denegarse su aprobación inicial por razones de legalidad, que resulten insubsanables. En todo caso, la aprobación inicial no condicionará </w:t>
      </w:r>
      <w:r>
        <w:t xml:space="preserve">en modo alguno la resolución que se derive de la tramitación del procedimiento. </w:t>
      </w:r>
    </w:p>
    <w:p w:rsidR="00025683" w:rsidRDefault="007C2AAB">
      <w:pPr>
        <w:numPr>
          <w:ilvl w:val="0"/>
          <w:numId w:val="35"/>
        </w:numPr>
        <w:ind w:right="200"/>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9201" name="Group 3992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340" name="Rectangle 1434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341" name="Rectangle 1434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342" name="Rectangle 1434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esPublico Gestio</w:t>
                              </w:r>
                              <w:r>
                                <w:rPr>
                                  <w:sz w:val="12"/>
                                </w:rPr>
                                <w:t xml:space="preserve">na | Página 108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9201" style="width:18.7031pt;height:264.21pt;position:absolute;mso-position-horizontal-relative:page;mso-position-horizontal:absolute;margin-left:662.928pt;mso-position-vertical-relative:page;margin-top:508.71pt;" coordsize="2375,33554">
                <v:rect id="Rectangle 1434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34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34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350 </w:t>
                        </w:r>
                      </w:p>
                    </w:txbxContent>
                  </v:textbox>
                </v:rect>
                <w10:wrap type="square"/>
              </v:group>
            </w:pict>
          </mc:Fallback>
        </mc:AlternateContent>
      </w:r>
      <w:r>
        <w:t xml:space="preserve">El documento aprobado inicialmente se someterá a los trámites de información pública y de consulta a las administraciones afectadas por el plazo fijado por la legislación ambiental o sectorial aplicable o, en su defecto, de un mes, </w:t>
      </w:r>
      <w:r>
        <w:t xml:space="preserve">computados a partir de la publicación del correspondiente anuncio en el Boletín Oficial de Canarias. El periodo de información pública se anunciará en, al menos, uno de los periódicos de mayor difusión de la isla y en la sede electrónica del ayuntamiento. </w:t>
      </w:r>
    </w:p>
    <w:p w:rsidR="00025683" w:rsidRDefault="007C2AAB">
      <w:pPr>
        <w:ind w:left="14" w:right="200"/>
      </w:pPr>
      <w:r>
        <w:t>La falta de emisión de los informes no interrumpirá la tramitación del procedimiento. Los informes que no se emitan dentro del plazo conferido podrán no ser tenidos en cuenta para adoptar la aprobación definitiva. La documentación que se someta a informac</w:t>
      </w:r>
      <w:r>
        <w:t xml:space="preserve">ión pública deberá contener los resúmenes ejecutivos y no técnicos previstos en la legislación estatal básica. </w:t>
      </w:r>
    </w:p>
    <w:p w:rsidR="00025683" w:rsidRDefault="007C2AAB">
      <w:pPr>
        <w:spacing w:after="0" w:line="259" w:lineRule="auto"/>
        <w:ind w:left="14" w:firstLine="0"/>
        <w:jc w:val="left"/>
      </w:pPr>
      <w:r>
        <w:t xml:space="preserve"> </w:t>
      </w:r>
    </w:p>
    <w:p w:rsidR="00025683" w:rsidRDefault="007C2AAB">
      <w:pPr>
        <w:ind w:left="14" w:right="200"/>
      </w:pPr>
      <w:r>
        <w:t>SEGUNDA. - Resultan de aplicación los artículos 14 y siguientes del Reglamento de Planeamiento de Canarias donde se regulan los trámites comun</w:t>
      </w:r>
      <w:r>
        <w:t xml:space="preserve">es de la elaboración de los instrumentos de ordenación sometidos a evaluación ambiental estratégica ordinaria.  </w:t>
      </w:r>
    </w:p>
    <w:p w:rsidR="00025683" w:rsidRDefault="007C2AAB">
      <w:pPr>
        <w:spacing w:after="0" w:line="259" w:lineRule="auto"/>
        <w:ind w:left="14" w:firstLine="0"/>
        <w:jc w:val="left"/>
      </w:pPr>
      <w:r>
        <w:t xml:space="preserve"> </w:t>
      </w:r>
    </w:p>
    <w:p w:rsidR="00025683" w:rsidRDefault="007C2AAB">
      <w:pPr>
        <w:ind w:left="14" w:right="200"/>
      </w:pPr>
      <w:r>
        <w:t xml:space="preserve">En el artículo 22 del Reglamento de Planeamiento de Canarias, aprobado por Decreto 181/2018, de 26 de diciembre que señala lo siguiente: </w:t>
      </w:r>
    </w:p>
    <w:p w:rsidR="00025683" w:rsidRDefault="007C2AAB">
      <w:pPr>
        <w:spacing w:after="0" w:line="259" w:lineRule="auto"/>
        <w:ind w:left="14" w:firstLine="0"/>
        <w:jc w:val="left"/>
      </w:pPr>
      <w:r>
        <w:t xml:space="preserve"> </w:t>
      </w:r>
    </w:p>
    <w:p w:rsidR="00025683" w:rsidRDefault="007C2AAB">
      <w:pPr>
        <w:numPr>
          <w:ilvl w:val="0"/>
          <w:numId w:val="36"/>
        </w:numPr>
        <w:ind w:right="200"/>
      </w:pPr>
      <w:r>
        <w:t>A la vista del resultado de los trámites anteriores, se elaborará el documento del plan que vaya a someterse a la aprobación inicial, seleccionándose aquellas alternativas que resulten más equilibradas desde la perspectiva del desarrollo sostenible, previa</w:t>
      </w:r>
      <w:r>
        <w:t xml:space="preserve"> ponderación de los aspectos económicos, sociales, territoriales y ambientales; y, de ser preciso, se modificará el contenido del estudio ambiental estratégico. </w:t>
      </w:r>
    </w:p>
    <w:p w:rsidR="00025683" w:rsidRDefault="007C2AAB">
      <w:pPr>
        <w:numPr>
          <w:ilvl w:val="0"/>
          <w:numId w:val="36"/>
        </w:numPr>
        <w:ind w:right="200"/>
      </w:pPr>
      <w:r>
        <w:t>Con el fin de dar cumplimiento a lo dispuesto en el apartado anterior, el órgano competente el</w:t>
      </w:r>
      <w:r>
        <w:t xml:space="preserve">egirá la alternativa o alternativas más adecuadas a la vista de la propuesta que le formulen los servicios administrativos. </w:t>
      </w:r>
    </w:p>
    <w:p w:rsidR="00025683" w:rsidRDefault="007C2AAB">
      <w:pPr>
        <w:numPr>
          <w:ilvl w:val="0"/>
          <w:numId w:val="36"/>
        </w:numPr>
        <w:ind w:right="200"/>
      </w:pPr>
      <w:r>
        <w:t>El documento resultante, que incorporará la alternativa o alternativas seleccionadas, se someterá a informe de los servicios técnicos y jurídicos, así como de las distintas áreas y organismos dependientes o adscritos a la Administración promotora que pueda</w:t>
      </w:r>
      <w:r>
        <w:t>n resultar afectados por el plan en razón de las competencias que ejercen, en el plazo máximo de un mes. En el caso de que los informes internos se contradigan se elevará el conflicto al órgano correspondiente, para que resuelva la discrepancia mediante la</w:t>
      </w:r>
      <w:r>
        <w:t xml:space="preserve"> emisión de un informe final. </w:t>
      </w:r>
    </w:p>
    <w:p w:rsidR="00025683" w:rsidRDefault="007C2AAB">
      <w:pPr>
        <w:spacing w:after="242" w:line="259" w:lineRule="auto"/>
        <w:ind w:left="0" w:right="623" w:firstLine="0"/>
        <w:jc w:val="center"/>
      </w:pPr>
      <w:r>
        <w:t xml:space="preserve"> </w:t>
      </w:r>
    </w:p>
    <w:p w:rsidR="00025683" w:rsidRDefault="007C2AAB">
      <w:pPr>
        <w:spacing w:after="239"/>
        <w:ind w:left="14" w:right="200"/>
      </w:pPr>
      <w:r>
        <w:t>TERCERA.- Artículo 23 Información pública, consulta e informes preceptivos de la aprobación inicial</w:t>
      </w:r>
      <w:r>
        <w:rPr>
          <w:rFonts w:ascii="Times New Roman" w:eastAsia="Times New Roman" w:hAnsi="Times New Roman" w:cs="Times New Roman"/>
          <w:sz w:val="24"/>
        </w:rPr>
        <w:t xml:space="preserve"> </w:t>
      </w:r>
    </w:p>
    <w:p w:rsidR="00025683" w:rsidRDefault="007C2AAB">
      <w:pPr>
        <w:numPr>
          <w:ilvl w:val="0"/>
          <w:numId w:val="37"/>
        </w:numPr>
        <w:ind w:right="200"/>
      </w:pPr>
      <w:r>
        <w:t>El documento aprobado inicialmente se someterá a los trámites de información pública, consulta de las administraciones púb</w:t>
      </w:r>
      <w:r>
        <w:t xml:space="preserve">licas cuyas competencias pudiesen resultar afectadas y de las personas interesadas que hayan sido previamente consultadas y solicitud de los informes sectoriales preceptivos, en los términos previstos en el artículo 21 del presente Reglamento. </w:t>
      </w:r>
    </w:p>
    <w:p w:rsidR="00025683" w:rsidRDefault="007C2AAB">
      <w:pPr>
        <w:numPr>
          <w:ilvl w:val="0"/>
          <w:numId w:val="37"/>
        </w:numPr>
        <w:ind w:right="200"/>
      </w:pPr>
      <w:r>
        <w:t>Transcurrid</w:t>
      </w:r>
      <w:r>
        <w:t xml:space="preserve">o el plazo de información pública, consulta e informes preceptivos se introducirán las modificaciones que, como consecuencia de dicho proceso participativo, se estimen oportunas, actualizándose, en su caso, el estudio ambiental estratégico. </w:t>
      </w:r>
    </w:p>
    <w:p w:rsidR="00025683" w:rsidRDefault="007C2AAB">
      <w:pPr>
        <w:numPr>
          <w:ilvl w:val="0"/>
          <w:numId w:val="37"/>
        </w:numPr>
        <w:ind w:right="200"/>
      </w:pPr>
      <w:r>
        <w:t>Si como consec</w:t>
      </w:r>
      <w:r>
        <w:t>uencia de las alegaciones formuladas o de los informes emitidos se introdujeran cambios sustanciales en relación con el documento aprobado inicialmente, por el órgano promotor se llevará a cabo un nuevo periodo de información pública, consulta y de solicit</w:t>
      </w:r>
      <w:r>
        <w:t xml:space="preserve">ud de informes preceptivos por plazo de cuarenta y cinco días.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399250" name="Group 3992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456" name="Rectangle 1445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457" name="Rectangle 1445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458" name="Rectangle 1445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109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9250" style="width:18.7031pt;height:264.21pt;position:absolute;mso-position-horizontal-relative:page;mso-position-horizontal:absolute;margin-left:662.928pt;mso-position-vertical-relative:page;margin-top:508.71pt;" coordsize="2375,33554">
                <v:rect id="Rectangle 1445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45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45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350 </w:t>
                        </w:r>
                      </w:p>
                    </w:txbxContent>
                  </v:textbox>
                </v:rect>
                <w10:wrap type="square"/>
              </v:group>
            </w:pict>
          </mc:Fallback>
        </mc:AlternateContent>
      </w:r>
      <w:r>
        <w:t xml:space="preserve">Visto cuanto antecede, se considera que el expediente ha seguido la tramitación establecida en la Legislación aplicable, procediendo su aprobación por el Pleno, </w:t>
      </w:r>
      <w:r>
        <w:t xml:space="preserve">por mayoría absoluta del número legal de miembros de la Corporación, de conformidad con los artículos 70.2 del Reglamento de Planeamiento de Canarias, aprobado por Decreto 181/2018, de 26 de diciembre, y 22.2.c) y 47.2.ll) de la Ley 7/1985, de 2 de abril, </w:t>
      </w:r>
      <w:r>
        <w:t xml:space="preserve">Reguladora de las Bases del Régimen Local. </w:t>
      </w:r>
    </w:p>
    <w:p w:rsidR="00025683" w:rsidRDefault="007C2AAB">
      <w:pPr>
        <w:spacing w:after="0" w:line="259" w:lineRule="auto"/>
        <w:ind w:left="14" w:firstLine="0"/>
        <w:jc w:val="left"/>
      </w:pPr>
      <w:r>
        <w:t xml:space="preserve"> </w:t>
      </w:r>
    </w:p>
    <w:p w:rsidR="00025683" w:rsidRDefault="007C2AAB">
      <w:pPr>
        <w:ind w:left="14" w:right="200"/>
      </w:pPr>
      <w:r>
        <w:t>Por ello, de conformidad con lo establecido en el artículo 175 del Reglamento de Organización, Funcionamiento y Régimen Jurídico de las Entidades Locales, aprobado por Real Decreto 2568/1986, de 28 de noviembre</w:t>
      </w:r>
      <w:r>
        <w:t xml:space="preserve">, el que suscribe eleva la siguiente propuesta de resolución: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pStyle w:val="Ttulo4"/>
        <w:ind w:left="274" w:right="457"/>
      </w:pPr>
      <w:r>
        <w:t>PROPUESTA DE RESOLUCIÓN</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3" w:line="238" w:lineRule="auto"/>
        <w:ind w:left="9" w:hanging="10"/>
        <w:jc w:val="left"/>
      </w:pPr>
      <w:r>
        <w:t>PRIMERO. – Aprobar inicialmente el Plan Especial de Reforma Interior (PEPRI) de La Jiménez, en el término municipal de Candelaria, según lo indicado en el infor</w:t>
      </w:r>
      <w:r>
        <w:t xml:space="preserve">me técnico favorable emitido con fecha 15/12/2025 que a continuación se transcribe: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“…Visto el expediente antedicho, Nayra Guzmán Hernández, arquitecta municipal, emite el siguiente informe: </w:t>
      </w:r>
    </w:p>
    <w:p w:rsidR="00025683" w:rsidRDefault="007C2AAB">
      <w:pPr>
        <w:spacing w:after="0" w:line="259" w:lineRule="auto"/>
        <w:ind w:left="14" w:firstLine="0"/>
        <w:jc w:val="left"/>
      </w:pPr>
      <w:r>
        <w:rPr>
          <w:sz w:val="23"/>
        </w:rPr>
        <w:t xml:space="preserve"> </w:t>
      </w:r>
    </w:p>
    <w:p w:rsidR="00025683" w:rsidRDefault="007C2AAB">
      <w:pPr>
        <w:spacing w:after="19" w:line="259" w:lineRule="auto"/>
        <w:ind w:left="0" w:firstLine="0"/>
        <w:jc w:val="left"/>
      </w:pPr>
      <w:r>
        <w:rPr>
          <w:b/>
          <w:sz w:val="20"/>
        </w:rPr>
        <w:t xml:space="preserve"> </w:t>
      </w:r>
    </w:p>
    <w:p w:rsidR="00025683" w:rsidRDefault="007C2AAB">
      <w:pPr>
        <w:spacing w:line="249" w:lineRule="auto"/>
        <w:ind w:left="17" w:right="198" w:hanging="10"/>
      </w:pPr>
      <w:r>
        <w:rPr>
          <w:b/>
          <w:sz w:val="20"/>
        </w:rPr>
        <w:t>9.</w:t>
      </w:r>
      <w:r>
        <w:rPr>
          <w:b/>
          <w:sz w:val="23"/>
        </w:rPr>
        <w:t>ANTECEDENTES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numPr>
          <w:ilvl w:val="0"/>
          <w:numId w:val="38"/>
        </w:numPr>
        <w:ind w:right="200" w:hanging="360"/>
      </w:pPr>
      <w:r>
        <w:rPr>
          <w:sz w:val="23"/>
        </w:rPr>
        <w:t>Con fecha 3 de octubre de 2024 se dictó la Resolución n.º 64, en virtud de la cual se inició el procedimiento de evaluación ambiental estratégica ordinaria relativo al Plan Especial de Reforma Interior (PEPRI) de La Jiménez, en el término municipal de Cand</w:t>
      </w:r>
      <w:r>
        <w:rPr>
          <w:sz w:val="23"/>
        </w:rPr>
        <w:t>elaria y se sometió a consultas de las administraciones públicas afectadas y de las personas interesadas el documento inicial estratégico y el borrador del citado instrumento de ordenación urbanística. En consecuencia, se publica anuncio en el Boletín Ofic</w:t>
      </w:r>
      <w:r>
        <w:rPr>
          <w:sz w:val="23"/>
        </w:rPr>
        <w:t xml:space="preserve">ial de Canarias (BOC nº 216, de 29 de octubre de 2024) y en la web del Gobierno de Canarias.  </w:t>
      </w:r>
    </w:p>
    <w:p w:rsidR="00025683" w:rsidRDefault="007C2AAB">
      <w:pPr>
        <w:spacing w:after="287" w:line="259" w:lineRule="auto"/>
        <w:ind w:left="10" w:firstLine="0"/>
        <w:jc w:val="left"/>
      </w:pPr>
      <w:r>
        <w:rPr>
          <w:b/>
          <w:color w:val="FF0000"/>
        </w:rPr>
        <w:t xml:space="preserve"> </w:t>
      </w:r>
    </w:p>
    <w:p w:rsidR="00025683" w:rsidRDefault="007C2AAB">
      <w:pPr>
        <w:numPr>
          <w:ilvl w:val="0"/>
          <w:numId w:val="38"/>
        </w:numPr>
        <w:spacing w:line="249" w:lineRule="auto"/>
        <w:ind w:right="200" w:hanging="360"/>
      </w:pPr>
      <w:r>
        <w:rPr>
          <w:sz w:val="23"/>
        </w:rPr>
        <w:t xml:space="preserve">La Comisión Autonómica de Evaluación Ambiental, en sesión celebrada el 14 de marzo de 2025, acuerda formular, por delegación del Ayuntamiento de Candelaria, el </w:t>
      </w:r>
      <w:r>
        <w:rPr>
          <w:b/>
          <w:sz w:val="23"/>
        </w:rPr>
        <w:t>DOCUMENTO DE ALCANCE en el procedimiento de la Evaluación Ambiental Estratégica Ordinaria del Pl</w:t>
      </w:r>
      <w:r>
        <w:rPr>
          <w:b/>
          <w:sz w:val="23"/>
        </w:rPr>
        <w:t>an Especial de Reforma Interior de La Jiménez, en el Término Municipal de Candelaria que lo incorpora como Anexo.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spacing w:line="249" w:lineRule="auto"/>
        <w:ind w:left="17" w:right="198" w:hanging="10"/>
      </w:pPr>
      <w:r>
        <w:rPr>
          <w:b/>
          <w:sz w:val="20"/>
        </w:rPr>
        <w:t xml:space="preserve">10.            </w:t>
      </w:r>
      <w:r>
        <w:rPr>
          <w:b/>
          <w:sz w:val="23"/>
        </w:rPr>
        <w:t>DOCUMENTACIÓN INTEGRANTE DE LA APROBACION INICIAL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235"/>
        <w:ind w:left="21" w:right="696"/>
      </w:pPr>
      <w:r>
        <w:rPr>
          <w:sz w:val="23"/>
        </w:rPr>
        <w:t>Con fecha 3 de diciembre de 2025 y con registro de entrada 2025-E-RE-</w:t>
      </w:r>
      <w:r>
        <w:rPr>
          <w:sz w:val="23"/>
        </w:rPr>
        <w:t>10757 Eva María Latorre Sánchez, en representación de GESPLAN S.A, aporta los siguientes documentos, para la aprobación inicial y Evaluación Ambiental Estratégica:</w:t>
      </w:r>
      <w:r>
        <w:rPr>
          <w:rFonts w:ascii="Times New Roman" w:eastAsia="Times New Roman" w:hAnsi="Times New Roman" w:cs="Times New Roman"/>
          <w:sz w:val="24"/>
        </w:rPr>
        <w:t xml:space="preserve"> </w:t>
      </w:r>
    </w:p>
    <w:p w:rsidR="00025683" w:rsidRDefault="007C2AAB">
      <w:pPr>
        <w:spacing w:after="255" w:line="259" w:lineRule="auto"/>
        <w:ind w:left="0" w:right="623" w:firstLine="0"/>
        <w:jc w:val="center"/>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99948" name="Group 39994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537" name="Rectangle 14537"/>
                        <wps:cNvSpPr/>
                        <wps:spPr>
                          <a:xfrm rot="-5399999">
                            <a:off x="-1151584" y="2085021"/>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538" name="Rectangle 14538"/>
                        <wps:cNvSpPr/>
                        <wps:spPr>
                          <a:xfrm rot="-5399999">
                            <a:off x="-976166" y="2184239"/>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539" name="Rectangle 14539"/>
                        <wps:cNvSpPr/>
                        <wps:spPr>
                          <a:xfrm rot="-5399999">
                            <a:off x="-2018623" y="1065581"/>
                            <a:ext cx="4455271"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110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9948" style="width:18.7031pt;height:263.766pt;position:absolute;mso-position-horizontal-relative:page;mso-position-horizontal:absolute;margin-left:662.928pt;mso-position-vertical-relative:page;margin-top:509.154pt;" coordsize="2375,33498">
                <v:rect id="Rectangle 14537" style="position:absolute;width:24163;height:1132;left:-11515;top:208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538"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539"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350 </w:t>
                        </w:r>
                      </w:p>
                    </w:txbxContent>
                  </v:textbox>
                </v:rect>
                <w10:wrap type="topAndBottom"/>
              </v:group>
            </w:pict>
          </mc:Fallback>
        </mc:AlternateContent>
      </w:r>
      <w:r>
        <w:rPr>
          <w:b/>
          <w:color w:val="FF0000"/>
        </w:rPr>
        <w:t xml:space="preserve"> </w:t>
      </w:r>
    </w:p>
    <w:p w:rsidR="00025683" w:rsidRDefault="007C2AAB">
      <w:pPr>
        <w:spacing w:after="0" w:line="259" w:lineRule="auto"/>
        <w:ind w:left="0" w:right="813" w:firstLine="0"/>
        <w:jc w:val="right"/>
      </w:pPr>
      <w:r>
        <w:rPr>
          <w:noProof/>
        </w:rPr>
        <w:drawing>
          <wp:inline distT="0" distB="0" distL="0" distR="0">
            <wp:extent cx="5396840" cy="4241080"/>
            <wp:effectExtent l="0" t="0" r="0" b="0"/>
            <wp:docPr id="14534" name="Picture 14534"/>
            <wp:cNvGraphicFramePr/>
            <a:graphic xmlns:a="http://schemas.openxmlformats.org/drawingml/2006/main">
              <a:graphicData uri="http://schemas.openxmlformats.org/drawingml/2006/picture">
                <pic:pic xmlns:pic="http://schemas.openxmlformats.org/drawingml/2006/picture">
                  <pic:nvPicPr>
                    <pic:cNvPr id="14534" name="Picture 14534"/>
                    <pic:cNvPicPr/>
                  </pic:nvPicPr>
                  <pic:blipFill>
                    <a:blip r:embed="rId67"/>
                    <a:stretch>
                      <a:fillRect/>
                    </a:stretch>
                  </pic:blipFill>
                  <pic:spPr>
                    <a:xfrm>
                      <a:off x="0" y="0"/>
                      <a:ext cx="5396840" cy="4241080"/>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22" w:firstLine="0"/>
        <w:jc w:val="left"/>
      </w:pPr>
      <w:r>
        <w:rPr>
          <w:b/>
          <w:sz w:val="20"/>
        </w:rPr>
        <w:t xml:space="preserve">  </w:t>
      </w:r>
    </w:p>
    <w:p w:rsidR="00025683" w:rsidRDefault="007C2AAB">
      <w:pPr>
        <w:spacing w:after="21" w:line="259" w:lineRule="auto"/>
        <w:ind w:left="22" w:firstLine="0"/>
        <w:jc w:val="left"/>
      </w:pPr>
      <w:r>
        <w:rPr>
          <w:b/>
          <w:sz w:val="20"/>
        </w:rPr>
        <w:t xml:space="preserve"> </w:t>
      </w:r>
    </w:p>
    <w:p w:rsidR="00025683" w:rsidRDefault="007C2AAB">
      <w:pPr>
        <w:spacing w:line="249" w:lineRule="auto"/>
        <w:ind w:left="17" w:right="198" w:hanging="10"/>
      </w:pPr>
      <w:r>
        <w:rPr>
          <w:b/>
          <w:sz w:val="20"/>
        </w:rPr>
        <w:t xml:space="preserve">     11.</w:t>
      </w:r>
      <w:r>
        <w:rPr>
          <w:b/>
          <w:sz w:val="23"/>
        </w:rPr>
        <w:t xml:space="preserve">NORMATIVA URBANISTICA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El plan general adscribe la totalidad del ámbito del Plan Espe</w:t>
      </w:r>
      <w:r>
        <w:rPr>
          <w:sz w:val="23"/>
        </w:rPr>
        <w:t xml:space="preserve">cial de Reforma Interior de La Jiménez a las siguientes clases y categorías de suelo:  </w:t>
      </w:r>
    </w:p>
    <w:p w:rsidR="00025683" w:rsidRDefault="007C2AAB">
      <w:pPr>
        <w:spacing w:after="15" w:line="259" w:lineRule="auto"/>
        <w:ind w:left="14" w:firstLine="0"/>
        <w:jc w:val="left"/>
      </w:pPr>
      <w:r>
        <w:rPr>
          <w:sz w:val="23"/>
        </w:rPr>
        <w:t xml:space="preserve"> </w:t>
      </w:r>
    </w:p>
    <w:p w:rsidR="00025683" w:rsidRDefault="007C2AAB">
      <w:pPr>
        <w:ind w:left="21" w:right="202"/>
      </w:pPr>
      <w:r>
        <w:rPr>
          <w:sz w:val="23"/>
        </w:rPr>
        <w:t xml:space="preserve">      •Suelo urbano al suelo urbano en la categoría de interés cultural (SUCU-IC)  </w:t>
      </w:r>
    </w:p>
    <w:p w:rsidR="00025683" w:rsidRDefault="007C2AAB">
      <w:pPr>
        <w:spacing w:after="4" w:line="259" w:lineRule="auto"/>
        <w:ind w:left="14" w:firstLine="0"/>
        <w:jc w:val="left"/>
      </w:pPr>
      <w:r>
        <w:rPr>
          <w:sz w:val="23"/>
        </w:rPr>
        <w:t xml:space="preserve"> </w:t>
      </w:r>
    </w:p>
    <w:p w:rsidR="00025683" w:rsidRDefault="007C2AAB">
      <w:pPr>
        <w:ind w:left="21" w:right="202"/>
      </w:pPr>
      <w:r>
        <w:rPr>
          <w:sz w:val="23"/>
        </w:rPr>
        <w:t xml:space="preserve">      •Suelo Rústico de Protección Agrícola Tradicional (SRPAG-</w:t>
      </w:r>
      <w:r>
        <w:rPr>
          <w:sz w:val="23"/>
        </w:rPr>
        <w:t xml:space="preserve">1) adscribe la zona agrícola de bancales que rodea al núcleo  </w:t>
      </w:r>
    </w:p>
    <w:p w:rsidR="00025683" w:rsidRDefault="007C2AAB">
      <w:pPr>
        <w:spacing w:after="10" w:line="259" w:lineRule="auto"/>
        <w:ind w:left="14" w:firstLine="0"/>
        <w:jc w:val="left"/>
      </w:pPr>
      <w:r>
        <w:rPr>
          <w:sz w:val="23"/>
        </w:rPr>
        <w:t xml:space="preserve"> </w:t>
      </w:r>
    </w:p>
    <w:p w:rsidR="00025683" w:rsidRDefault="007C2AAB">
      <w:pPr>
        <w:ind w:left="21" w:right="202"/>
      </w:pPr>
      <w:r>
        <w:rPr>
          <w:sz w:val="23"/>
        </w:rPr>
        <w:t xml:space="preserve">      •Suelo Rústico de Protección Ambiental, protección de barrancos (SRPN-3), los cauces de los barrancos localizados en el ámbito.  </w:t>
      </w:r>
    </w:p>
    <w:p w:rsidR="00025683" w:rsidRDefault="007C2AAB">
      <w:pPr>
        <w:spacing w:after="0" w:line="259" w:lineRule="auto"/>
        <w:ind w:left="14" w:firstLine="0"/>
        <w:jc w:val="left"/>
      </w:pPr>
      <w:r>
        <w:rPr>
          <w:sz w:val="23"/>
        </w:rPr>
        <w:t xml:space="preserve"> </w:t>
      </w:r>
    </w:p>
    <w:p w:rsidR="00025683" w:rsidRDefault="007C2AAB">
      <w:pPr>
        <w:spacing w:after="235"/>
        <w:ind w:left="21" w:right="698"/>
      </w:pPr>
      <w:r>
        <w:rPr>
          <w:sz w:val="23"/>
        </w:rPr>
        <w:t xml:space="preserve">Parte del ámbito del Plan Especial está afectado por </w:t>
      </w:r>
      <w:r>
        <w:rPr>
          <w:sz w:val="23"/>
        </w:rPr>
        <w:t>el Sitio Histórico "El Camino de Candelaria" declarado Bien de Interés Cultural (BIC) por el Decreto 227/2008, de 25 de noviembre (BOC nº 2008/245. Martes 9 de diciembre de 2008, incluyendo no solo el camino tradicional, sino que abarca también parte del b</w:t>
      </w:r>
      <w:r>
        <w:rPr>
          <w:sz w:val="23"/>
        </w:rPr>
        <w:t>arrio de La Jiménez.</w:t>
      </w:r>
      <w:r>
        <w:rPr>
          <w:rFonts w:ascii="Times New Roman" w:eastAsia="Times New Roman" w:hAnsi="Times New Roman" w:cs="Times New Roman"/>
          <w:sz w:val="24"/>
        </w:rPr>
        <w:t xml:space="preserve"> </w:t>
      </w:r>
    </w:p>
    <w:p w:rsidR="00025683" w:rsidRDefault="007C2AAB">
      <w:pPr>
        <w:spacing w:after="255" w:line="259" w:lineRule="auto"/>
        <w:ind w:left="10" w:firstLine="0"/>
        <w:jc w:val="left"/>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8419190</wp:posOffset>
                </wp:positionH>
                <wp:positionV relativeFrom="page">
                  <wp:posOffset>6471894</wp:posOffset>
                </wp:positionV>
                <wp:extent cx="237530" cy="3344190"/>
                <wp:effectExtent l="0" t="0" r="0" b="0"/>
                <wp:wrapTopAndBottom/>
                <wp:docPr id="399911" name="Group 399911"/>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4616" name="Rectangle 14616"/>
                        <wps:cNvSpPr/>
                        <wps:spPr>
                          <a:xfrm rot="-5399999">
                            <a:off x="-1151584" y="2079382"/>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617" name="Rectangle 14617"/>
                        <wps:cNvSpPr/>
                        <wps:spPr>
                          <a:xfrm rot="-5399999">
                            <a:off x="-976166" y="2178600"/>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618" name="Rectangle 14618"/>
                        <wps:cNvSpPr/>
                        <wps:spPr>
                          <a:xfrm rot="-5399999">
                            <a:off x="-2014875" y="1063692"/>
                            <a:ext cx="4447772"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111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9911" style="width:18.7031pt;height:263.322pt;position:absolute;mso-position-horizontal-relative:page;mso-position-horizontal:absolute;margin-left:662.928pt;mso-position-vertical-relative:page;margin-top:509.598pt;" coordsize="2375,33441">
                <v:rect id="Rectangle 14616" style="position:absolute;width:24163;height:1132;left:-11515;top:2079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617" style="position:absolute;width:22179;height:1132;left:-9761;top:2178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618" style="position:absolute;width:44477;height:1132;left:-20148;top:1063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350 </w:t>
                        </w:r>
                      </w:p>
                    </w:txbxContent>
                  </v:textbox>
                </v:rect>
                <w10:wrap type="topAndBottom"/>
              </v:group>
            </w:pict>
          </mc:Fallback>
        </mc:AlternateContent>
      </w:r>
      <w:r>
        <w:rPr>
          <w:b/>
          <w:color w:val="FF0000"/>
        </w:rPr>
        <w:t xml:space="preserve"> </w:t>
      </w:r>
    </w:p>
    <w:p w:rsidR="00025683" w:rsidRDefault="007C2AAB">
      <w:pPr>
        <w:spacing w:after="0" w:line="259" w:lineRule="auto"/>
        <w:ind w:left="0" w:right="811" w:firstLine="0"/>
        <w:jc w:val="right"/>
      </w:pPr>
      <w:r>
        <w:rPr>
          <w:noProof/>
        </w:rPr>
        <w:drawing>
          <wp:inline distT="0" distB="0" distL="0" distR="0">
            <wp:extent cx="5394725" cy="4162136"/>
            <wp:effectExtent l="0" t="0" r="0" b="0"/>
            <wp:docPr id="14613" name="Picture 14613"/>
            <wp:cNvGraphicFramePr/>
            <a:graphic xmlns:a="http://schemas.openxmlformats.org/drawingml/2006/main">
              <a:graphicData uri="http://schemas.openxmlformats.org/drawingml/2006/picture">
                <pic:pic xmlns:pic="http://schemas.openxmlformats.org/drawingml/2006/picture">
                  <pic:nvPicPr>
                    <pic:cNvPr id="14613" name="Picture 14613"/>
                    <pic:cNvPicPr/>
                  </pic:nvPicPr>
                  <pic:blipFill>
                    <a:blip r:embed="rId68"/>
                    <a:stretch>
                      <a:fillRect/>
                    </a:stretch>
                  </pic:blipFill>
                  <pic:spPr>
                    <a:xfrm>
                      <a:off x="0" y="0"/>
                      <a:ext cx="5394725" cy="416213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165" w:line="259" w:lineRule="auto"/>
        <w:ind w:left="0" w:right="988" w:firstLine="0"/>
        <w:jc w:val="right"/>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99534" name="Group 39953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670" name="Rectangle 14670"/>
                        <wps:cNvSpPr/>
                        <wps:spPr>
                          <a:xfrm rot="-5399999">
                            <a:off x="-1151584" y="2085021"/>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671" name="Rectangle 14671"/>
                        <wps:cNvSpPr/>
                        <wps:spPr>
                          <a:xfrm rot="-5399999">
                            <a:off x="-976166" y="2184239"/>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672" name="Rectangle 14672"/>
                        <wps:cNvSpPr/>
                        <wps:spPr>
                          <a:xfrm rot="-5399999">
                            <a:off x="-2018623" y="1065581"/>
                            <a:ext cx="4455271"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112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9534" style="width:18.7031pt;height:263.766pt;position:absolute;mso-position-horizontal-relative:page;mso-position-horizontal:absolute;margin-left:662.928pt;mso-position-vertical-relative:page;margin-top:509.154pt;" coordsize="2375,33498">
                <v:rect id="Rectangle 14670" style="position:absolute;width:24163;height:1132;left:-11515;top:208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671"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672"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350 </w:t>
                        </w:r>
                      </w:p>
                    </w:txbxContent>
                  </v:textbox>
                </v:rect>
                <w10:wrap type="topAndBottom"/>
              </v:group>
            </w:pict>
          </mc:Fallback>
        </mc:AlternateContent>
      </w:r>
      <w:r>
        <w:rPr>
          <w:rFonts w:ascii="Calibri" w:eastAsia="Calibri" w:hAnsi="Calibri" w:cs="Calibri"/>
          <w:noProof/>
        </w:rPr>
        <mc:AlternateContent>
          <mc:Choice Requires="wpg">
            <w:drawing>
              <wp:inline distT="0" distB="0" distL="0" distR="0">
                <wp:extent cx="5400965" cy="6198705"/>
                <wp:effectExtent l="0" t="0" r="0" b="0"/>
                <wp:docPr id="399533" name="Group 399533"/>
                <wp:cNvGraphicFramePr/>
                <a:graphic xmlns:a="http://schemas.openxmlformats.org/drawingml/2006/main">
                  <a:graphicData uri="http://schemas.microsoft.com/office/word/2010/wordprocessingGroup">
                    <wpg:wgp>
                      <wpg:cNvGrpSpPr/>
                      <wpg:grpSpPr>
                        <a:xfrm>
                          <a:off x="0" y="0"/>
                          <a:ext cx="5400965" cy="6198705"/>
                          <a:chOff x="0" y="0"/>
                          <a:chExt cx="5400965" cy="6198705"/>
                        </a:xfrm>
                      </wpg:grpSpPr>
                      <wps:wsp>
                        <wps:cNvPr id="14650" name="Rectangle 14650"/>
                        <wps:cNvSpPr/>
                        <wps:spPr>
                          <a:xfrm>
                            <a:off x="1638554" y="5042066"/>
                            <a:ext cx="50673" cy="224379"/>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651" name="Rectangle 14651"/>
                        <wps:cNvSpPr/>
                        <wps:spPr>
                          <a:xfrm>
                            <a:off x="2885567" y="6029998"/>
                            <a:ext cx="50673" cy="224381"/>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663" name="Picture 14663"/>
                          <pic:cNvPicPr/>
                        </pic:nvPicPr>
                        <pic:blipFill>
                          <a:blip r:embed="rId69"/>
                          <a:stretch>
                            <a:fillRect/>
                          </a:stretch>
                        </pic:blipFill>
                        <pic:spPr>
                          <a:xfrm>
                            <a:off x="0" y="0"/>
                            <a:ext cx="5400965" cy="4572048"/>
                          </a:xfrm>
                          <a:prstGeom prst="rect">
                            <a:avLst/>
                          </a:prstGeom>
                        </pic:spPr>
                      </pic:pic>
                      <pic:pic xmlns:pic="http://schemas.openxmlformats.org/drawingml/2006/picture">
                        <pic:nvPicPr>
                          <pic:cNvPr id="14665" name="Picture 14665"/>
                          <pic:cNvPicPr/>
                        </pic:nvPicPr>
                        <pic:blipFill>
                          <a:blip r:embed="rId73"/>
                          <a:stretch>
                            <a:fillRect/>
                          </a:stretch>
                        </pic:blipFill>
                        <pic:spPr>
                          <a:xfrm>
                            <a:off x="0" y="4739580"/>
                            <a:ext cx="1600868" cy="439089"/>
                          </a:xfrm>
                          <a:prstGeom prst="rect">
                            <a:avLst/>
                          </a:prstGeom>
                        </pic:spPr>
                      </pic:pic>
                      <pic:pic xmlns:pic="http://schemas.openxmlformats.org/drawingml/2006/picture">
                        <pic:nvPicPr>
                          <pic:cNvPr id="14667" name="Picture 14667"/>
                          <pic:cNvPicPr/>
                        </pic:nvPicPr>
                        <pic:blipFill>
                          <a:blip r:embed="rId74"/>
                          <a:stretch>
                            <a:fillRect/>
                          </a:stretch>
                        </pic:blipFill>
                        <pic:spPr>
                          <a:xfrm>
                            <a:off x="0" y="5346135"/>
                            <a:ext cx="2886456" cy="809336"/>
                          </a:xfrm>
                          <a:prstGeom prst="rect">
                            <a:avLst/>
                          </a:prstGeom>
                        </pic:spPr>
                      </pic:pic>
                    </wpg:wgp>
                  </a:graphicData>
                </a:graphic>
              </wp:inline>
            </w:drawing>
          </mc:Choice>
          <mc:Fallback xmlns:a="http://schemas.openxmlformats.org/drawingml/2006/main">
            <w:pict>
              <v:group id="Group 399533" style="width:425.273pt;height:488.087pt;mso-position-horizontal-relative:char;mso-position-vertical-relative:line" coordsize="54009,61987">
                <v:rect id="Rectangle 14650" style="position:absolute;width:506;height:2243;left:16385;top:5042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4651" style="position:absolute;width:506;height:2243;left:28855;top:6029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4663" style="position:absolute;width:54009;height:45720;left:0;top:0;" filled="f">
                  <v:imagedata r:id="rId72"/>
                </v:shape>
                <v:shape id="Picture 14665" style="position:absolute;width:16008;height:4390;left:0;top:47395;" filled="f">
                  <v:imagedata r:id="rId73"/>
                </v:shape>
                <v:shape id="Picture 14667" style="position:absolute;width:28864;height:8093;left:0;top:53461;" filled="f">
                  <v:imagedata r:id="rId74"/>
                </v:shape>
              </v:group>
            </w:pict>
          </mc:Fallback>
        </mc:AlternateContent>
      </w:r>
      <w:r>
        <w:rPr>
          <w:rFonts w:ascii="Times New Roman" w:eastAsia="Times New Roman" w:hAnsi="Times New Roman" w:cs="Times New Roman"/>
          <w:sz w:val="24"/>
        </w:rPr>
        <w:t xml:space="preserve"> </w:t>
      </w:r>
    </w:p>
    <w:p w:rsidR="00025683" w:rsidRDefault="007C2AAB">
      <w:pPr>
        <w:spacing w:after="225" w:line="259" w:lineRule="auto"/>
        <w:ind w:left="0" w:right="623" w:firstLine="0"/>
        <w:jc w:val="center"/>
      </w:pPr>
      <w:r>
        <w:rPr>
          <w:b/>
          <w:color w:val="FF0000"/>
        </w:rPr>
        <w:t xml:space="preserve"> </w:t>
      </w:r>
    </w:p>
    <w:p w:rsidR="00025683" w:rsidRDefault="007C2AAB">
      <w:pPr>
        <w:spacing w:after="0" w:line="259" w:lineRule="auto"/>
        <w:ind w:left="22" w:firstLine="0"/>
        <w:jc w:val="left"/>
      </w:pPr>
      <w:r>
        <w:rPr>
          <w:b/>
          <w:sz w:val="20"/>
        </w:rPr>
        <w:t xml:space="preserve">         </w:t>
      </w:r>
    </w:p>
    <w:p w:rsidR="00025683" w:rsidRDefault="007C2AAB">
      <w:pPr>
        <w:spacing w:after="0" w:line="259" w:lineRule="auto"/>
        <w:ind w:left="22" w:firstLine="0"/>
        <w:jc w:val="left"/>
      </w:pPr>
      <w:r>
        <w:rPr>
          <w:b/>
          <w:sz w:val="20"/>
        </w:rPr>
        <w:t xml:space="preserve"> </w:t>
      </w:r>
    </w:p>
    <w:p w:rsidR="00025683" w:rsidRDefault="007C2AAB">
      <w:pPr>
        <w:spacing w:after="0" w:line="259" w:lineRule="auto"/>
        <w:ind w:left="22" w:firstLine="0"/>
        <w:jc w:val="left"/>
      </w:pPr>
      <w:r>
        <w:rPr>
          <w:b/>
          <w:sz w:val="20"/>
        </w:rPr>
        <w:t xml:space="preserve"> </w:t>
      </w:r>
    </w:p>
    <w:p w:rsidR="00025683" w:rsidRDefault="007C2AAB">
      <w:pPr>
        <w:spacing w:after="0" w:line="259" w:lineRule="auto"/>
        <w:ind w:left="22" w:firstLine="0"/>
        <w:jc w:val="left"/>
      </w:pPr>
      <w:r>
        <w:rPr>
          <w:b/>
          <w:sz w:val="20"/>
        </w:rPr>
        <w:t xml:space="preserve"> </w:t>
      </w:r>
    </w:p>
    <w:p w:rsidR="00025683" w:rsidRDefault="007C2AAB">
      <w:pPr>
        <w:spacing w:after="0" w:line="259" w:lineRule="auto"/>
        <w:ind w:left="22" w:firstLine="0"/>
        <w:jc w:val="left"/>
      </w:pPr>
      <w:r>
        <w:rPr>
          <w:b/>
          <w:sz w:val="20"/>
        </w:rPr>
        <w:t xml:space="preserve"> </w:t>
      </w:r>
    </w:p>
    <w:p w:rsidR="00025683" w:rsidRDefault="007C2AAB">
      <w:pPr>
        <w:spacing w:after="0" w:line="259" w:lineRule="auto"/>
        <w:ind w:left="22" w:firstLine="0"/>
        <w:jc w:val="left"/>
      </w:pPr>
      <w:r>
        <w:rPr>
          <w:b/>
          <w:sz w:val="20"/>
        </w:rPr>
        <w:t xml:space="preserve"> </w:t>
      </w:r>
    </w:p>
    <w:p w:rsidR="00025683" w:rsidRDefault="007C2AAB">
      <w:pPr>
        <w:spacing w:after="0" w:line="259" w:lineRule="auto"/>
        <w:ind w:left="22" w:firstLine="0"/>
        <w:jc w:val="left"/>
      </w:pPr>
      <w:r>
        <w:rPr>
          <w:b/>
          <w:sz w:val="20"/>
        </w:rPr>
        <w:t xml:space="preserve"> </w:t>
      </w:r>
    </w:p>
    <w:p w:rsidR="00025683" w:rsidRDefault="007C2AAB">
      <w:pPr>
        <w:spacing w:after="0" w:line="259" w:lineRule="auto"/>
        <w:ind w:left="22" w:firstLine="0"/>
        <w:jc w:val="left"/>
      </w:pPr>
      <w:r>
        <w:rPr>
          <w:b/>
          <w:sz w:val="20"/>
        </w:rPr>
        <w:t xml:space="preserve"> </w:t>
      </w:r>
    </w:p>
    <w:p w:rsidR="00025683" w:rsidRDefault="007C2AAB">
      <w:pPr>
        <w:spacing w:after="0" w:line="259" w:lineRule="auto"/>
        <w:ind w:left="22" w:firstLine="0"/>
        <w:jc w:val="left"/>
      </w:pPr>
      <w:r>
        <w:rPr>
          <w:b/>
          <w:sz w:val="20"/>
        </w:rPr>
        <w:t xml:space="preserve"> </w:t>
      </w:r>
    </w:p>
    <w:p w:rsidR="00025683" w:rsidRDefault="007C2AAB">
      <w:pPr>
        <w:spacing w:after="17" w:line="259" w:lineRule="auto"/>
        <w:ind w:left="22" w:firstLine="0"/>
        <w:jc w:val="left"/>
      </w:pPr>
      <w:r>
        <w:rPr>
          <w:b/>
          <w:sz w:val="20"/>
        </w:rPr>
        <w:t xml:space="preserve"> </w:t>
      </w:r>
    </w:p>
    <w:p w:rsidR="00025683" w:rsidRDefault="007C2AAB">
      <w:pPr>
        <w:spacing w:after="12"/>
        <w:ind w:left="22" w:right="197"/>
      </w:pPr>
      <w:r>
        <w:rPr>
          <w:b/>
          <w:sz w:val="20"/>
        </w:rPr>
        <w:t>12.</w:t>
      </w:r>
      <w:r>
        <w:rPr>
          <w:b/>
        </w:rPr>
        <w:t>ALTERNATIVA SELECCIONADA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7" w:hanging="10"/>
        <w:jc w:val="left"/>
      </w:pPr>
      <w:r>
        <w:rPr>
          <w:b/>
          <w:sz w:val="20"/>
        </w:rPr>
        <w:t>ALTERNATIVA 2: GARANTIZAR LA CONSERVACIÓN DE LOS VALORES PATRIMONIALES Y PRO-</w:t>
      </w:r>
    </w:p>
    <w:p w:rsidR="00025683" w:rsidRDefault="007C2AAB">
      <w:pPr>
        <w:spacing w:after="0" w:line="259" w:lineRule="auto"/>
        <w:ind w:left="17" w:hanging="10"/>
        <w:jc w:val="left"/>
      </w:pPr>
      <w:r>
        <w:rPr>
          <w:b/>
          <w:sz w:val="20"/>
        </w:rPr>
        <w:t>MOVER LA PROXIMIDAD DE LOS SERVICIOS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La alternativa 2 amplia el ámbito que delimita el Plan General, derivado del análisis histórico y constatada la existencia de valores patrimoniales en la Calle Reverendo Padre Simón Higuera, se propone la inclusión de las parcelas con frente a esta vía has</w:t>
      </w:r>
      <w:r>
        <w:rPr>
          <w:sz w:val="23"/>
        </w:rPr>
        <w:t xml:space="preserve">ta la Iglesia de Igueste de Candelaria y su plaza anexa.  </w:t>
      </w:r>
    </w:p>
    <w:p w:rsidR="00025683" w:rsidRDefault="007C2AAB">
      <w:pPr>
        <w:ind w:left="21" w:right="202"/>
      </w:pPr>
      <w:r>
        <w:rPr>
          <w:sz w:val="23"/>
        </w:rPr>
        <w:t xml:space="preserve">La inclusión de estos recintos viene motivada, principalmente, por la vinculación histórica con el </w:t>
      </w:r>
      <w:r>
        <w:rPr>
          <w:i/>
          <w:sz w:val="23"/>
        </w:rPr>
        <w:t>Camino de La Virgen</w:t>
      </w:r>
      <w:r>
        <w:rPr>
          <w:sz w:val="23"/>
        </w:rPr>
        <w:t>, siendo parte del recorrido de peregrinación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Esta alternativa se plantea co</w:t>
      </w:r>
      <w:r>
        <w:rPr>
          <w:sz w:val="23"/>
        </w:rPr>
        <w:t xml:space="preserve">n una visión estratégica, para lograr un mayor alcance en la ordenación y, por tanto, de los objetivos específicos del plan especial. Se trata de una </w:t>
      </w:r>
      <w:r>
        <w:rPr>
          <w:b/>
          <w:sz w:val="23"/>
        </w:rPr>
        <w:t xml:space="preserve">zona estratégica </w:t>
      </w:r>
      <w:r>
        <w:rPr>
          <w:sz w:val="23"/>
        </w:rPr>
        <w:t xml:space="preserve">donde se plantearía una tipología diferenciada del Caserío Tradicional estableciendo una </w:t>
      </w:r>
      <w:r>
        <w:rPr>
          <w:sz w:val="23"/>
        </w:rPr>
        <w:t xml:space="preserve">mayor flexibilidad de los parámetros urbanísticos. De este modo se promueve el desarrollo de otros </w:t>
      </w:r>
      <w:r>
        <w:rPr>
          <w:b/>
          <w:sz w:val="23"/>
        </w:rPr>
        <w:t>usos terciarios que garanticen la proximidad de la actividad cotidiana</w:t>
      </w:r>
      <w:r>
        <w:rPr>
          <w:sz w:val="23"/>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400109" name="Group 40010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785" name="Rectangle 14785"/>
                        <wps:cNvSpPr/>
                        <wps:spPr>
                          <a:xfrm rot="-5399999">
                            <a:off x="-1151584" y="2085021"/>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786" name="Rectangle 14786"/>
                        <wps:cNvSpPr/>
                        <wps:spPr>
                          <a:xfrm rot="-5399999">
                            <a:off x="-976166" y="2184239"/>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https://candelaria</w:t>
                              </w:r>
                              <w:r>
                                <w:rPr>
                                  <w:sz w:val="12"/>
                                </w:rPr>
                                <w:t xml:space="preserve">.sedelectronica.es/ </w:t>
                              </w:r>
                            </w:p>
                          </w:txbxContent>
                        </wps:txbx>
                        <wps:bodyPr horzOverflow="overflow" vert="horz" lIns="0" tIns="0" rIns="0" bIns="0" rtlCol="0">
                          <a:noAutofit/>
                        </wps:bodyPr>
                      </wps:wsp>
                      <wps:wsp>
                        <wps:cNvPr id="14787" name="Rectangle 14787"/>
                        <wps:cNvSpPr/>
                        <wps:spPr>
                          <a:xfrm rot="-5399999">
                            <a:off x="-2018623" y="1065581"/>
                            <a:ext cx="4455271"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113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0109" style="width:18.7031pt;height:263.766pt;position:absolute;mso-position-horizontal-relative:page;mso-position-horizontal:absolute;margin-left:662.928pt;mso-position-vertical-relative:page;margin-top:509.154pt;" coordsize="2375,33498">
                <v:rect id="Rectangle 14785" style="position:absolute;width:24163;height:1132;left:-11515;top:208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786"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787"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350 </w:t>
                        </w:r>
                      </w:p>
                    </w:txbxContent>
                  </v:textbox>
                </v:rect>
                <w10:wrap type="square"/>
              </v:group>
            </w:pict>
          </mc:Fallback>
        </mc:AlternateContent>
      </w:r>
      <w:r>
        <w:rPr>
          <w:sz w:val="23"/>
        </w:rPr>
        <w:t xml:space="preserve">La incorporación de estos recintos supone </w:t>
      </w:r>
      <w:r>
        <w:rPr>
          <w:b/>
          <w:sz w:val="23"/>
        </w:rPr>
        <w:t xml:space="preserve">un incremento de 18% </w:t>
      </w:r>
      <w:r>
        <w:rPr>
          <w:sz w:val="23"/>
        </w:rPr>
        <w:t xml:space="preserve">del total del ámbito del plan especial respecto a la delimitación definida </w:t>
      </w:r>
      <w:r>
        <w:rPr>
          <w:sz w:val="23"/>
        </w:rPr>
        <w:t xml:space="preserve">en el plan general, sumando una superficie total de </w:t>
      </w:r>
      <w:r>
        <w:rPr>
          <w:b/>
          <w:sz w:val="23"/>
        </w:rPr>
        <w:t>141.567,42 m²</w:t>
      </w:r>
      <w:r>
        <w:rPr>
          <w:sz w:val="23"/>
        </w:rPr>
        <w:t>. La ampliación que se propone no implica una modificación de la clase de suelo.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Con la ampliación del ámbito, se amplía el alcance de los objetivos específicos del plan especial desde tre</w:t>
      </w:r>
      <w:r>
        <w:rPr>
          <w:sz w:val="23"/>
        </w:rPr>
        <w:t xml:space="preserve">s puntos de vista: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b/>
          <w:sz w:val="23"/>
        </w:rPr>
        <w:t xml:space="preserve">Preservación de los valores patrimoniales, </w:t>
      </w:r>
      <w:r>
        <w:rPr>
          <w:sz w:val="23"/>
        </w:rPr>
        <w:t>ya que se incluye un número considerable de bienes que requieren de una protección especial al encontrarse, actualmente, en peligro de desaparición.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b/>
          <w:sz w:val="23"/>
        </w:rPr>
        <w:t>Paisajístico</w:t>
      </w:r>
      <w:r>
        <w:rPr>
          <w:sz w:val="23"/>
        </w:rPr>
        <w:t>, se han in</w:t>
      </w:r>
      <w:r>
        <w:rPr>
          <w:sz w:val="23"/>
        </w:rPr>
        <w:t>cluido parcelas vinculadas al caserío tradicional donde se aprecian las características propias del paisaje rural y que se excluyeron del ámbito definido por el plan general.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b/>
          <w:sz w:val="23"/>
        </w:rPr>
        <w:t>La Movilidad</w:t>
      </w:r>
      <w:r>
        <w:rPr>
          <w:sz w:val="23"/>
        </w:rPr>
        <w:t>, la inclusión de la calle Reverendo Padre Simón Higuera g</w:t>
      </w:r>
      <w:r>
        <w:rPr>
          <w:sz w:val="23"/>
        </w:rPr>
        <w:t xml:space="preserve">arantiza la funcionalidad de todo el sistema viario del Barrio de La Jiménez con una visión global. Este elemento resulta clave mejorar la relación del caserío con los equipamientos y áreas libres localizadas en el entorno de la iglesia. Concretamente; la </w:t>
      </w:r>
      <w:r>
        <w:rPr>
          <w:sz w:val="23"/>
        </w:rPr>
        <w:t>plaza de La Libertad, el centro cultural multifuncional “Porfirio Torres Cruz”, un parque infantil, la iglesia y plaza anexa y el terrero de lucha.</w:t>
      </w:r>
      <w:r>
        <w:rPr>
          <w:rFonts w:ascii="Times New Roman" w:eastAsia="Times New Roman" w:hAnsi="Times New Roman" w:cs="Times New Roman"/>
          <w:sz w:val="24"/>
        </w:rPr>
        <w:t xml:space="preserve"> </w:t>
      </w:r>
    </w:p>
    <w:p w:rsidR="00025683" w:rsidRDefault="007C2AAB">
      <w:pPr>
        <w:spacing w:after="0" w:line="259" w:lineRule="auto"/>
        <w:ind w:left="10" w:firstLine="0"/>
        <w:jc w:val="left"/>
      </w:pPr>
      <w:r>
        <w:rPr>
          <w:b/>
          <w:color w:val="FF0000"/>
        </w:rPr>
        <w:t xml:space="preserve"> </w:t>
      </w:r>
    </w:p>
    <w:p w:rsidR="00025683" w:rsidRDefault="007C2AAB">
      <w:pPr>
        <w:spacing w:after="130" w:line="259" w:lineRule="auto"/>
        <w:ind w:left="0" w:right="1019" w:firstLine="0"/>
        <w:jc w:val="right"/>
      </w:pPr>
      <w:r>
        <w:rPr>
          <w:noProof/>
        </w:rPr>
        <w:drawing>
          <wp:inline distT="0" distB="0" distL="0" distR="0">
            <wp:extent cx="5383904" cy="3124326"/>
            <wp:effectExtent l="0" t="0" r="0" b="0"/>
            <wp:docPr id="14859" name="Picture 14859"/>
            <wp:cNvGraphicFramePr/>
            <a:graphic xmlns:a="http://schemas.openxmlformats.org/drawingml/2006/main">
              <a:graphicData uri="http://schemas.openxmlformats.org/drawingml/2006/picture">
                <pic:pic xmlns:pic="http://schemas.openxmlformats.org/drawingml/2006/picture">
                  <pic:nvPicPr>
                    <pic:cNvPr id="14859" name="Picture 14859"/>
                    <pic:cNvPicPr/>
                  </pic:nvPicPr>
                  <pic:blipFill>
                    <a:blip r:embed="rId75"/>
                    <a:stretch>
                      <a:fillRect/>
                    </a:stretch>
                  </pic:blipFill>
                  <pic:spPr>
                    <a:xfrm>
                      <a:off x="0" y="0"/>
                      <a:ext cx="5383904" cy="312432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7" w:line="259" w:lineRule="auto"/>
        <w:ind w:left="10" w:firstLine="0"/>
        <w:jc w:val="left"/>
      </w:pPr>
      <w:r>
        <w:rPr>
          <w:b/>
          <w:sz w:val="18"/>
        </w:rPr>
        <w:t xml:space="preserve"> </w:t>
      </w:r>
    </w:p>
    <w:p w:rsidR="00025683" w:rsidRDefault="007C2AAB">
      <w:pPr>
        <w:spacing w:after="299" w:line="259" w:lineRule="auto"/>
        <w:ind w:left="10" w:firstLine="0"/>
        <w:jc w:val="left"/>
      </w:pPr>
      <w:r>
        <w:rPr>
          <w:b/>
          <w:sz w:val="18"/>
        </w:rPr>
        <w:t xml:space="preserve"> </w:t>
      </w:r>
    </w:p>
    <w:p w:rsidR="00025683" w:rsidRDefault="007C2AAB">
      <w:pPr>
        <w:spacing w:after="235" w:line="259" w:lineRule="auto"/>
        <w:ind w:left="10" w:hanging="10"/>
        <w:jc w:val="left"/>
      </w:pPr>
      <w:r>
        <w:rPr>
          <w:b/>
          <w:sz w:val="18"/>
        </w:rPr>
        <w:t>ALTERNATIVA 2 SELECCIONADA</w:t>
      </w:r>
      <w:r>
        <w:rPr>
          <w:rFonts w:ascii="Times New Roman" w:eastAsia="Times New Roman" w:hAnsi="Times New Roman" w:cs="Times New Roman"/>
          <w:sz w:val="24"/>
        </w:rPr>
        <w:t xml:space="preserve"> </w:t>
      </w:r>
    </w:p>
    <w:p w:rsidR="00025683" w:rsidRDefault="007C2AAB">
      <w:pPr>
        <w:ind w:left="21" w:right="202"/>
      </w:pPr>
      <w:r>
        <w:rPr>
          <w:sz w:val="23"/>
        </w:rPr>
        <w:t xml:space="preserve">El objetivo sería la regulación de las condiciones estéticas y de ornato de los inmuebles y espacios públicos incluidos en el ámbito del plan especial considerando lo siguiente:  </w:t>
      </w:r>
    </w:p>
    <w:p w:rsidR="00025683" w:rsidRDefault="007C2AAB">
      <w:pPr>
        <w:spacing w:after="21" w:line="259" w:lineRule="auto"/>
        <w:ind w:left="14" w:firstLine="0"/>
        <w:jc w:val="left"/>
      </w:pPr>
      <w:r>
        <w:rPr>
          <w:sz w:val="23"/>
        </w:rPr>
        <w:t xml:space="preserve"> </w:t>
      </w:r>
    </w:p>
    <w:p w:rsidR="00025683" w:rsidRDefault="007C2AAB">
      <w:pPr>
        <w:numPr>
          <w:ilvl w:val="0"/>
          <w:numId w:val="39"/>
        </w:numPr>
        <w:spacing w:after="29"/>
        <w:ind w:right="202"/>
      </w:pPr>
      <w:r>
        <w:rPr>
          <w:sz w:val="23"/>
        </w:rPr>
        <w:t xml:space="preserve">Actuaciones en los paramentos exteriores de la edificación.  </w:t>
      </w:r>
    </w:p>
    <w:p w:rsidR="00025683" w:rsidRDefault="007C2AAB">
      <w:pPr>
        <w:numPr>
          <w:ilvl w:val="0"/>
          <w:numId w:val="39"/>
        </w:numPr>
        <w:spacing w:after="29"/>
        <w:ind w:right="202"/>
      </w:pPr>
      <w:r>
        <w:rPr>
          <w:sz w:val="23"/>
        </w:rPr>
        <w:t xml:space="preserve">Actuaciones </w:t>
      </w:r>
      <w:r>
        <w:rPr>
          <w:sz w:val="23"/>
        </w:rPr>
        <w:t xml:space="preserve">en la cubierta.  </w:t>
      </w:r>
    </w:p>
    <w:p w:rsidR="00025683" w:rsidRDefault="007C2AAB">
      <w:pPr>
        <w:numPr>
          <w:ilvl w:val="0"/>
          <w:numId w:val="39"/>
        </w:numPr>
        <w:spacing w:after="31"/>
        <w:ind w:right="202"/>
      </w:pPr>
      <w:r>
        <w:rPr>
          <w:sz w:val="23"/>
        </w:rPr>
        <w:t xml:space="preserve">Actuaciones en las medianeras.  </w:t>
      </w:r>
    </w:p>
    <w:p w:rsidR="00025683" w:rsidRDefault="007C2AAB">
      <w:pPr>
        <w:numPr>
          <w:ilvl w:val="0"/>
          <w:numId w:val="39"/>
        </w:numPr>
        <w:spacing w:after="32"/>
        <w:ind w:right="202"/>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99478" name="Group 39947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862" name="Rectangle 14862"/>
                        <wps:cNvSpPr/>
                        <wps:spPr>
                          <a:xfrm rot="-5399999">
                            <a:off x="-1151584" y="2085021"/>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863" name="Rectangle 14863"/>
                        <wps:cNvSpPr/>
                        <wps:spPr>
                          <a:xfrm rot="-5399999">
                            <a:off x="-976166" y="2184239"/>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864" name="Rectangle 14864"/>
                        <wps:cNvSpPr/>
                        <wps:spPr>
                          <a:xfrm rot="-5399999">
                            <a:off x="-2018623" y="1065581"/>
                            <a:ext cx="4455271"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114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9478" style="width:18.7031pt;height:263.766pt;position:absolute;mso-position-horizontal-relative:page;mso-position-horizontal:absolute;margin-left:662.928pt;mso-position-vertical-relative:page;margin-top:509.154pt;" coordsize="2375,33498">
                <v:rect id="Rectangle 14862" style="position:absolute;width:24163;height:1132;left:-11515;top:208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86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86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350 </w:t>
                        </w:r>
                      </w:p>
                    </w:txbxContent>
                  </v:textbox>
                </v:rect>
                <w10:wrap type="square"/>
              </v:group>
            </w:pict>
          </mc:Fallback>
        </mc:AlternateContent>
      </w:r>
      <w:r>
        <w:rPr>
          <w:sz w:val="23"/>
        </w:rPr>
        <w:t xml:space="preserve">Actuaciones en la fachada.  </w:t>
      </w:r>
    </w:p>
    <w:p w:rsidR="00025683" w:rsidRDefault="007C2AAB">
      <w:pPr>
        <w:numPr>
          <w:ilvl w:val="0"/>
          <w:numId w:val="39"/>
        </w:numPr>
        <w:ind w:right="202"/>
      </w:pPr>
      <w:r>
        <w:rPr>
          <w:sz w:val="23"/>
        </w:rPr>
        <w:t xml:space="preserve">Consideraciones relativas al cromatismo.  </w:t>
      </w:r>
    </w:p>
    <w:p w:rsidR="00025683" w:rsidRDefault="007C2AAB">
      <w:pPr>
        <w:numPr>
          <w:ilvl w:val="0"/>
          <w:numId w:val="39"/>
        </w:numPr>
        <w:spacing w:after="30"/>
        <w:ind w:right="202"/>
      </w:pPr>
      <w:r>
        <w:rPr>
          <w:sz w:val="23"/>
        </w:rPr>
        <w:t xml:space="preserve">Composición de la fachada.  </w:t>
      </w:r>
    </w:p>
    <w:p w:rsidR="00025683" w:rsidRDefault="007C2AAB">
      <w:pPr>
        <w:numPr>
          <w:ilvl w:val="0"/>
          <w:numId w:val="39"/>
        </w:numPr>
        <w:spacing w:after="29"/>
        <w:ind w:right="202"/>
      </w:pPr>
      <w:r>
        <w:rPr>
          <w:sz w:val="23"/>
        </w:rPr>
        <w:t xml:space="preserve">Materiales.  </w:t>
      </w:r>
    </w:p>
    <w:p w:rsidR="00025683" w:rsidRDefault="007C2AAB">
      <w:pPr>
        <w:numPr>
          <w:ilvl w:val="0"/>
          <w:numId w:val="39"/>
        </w:numPr>
        <w:spacing w:after="31"/>
        <w:ind w:right="202"/>
      </w:pPr>
      <w:r>
        <w:rPr>
          <w:sz w:val="23"/>
        </w:rPr>
        <w:t xml:space="preserve">Elementos antepuestos y sobrepuestos, otros elementos decorativos.  </w:t>
      </w:r>
    </w:p>
    <w:p w:rsidR="00025683" w:rsidRDefault="007C2AAB">
      <w:pPr>
        <w:numPr>
          <w:ilvl w:val="0"/>
          <w:numId w:val="39"/>
        </w:numPr>
        <w:spacing w:after="31"/>
        <w:ind w:right="202"/>
      </w:pPr>
      <w:r>
        <w:rPr>
          <w:sz w:val="23"/>
        </w:rPr>
        <w:t xml:space="preserve">Carteles publicitarios.  </w:t>
      </w:r>
    </w:p>
    <w:p w:rsidR="00025683" w:rsidRDefault="007C2AAB">
      <w:pPr>
        <w:numPr>
          <w:ilvl w:val="0"/>
          <w:numId w:val="39"/>
        </w:numPr>
        <w:ind w:right="202"/>
      </w:pPr>
      <w:r>
        <w:rPr>
          <w:sz w:val="23"/>
        </w:rPr>
        <w:t>Instalaciones en fachada.  • Diseño de espacio</w:t>
      </w:r>
      <w:r>
        <w:rPr>
          <w:sz w:val="23"/>
        </w:rPr>
        <w:t>s libres.</w:t>
      </w:r>
      <w:r>
        <w:rPr>
          <w:rFonts w:ascii="Times New Roman" w:eastAsia="Times New Roman" w:hAnsi="Times New Roman" w:cs="Times New Roman"/>
          <w:sz w:val="24"/>
        </w:rPr>
        <w:t xml:space="preserve"> </w:t>
      </w:r>
    </w:p>
    <w:p w:rsidR="00025683" w:rsidRDefault="007C2AAB">
      <w:pPr>
        <w:numPr>
          <w:ilvl w:val="0"/>
          <w:numId w:val="39"/>
        </w:numPr>
        <w:spacing w:after="29"/>
        <w:ind w:right="202"/>
      </w:pPr>
      <w:r>
        <w:rPr>
          <w:sz w:val="23"/>
        </w:rPr>
        <w:t xml:space="preserve">Mobiliario urbano.  </w:t>
      </w:r>
    </w:p>
    <w:p w:rsidR="00025683" w:rsidRDefault="007C2AAB">
      <w:pPr>
        <w:numPr>
          <w:ilvl w:val="0"/>
          <w:numId w:val="39"/>
        </w:numPr>
        <w:ind w:right="202"/>
      </w:pPr>
      <w:r>
        <w:rPr>
          <w:sz w:val="23"/>
        </w:rPr>
        <w:t xml:space="preserve">Tratamiento de vías de plataforma única.  </w:t>
      </w:r>
    </w:p>
    <w:p w:rsidR="00025683" w:rsidRDefault="007C2AAB">
      <w:pPr>
        <w:numPr>
          <w:ilvl w:val="0"/>
          <w:numId w:val="39"/>
        </w:numPr>
        <w:ind w:right="202"/>
      </w:pPr>
      <w:r>
        <w:rPr>
          <w:sz w:val="23"/>
        </w:rPr>
        <w:t xml:space="preserve">Iluminación urbana.  </w:t>
      </w:r>
    </w:p>
    <w:p w:rsidR="00025683" w:rsidRDefault="007C2AAB">
      <w:pPr>
        <w:spacing w:after="0" w:line="244" w:lineRule="auto"/>
        <w:ind w:left="14" w:right="9501" w:firstLine="0"/>
        <w:jc w:val="left"/>
      </w:pPr>
      <w:r>
        <w:rPr>
          <w:sz w:val="23"/>
        </w:rPr>
        <w:t xml:space="preserve"> </w:t>
      </w:r>
      <w:r>
        <w:rPr>
          <w:b/>
          <w:sz w:val="20"/>
        </w:rPr>
        <w:t xml:space="preserve"> </w:t>
      </w:r>
    </w:p>
    <w:p w:rsidR="00025683" w:rsidRDefault="007C2AAB">
      <w:pPr>
        <w:spacing w:after="0" w:line="259" w:lineRule="auto"/>
        <w:ind w:left="22" w:firstLine="0"/>
        <w:jc w:val="left"/>
      </w:pPr>
      <w:r>
        <w:rPr>
          <w:b/>
          <w:sz w:val="20"/>
        </w:rPr>
        <w:t xml:space="preserve"> </w:t>
      </w:r>
    </w:p>
    <w:p w:rsidR="00025683" w:rsidRDefault="007C2AAB">
      <w:pPr>
        <w:spacing w:after="0" w:line="259" w:lineRule="auto"/>
        <w:ind w:left="22" w:firstLine="0"/>
        <w:jc w:val="left"/>
      </w:pPr>
      <w:r>
        <w:rPr>
          <w:b/>
          <w:sz w:val="20"/>
        </w:rPr>
        <w:t xml:space="preserve"> </w:t>
      </w:r>
    </w:p>
    <w:p w:rsidR="00025683" w:rsidRDefault="007C2AAB">
      <w:pPr>
        <w:spacing w:after="0" w:line="259" w:lineRule="auto"/>
        <w:ind w:left="22" w:firstLine="0"/>
        <w:jc w:val="left"/>
      </w:pPr>
      <w:r>
        <w:rPr>
          <w:b/>
          <w:sz w:val="20"/>
        </w:rPr>
        <w:t xml:space="preserve"> </w:t>
      </w:r>
    </w:p>
    <w:p w:rsidR="00025683" w:rsidRDefault="007C2AAB">
      <w:pPr>
        <w:spacing w:line="249" w:lineRule="auto"/>
        <w:ind w:left="17" w:right="198" w:hanging="10"/>
      </w:pPr>
      <w:r>
        <w:rPr>
          <w:b/>
          <w:sz w:val="20"/>
        </w:rPr>
        <w:t xml:space="preserve">       13.</w:t>
      </w:r>
      <w:r>
        <w:rPr>
          <w:b/>
          <w:sz w:val="23"/>
        </w:rPr>
        <w:t>OBJETO DEL PLAN ESPECIAL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Respecto a la ordenación, el plan especial como instrumento de desarrollo mantiene las clases y categorías del suelo definidas por el plan general en el que incluyen suelo urbano consolidado y suelo rústico.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En base a estas clases de suelo, la ordenació</w:t>
      </w:r>
      <w:r>
        <w:rPr>
          <w:sz w:val="23"/>
        </w:rPr>
        <w:t xml:space="preserve">n del plan especial se dirige a garantizar la conservación de los valores patrimoniales y promover la proximidad de los servicios existentes. En este sentido, cabe destacar las líneas estratégicas que se resumen a continuación: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Régimen de usos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Movilidad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Espacios Libres y Equipamientos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Regulación de la edificación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Protección del Patrimonio: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Régimen cautelar de protección </w:t>
      </w:r>
      <w:r>
        <w:rPr>
          <w:rFonts w:ascii="Times New Roman" w:eastAsia="Times New Roman" w:hAnsi="Times New Roman" w:cs="Times New Roman"/>
          <w:sz w:val="24"/>
        </w:rPr>
        <w:t xml:space="preserve"> </w:t>
      </w:r>
    </w:p>
    <w:p w:rsidR="00025683" w:rsidRDefault="007C2AAB">
      <w:pPr>
        <w:spacing w:after="0" w:line="259" w:lineRule="auto"/>
        <w:ind w:left="19"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98690" name="Group 39869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4973" name="Rectangle 14973"/>
                        <wps:cNvSpPr/>
                        <wps:spPr>
                          <a:xfrm rot="-5399999">
                            <a:off x="-1151584" y="2085021"/>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4974" name="Rectangle 14974"/>
                        <wps:cNvSpPr/>
                        <wps:spPr>
                          <a:xfrm rot="-5399999">
                            <a:off x="-976166" y="2184239"/>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4975" name="Rectangle 14975"/>
                        <wps:cNvSpPr/>
                        <wps:spPr>
                          <a:xfrm rot="-5399999">
                            <a:off x="-2018623" y="1065581"/>
                            <a:ext cx="4455271"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115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690" style="width:18.7031pt;height:263.766pt;position:absolute;mso-position-horizontal-relative:page;mso-position-horizontal:absolute;margin-left:662.928pt;mso-position-vertical-relative:page;margin-top:509.154pt;" coordsize="2375,33498">
                <v:rect id="Rectangle 14973" style="position:absolute;width:24163;height:1132;left:-11515;top:208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4974"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4975"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350 </w:t>
                        </w:r>
                      </w:p>
                    </w:txbxContent>
                  </v:textbox>
                </v:rect>
                <w10:wrap type="square"/>
              </v:group>
            </w:pict>
          </mc:Fallback>
        </mc:AlternateContent>
      </w:r>
      <w:r>
        <w:rPr>
          <w:rFonts w:ascii="Times New Roman" w:eastAsia="Times New Roman" w:hAnsi="Times New Roman" w:cs="Times New Roman"/>
          <w:sz w:val="23"/>
        </w:rPr>
        <w:t xml:space="preserve">        •</w:t>
      </w:r>
      <w:r>
        <w:rPr>
          <w:sz w:val="23"/>
        </w:rPr>
        <w:t>Inventario de Bienes Patrimoniales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Por un lado, para estas edificaciones identificadas en el inventario de bienes patrimoniales culturales del tomo I de información se establece un régimen específico transitorio, en tanto no se actualice el catálogo municipal vigente. </w:t>
      </w:r>
    </w:p>
    <w:p w:rsidR="00025683" w:rsidRDefault="007C2AAB">
      <w:pPr>
        <w:ind w:left="21" w:right="202"/>
      </w:pPr>
      <w:r>
        <w:rPr>
          <w:sz w:val="23"/>
        </w:rPr>
        <w:t>Por otro lado, se mej</w:t>
      </w:r>
      <w:r>
        <w:rPr>
          <w:sz w:val="23"/>
        </w:rPr>
        <w:t xml:space="preserve">oran las condiciones del sistema de movilidad para mejorar su funcionalidad y aproximar los equipamientos existentes a las personas residentes en el caserío de La Jiménez.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Paralelamente, se amplía la superficie de espacios libres y sus condiciones de a</w:t>
      </w:r>
      <w:r>
        <w:rPr>
          <w:sz w:val="23"/>
        </w:rPr>
        <w:t xml:space="preserve">ccesibilidad para favorecer la integración paisajística del suelo urbano y garantizar el acceso a pequeñas zonas de estancia, localizadas a lo largo de las vías con pendientes pronunciadas.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Se incorpora un nuevo equipamiento para rehabilitar una constr</w:t>
      </w:r>
      <w:r>
        <w:rPr>
          <w:sz w:val="23"/>
        </w:rPr>
        <w:t xml:space="preserve">ucción con valores patrimoniales que formará parte de una estrategia de conexión del Lomo Acoroma, con los equipamientos y espacios libres existentes.  </w:t>
      </w:r>
    </w:p>
    <w:p w:rsidR="00025683" w:rsidRDefault="007C2AAB">
      <w:pPr>
        <w:spacing w:after="242" w:line="259" w:lineRule="auto"/>
        <w:ind w:left="10" w:firstLine="0"/>
        <w:jc w:val="left"/>
      </w:pPr>
      <w:r>
        <w:rPr>
          <w:sz w:val="23"/>
        </w:rPr>
        <w:t xml:space="preserve"> </w:t>
      </w:r>
    </w:p>
    <w:p w:rsidR="00025683" w:rsidRDefault="007C2AAB">
      <w:pPr>
        <w:spacing w:after="238"/>
        <w:ind w:left="21" w:right="696"/>
      </w:pPr>
      <w:r>
        <w:rPr>
          <w:sz w:val="23"/>
        </w:rPr>
        <w:t>Se promueve la flexibilización del uso residencial para permitir el desarrollo de modelos residenciales colaborativos como el cohousing, dada su creciente implantación y demanda.</w:t>
      </w:r>
      <w:r>
        <w:rPr>
          <w:rFonts w:ascii="Times New Roman" w:eastAsia="Times New Roman" w:hAnsi="Times New Roman" w:cs="Times New Roman"/>
          <w:sz w:val="24"/>
        </w:rPr>
        <w:t xml:space="preserve"> </w:t>
      </w:r>
    </w:p>
    <w:p w:rsidR="00025683" w:rsidRDefault="007C2AAB">
      <w:pPr>
        <w:spacing w:after="0" w:line="259" w:lineRule="auto"/>
        <w:ind w:left="10" w:firstLine="0"/>
        <w:jc w:val="left"/>
      </w:pPr>
      <w:r>
        <w:rPr>
          <w:b/>
          <w:color w:val="FF0000"/>
        </w:rPr>
        <w:t xml:space="preserve"> </w:t>
      </w:r>
    </w:p>
    <w:p w:rsidR="00025683" w:rsidRDefault="007C2AAB">
      <w:pPr>
        <w:spacing w:after="12"/>
        <w:ind w:left="22" w:right="197"/>
      </w:pPr>
      <w:r>
        <w:rPr>
          <w:b/>
          <w:sz w:val="20"/>
        </w:rPr>
        <w:t xml:space="preserve">          14.</w:t>
      </w:r>
      <w:r>
        <w:rPr>
          <w:b/>
        </w:rPr>
        <w:t>ACTUACIONES PROPUESTAS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21" w:right="202"/>
      </w:pPr>
      <w:r>
        <w:rPr>
          <w:sz w:val="23"/>
        </w:rPr>
        <w:t>La totalidad de las actuaciones urb</w:t>
      </w:r>
      <w:r>
        <w:rPr>
          <w:sz w:val="23"/>
        </w:rPr>
        <w:t xml:space="preserve">anísticas constituyen en los términos del artículo 259 de la LSENPC, actuaciones urbanísticas aisladas (AUA), a ejecutar como obras públicas ordinarias. </w:t>
      </w:r>
    </w:p>
    <w:p w:rsidR="00025683" w:rsidRDefault="007C2AAB">
      <w:pPr>
        <w:spacing w:after="0" w:line="259" w:lineRule="auto"/>
        <w:ind w:left="14" w:firstLine="0"/>
        <w:jc w:val="left"/>
      </w:pPr>
      <w:r>
        <w:rPr>
          <w:color w:val="8A1C3F"/>
          <w:sz w:val="23"/>
        </w:rPr>
        <w:t xml:space="preserve"> </w:t>
      </w:r>
    </w:p>
    <w:p w:rsidR="00025683" w:rsidRDefault="007C2AAB">
      <w:pPr>
        <w:numPr>
          <w:ilvl w:val="0"/>
          <w:numId w:val="40"/>
        </w:numPr>
        <w:ind w:right="202"/>
      </w:pPr>
      <w:r>
        <w:rPr>
          <w:b/>
          <w:sz w:val="23"/>
        </w:rPr>
        <w:t xml:space="preserve">Actuaciones de mejora y acondicionamiento de espacios libres y víarios existentes: </w:t>
      </w:r>
      <w:r>
        <w:rPr>
          <w:sz w:val="23"/>
        </w:rPr>
        <w:t>Se trata de inter</w:t>
      </w:r>
      <w:r>
        <w:rPr>
          <w:sz w:val="23"/>
        </w:rPr>
        <w:t>venciones en el espacio público donde las condiciones actuales hacen necesarias la ejecución de obras destinadas a mejorar la calidad del entorno urbano. Son obras de reparación de pavimentos en vías peatonales, rampas y escaleras, de sustitución de mobili</w:t>
      </w:r>
      <w:r>
        <w:rPr>
          <w:sz w:val="23"/>
        </w:rPr>
        <w:t xml:space="preserve">ario urbano y elementos de señalización en mal estado de conservación y obras de embellecimiento como pintado y reposición de vegetación. La finalidad de estas actuaciones es mejorar la accesibilidad, la seguridad y funcionalidad para todas las personas. </w:t>
      </w:r>
      <w:r>
        <w:rPr>
          <w:rFonts w:ascii="Times New Roman" w:eastAsia="Times New Roman" w:hAnsi="Times New Roman" w:cs="Times New Roman"/>
          <w:sz w:val="24"/>
        </w:rPr>
        <w:t xml:space="preserve"> </w:t>
      </w:r>
    </w:p>
    <w:p w:rsidR="00025683" w:rsidRDefault="007C2AAB">
      <w:pPr>
        <w:numPr>
          <w:ilvl w:val="0"/>
          <w:numId w:val="40"/>
        </w:numPr>
        <w:ind w:right="202"/>
      </w:pPr>
      <w:r>
        <w:rPr>
          <w:b/>
          <w:sz w:val="23"/>
        </w:rPr>
        <w:t xml:space="preserve">Actuaciones de renovación y reforma de víarios existentes: </w:t>
      </w:r>
      <w:r>
        <w:rPr>
          <w:sz w:val="23"/>
        </w:rPr>
        <w:t>Se distinguen de las anteriores por el alcance de las obras, ya que implica una transformación integral del espacio público, tanto de la calidad ambiental, como de su funcionalidad. Además de reor</w:t>
      </w:r>
      <w:r>
        <w:rPr>
          <w:sz w:val="23"/>
        </w:rPr>
        <w:t xml:space="preserve">denar las vías y sus elementos, estas actuaciones incluyen el soterramiento y mejora de las instalaciones existentes. </w:t>
      </w:r>
      <w:r>
        <w:rPr>
          <w:rFonts w:ascii="Times New Roman" w:eastAsia="Times New Roman" w:hAnsi="Times New Roman" w:cs="Times New Roman"/>
          <w:sz w:val="24"/>
        </w:rPr>
        <w:t xml:space="preserve"> </w:t>
      </w:r>
    </w:p>
    <w:p w:rsidR="00025683" w:rsidRDefault="007C2AAB">
      <w:pPr>
        <w:numPr>
          <w:ilvl w:val="0"/>
          <w:numId w:val="40"/>
        </w:numPr>
        <w:ind w:right="202"/>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399047" name="Group 39904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5072" name="Rectangle 15072"/>
                        <wps:cNvSpPr/>
                        <wps:spPr>
                          <a:xfrm rot="-5399999">
                            <a:off x="-1151584" y="2085021"/>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073" name="Rectangle 15073"/>
                        <wps:cNvSpPr/>
                        <wps:spPr>
                          <a:xfrm rot="-5399999">
                            <a:off x="-976166" y="2184239"/>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074" name="Rectangle 15074"/>
                        <wps:cNvSpPr/>
                        <wps:spPr>
                          <a:xfrm rot="-5399999">
                            <a:off x="-2018623" y="1065581"/>
                            <a:ext cx="4455271"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w:t>
                              </w:r>
                              <w:r>
                                <w:rPr>
                                  <w:sz w:val="12"/>
                                </w:rPr>
                                <w:t xml:space="preserve">te desde la plataforma esPublico Gestiona | Página 116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9047" style="width:18.7031pt;height:263.766pt;position:absolute;mso-position-horizontal-relative:page;mso-position-horizontal:absolute;margin-left:662.928pt;mso-position-vertical-relative:page;margin-top:509.154pt;" coordsize="2375,33498">
                <v:rect id="Rectangle 15072" style="position:absolute;width:24163;height:1132;left:-11515;top:208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07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07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350 </w:t>
                        </w:r>
                      </w:p>
                    </w:txbxContent>
                  </v:textbox>
                </v:rect>
                <w10:wrap type="square"/>
              </v:group>
            </w:pict>
          </mc:Fallback>
        </mc:AlternateContent>
      </w:r>
      <w:r>
        <w:rPr>
          <w:b/>
          <w:sz w:val="23"/>
        </w:rPr>
        <w:t xml:space="preserve">Actuaciones para la obtención y ejecución de nuevos espacios libres, víarios y equipamientos: </w:t>
      </w:r>
      <w:r>
        <w:rPr>
          <w:sz w:val="23"/>
        </w:rPr>
        <w:t>Previo a la ejecución de los nuevos espacios libres, víarios y equipamientos definidos en la ordena</w:t>
      </w:r>
      <w:r>
        <w:rPr>
          <w:sz w:val="23"/>
        </w:rPr>
        <w:t>ción, se llevará a cabo la obtención de estos suelos mediante el sistema de gestión definido en el programa de actuaciones. La finalidad de estas actuaciones es implementar el sistema de espacios libres denominados “apartaderos”, mejorar la funcionalidad d</w:t>
      </w:r>
      <w:r>
        <w:rPr>
          <w:sz w:val="23"/>
        </w:rPr>
        <w:t>el sistema víario conectando las calles La Jiménez - La Morrita y ampliar las dotaciones a través de la rehabilitación y ampliación de un inmueble con valores patrimoniales culturales, a la vez que se mejora la conexión de Lomo Acoroma con la calle El Pico</w:t>
      </w:r>
      <w:r>
        <w:rPr>
          <w:sz w:val="23"/>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Las actuaciones en el espacio público que se proponen en el plan se representan en el plano de ordenación OP-4 “Actuaciones urbanísticas aisladas”, identificadas con un código (AUA</w:t>
      </w:r>
      <w:r>
        <w:rPr>
          <w:sz w:val="23"/>
        </w:rPr>
        <w:t xml:space="preserve">nº), su denominación y el objeto que la definen. Se describen en el Programa de Actuaciones incorporado al Tomo II.5 “Estudio Económico Financiero”.  </w:t>
      </w:r>
    </w:p>
    <w:p w:rsidR="00025683" w:rsidRDefault="007C2AAB">
      <w:pPr>
        <w:spacing w:after="235"/>
        <w:ind w:left="21" w:right="695"/>
      </w:pPr>
      <w:r>
        <w:rPr>
          <w:sz w:val="23"/>
        </w:rPr>
        <w:t xml:space="preserve">En resumen, se han definido un total de </w:t>
      </w:r>
      <w:r>
        <w:rPr>
          <w:b/>
          <w:sz w:val="23"/>
        </w:rPr>
        <w:t>19 actuaciones</w:t>
      </w:r>
      <w:r>
        <w:rPr>
          <w:sz w:val="23"/>
        </w:rPr>
        <w:t>, de las cuales, una, está destinada a la ejecución</w:t>
      </w:r>
      <w:r>
        <w:rPr>
          <w:sz w:val="23"/>
        </w:rPr>
        <w:t xml:space="preserve"> de una dotación y el resto, son actuaciones en espacios libres y viarios. Se propone se realicen mediante obras públicas ordinarias</w:t>
      </w:r>
      <w:r>
        <w:rPr>
          <w:rFonts w:ascii="Times New Roman" w:eastAsia="Times New Roman" w:hAnsi="Times New Roman" w:cs="Times New Roman"/>
          <w:sz w:val="24"/>
        </w:rPr>
        <w:t xml:space="preserve"> </w:t>
      </w:r>
    </w:p>
    <w:p w:rsidR="00025683" w:rsidRDefault="007C2AAB">
      <w:pPr>
        <w:spacing w:after="244" w:line="259" w:lineRule="auto"/>
        <w:ind w:left="10" w:firstLine="0"/>
        <w:jc w:val="left"/>
      </w:pPr>
      <w:r>
        <w:rPr>
          <w:b/>
          <w:color w:val="FF0000"/>
        </w:rPr>
        <w:t xml:space="preserve"> </w:t>
      </w:r>
    </w:p>
    <w:p w:rsidR="00025683" w:rsidRDefault="007C2AAB">
      <w:pPr>
        <w:spacing w:after="0" w:line="259" w:lineRule="auto"/>
        <w:ind w:left="0" w:right="623" w:firstLine="0"/>
        <w:jc w:val="center"/>
      </w:pPr>
      <w:r>
        <w:rPr>
          <w:b/>
          <w:color w:val="FF0000"/>
        </w:rPr>
        <w:t xml:space="preserve"> </w:t>
      </w:r>
    </w:p>
    <w:p w:rsidR="00025683" w:rsidRDefault="007C2AAB">
      <w:pPr>
        <w:spacing w:after="168" w:line="259" w:lineRule="auto"/>
        <w:ind w:left="0" w:right="827" w:firstLine="0"/>
        <w:jc w:val="right"/>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98958" name="Group 39895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5110" name="Rectangle 15110"/>
                        <wps:cNvSpPr/>
                        <wps:spPr>
                          <a:xfrm rot="-5399999">
                            <a:off x="-1151584" y="2085021"/>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111" name="Rectangle 15111"/>
                        <wps:cNvSpPr/>
                        <wps:spPr>
                          <a:xfrm rot="-5399999">
                            <a:off x="-976166" y="2184239"/>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112" name="Rectangle 15112"/>
                        <wps:cNvSpPr/>
                        <wps:spPr>
                          <a:xfrm rot="-5399999">
                            <a:off x="-2018623" y="1065581"/>
                            <a:ext cx="4455271"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117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958" style="width:18.7031pt;height:263.766pt;position:absolute;mso-position-horizontal-relative:page;mso-position-horizontal:absolute;margin-left:662.928pt;mso-position-vertical-relative:page;margin-top:509.154pt;" coordsize="2375,33498">
                <v:rect id="Rectangle 15110" style="position:absolute;width:24163;height:1132;left:-11515;top:208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111"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112"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350 </w:t>
                        </w:r>
                      </w:p>
                    </w:txbxContent>
                  </v:textbox>
                </v:rect>
                <w10:wrap type="topAndBottom"/>
              </v:group>
            </w:pict>
          </mc:Fallback>
        </mc:AlternateContent>
      </w:r>
      <w:r>
        <w:rPr>
          <w:noProof/>
        </w:rPr>
        <w:drawing>
          <wp:inline distT="0" distB="0" distL="0" distR="0">
            <wp:extent cx="5382975" cy="4809678"/>
            <wp:effectExtent l="0" t="0" r="0" b="0"/>
            <wp:docPr id="15107" name="Picture 15107"/>
            <wp:cNvGraphicFramePr/>
            <a:graphic xmlns:a="http://schemas.openxmlformats.org/drawingml/2006/main">
              <a:graphicData uri="http://schemas.openxmlformats.org/drawingml/2006/picture">
                <pic:pic xmlns:pic="http://schemas.openxmlformats.org/drawingml/2006/picture">
                  <pic:nvPicPr>
                    <pic:cNvPr id="15107" name="Picture 15107"/>
                    <pic:cNvPicPr/>
                  </pic:nvPicPr>
                  <pic:blipFill>
                    <a:blip r:embed="rId76"/>
                    <a:stretch>
                      <a:fillRect/>
                    </a:stretch>
                  </pic:blipFill>
                  <pic:spPr>
                    <a:xfrm>
                      <a:off x="0" y="0"/>
                      <a:ext cx="5382975" cy="4809678"/>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4448" w:firstLine="0"/>
        <w:jc w:val="left"/>
      </w:pPr>
      <w:r>
        <w:rPr>
          <w:b/>
          <w:color w:val="FF0000"/>
        </w:rPr>
        <w:t xml:space="preserve"> </w:t>
      </w:r>
    </w:p>
    <w:p w:rsidR="00025683" w:rsidRDefault="007C2AAB">
      <w:pPr>
        <w:spacing w:after="165" w:line="259" w:lineRule="auto"/>
        <w:ind w:left="0" w:right="988" w:firstLine="0"/>
        <w:jc w:val="right"/>
      </w:pPr>
      <w:r>
        <w:rPr>
          <w:noProof/>
        </w:rPr>
        <w:drawing>
          <wp:inline distT="0" distB="0" distL="0" distR="0">
            <wp:extent cx="5386428" cy="6000051"/>
            <wp:effectExtent l="0" t="0" r="0" b="0"/>
            <wp:docPr id="15142" name="Picture 15142"/>
            <wp:cNvGraphicFramePr/>
            <a:graphic xmlns:a="http://schemas.openxmlformats.org/drawingml/2006/main">
              <a:graphicData uri="http://schemas.openxmlformats.org/drawingml/2006/picture">
                <pic:pic xmlns:pic="http://schemas.openxmlformats.org/drawingml/2006/picture">
                  <pic:nvPicPr>
                    <pic:cNvPr id="15142" name="Picture 15142"/>
                    <pic:cNvPicPr/>
                  </pic:nvPicPr>
                  <pic:blipFill>
                    <a:blip r:embed="rId77"/>
                    <a:stretch>
                      <a:fillRect/>
                    </a:stretch>
                  </pic:blipFill>
                  <pic:spPr>
                    <a:xfrm>
                      <a:off x="0" y="0"/>
                      <a:ext cx="5386428" cy="600005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4" w:line="259" w:lineRule="auto"/>
        <w:ind w:left="4448" w:firstLine="0"/>
        <w:jc w:val="left"/>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98792" name="Group 39879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5145" name="Rectangle 15145"/>
                        <wps:cNvSpPr/>
                        <wps:spPr>
                          <a:xfrm rot="-5399999">
                            <a:off x="-1151584" y="2085021"/>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146" name="Rectangle 15146"/>
                        <wps:cNvSpPr/>
                        <wps:spPr>
                          <a:xfrm rot="-5399999">
                            <a:off x="-976166" y="2184239"/>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147" name="Rectangle 15147"/>
                        <wps:cNvSpPr/>
                        <wps:spPr>
                          <a:xfrm rot="-5399999">
                            <a:off x="-2018623" y="1065581"/>
                            <a:ext cx="4455271"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118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792" style="width:18.7031pt;height:263.766pt;position:absolute;mso-position-horizontal-relative:page;mso-position-horizontal:absolute;margin-left:662.928pt;mso-position-vertical-relative:page;margin-top:509.154pt;" coordsize="2375,33498">
                <v:rect id="Rectangle 15145" style="position:absolute;width:24163;height:1132;left:-11515;top:208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146"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147"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350 </w:t>
                        </w:r>
                      </w:p>
                    </w:txbxContent>
                  </v:textbox>
                </v:rect>
                <w10:wrap type="topAndBottom"/>
              </v:group>
            </w:pict>
          </mc:Fallback>
        </mc:AlternateContent>
      </w:r>
      <w:r>
        <w:rPr>
          <w:b/>
          <w:color w:val="FF0000"/>
        </w:rPr>
        <w:t xml:space="preserve"> </w:t>
      </w:r>
    </w:p>
    <w:p w:rsidR="00025683" w:rsidRDefault="007C2AAB">
      <w:pPr>
        <w:spacing w:after="0" w:line="259" w:lineRule="auto"/>
        <w:ind w:left="4448" w:firstLine="0"/>
        <w:jc w:val="left"/>
      </w:pPr>
      <w:r>
        <w:rPr>
          <w:b/>
          <w:color w:val="FF0000"/>
        </w:rPr>
        <w:t xml:space="preserve"> </w:t>
      </w:r>
    </w:p>
    <w:p w:rsidR="00025683" w:rsidRDefault="007C2AAB">
      <w:pPr>
        <w:spacing w:after="165" w:line="259" w:lineRule="auto"/>
        <w:ind w:left="0" w:right="811" w:firstLine="0"/>
        <w:jc w:val="right"/>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398828" name="Group 39882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5182" name="Rectangle 15182"/>
                        <wps:cNvSpPr/>
                        <wps:spPr>
                          <a:xfrm rot="-5399999">
                            <a:off x="-1151584" y="2085021"/>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183" name="Rectangle 15183"/>
                        <wps:cNvSpPr/>
                        <wps:spPr>
                          <a:xfrm rot="-5399999">
                            <a:off x="-976166" y="2184239"/>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184" name="Rectangle 15184"/>
                        <wps:cNvSpPr/>
                        <wps:spPr>
                          <a:xfrm rot="-5399999">
                            <a:off x="-2018623" y="1065581"/>
                            <a:ext cx="4455271"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119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8828" style="width:18.7031pt;height:263.766pt;position:absolute;mso-position-horizontal-relative:page;mso-position-horizontal:absolute;margin-left:662.928pt;mso-position-vertical-relative:page;margin-top:509.154pt;" coordsize="2375,33498">
                <v:rect id="Rectangle 15182" style="position:absolute;width:24163;height:1132;left:-11515;top:208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18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18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350 </w:t>
                        </w:r>
                      </w:p>
                    </w:txbxContent>
                  </v:textbox>
                </v:rect>
                <w10:wrap type="topAndBottom"/>
              </v:group>
            </w:pict>
          </mc:Fallback>
        </mc:AlternateContent>
      </w:r>
      <w:r>
        <w:rPr>
          <w:rFonts w:ascii="Calibri" w:eastAsia="Calibri" w:hAnsi="Calibri" w:cs="Calibri"/>
          <w:noProof/>
        </w:rPr>
        <mc:AlternateContent>
          <mc:Choice Requires="wpg">
            <w:drawing>
              <wp:inline distT="0" distB="0" distL="0" distR="0">
                <wp:extent cx="5489025" cy="6701086"/>
                <wp:effectExtent l="0" t="0" r="0" b="0"/>
                <wp:docPr id="398823" name="Group 398823"/>
                <wp:cNvGraphicFramePr/>
                <a:graphic xmlns:a="http://schemas.openxmlformats.org/drawingml/2006/main">
                  <a:graphicData uri="http://schemas.microsoft.com/office/word/2010/wordprocessingGroup">
                    <wpg:wgp>
                      <wpg:cNvGrpSpPr/>
                      <wpg:grpSpPr>
                        <a:xfrm>
                          <a:off x="0" y="0"/>
                          <a:ext cx="5489025" cy="6701086"/>
                          <a:chOff x="0" y="0"/>
                          <a:chExt cx="5489025" cy="6701086"/>
                        </a:xfrm>
                      </wpg:grpSpPr>
                      <wps:wsp>
                        <wps:cNvPr id="15173" name="Rectangle 15173"/>
                        <wps:cNvSpPr/>
                        <wps:spPr>
                          <a:xfrm>
                            <a:off x="5411470" y="4540733"/>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177" name="Picture 15177"/>
                          <pic:cNvPicPr/>
                        </pic:nvPicPr>
                        <pic:blipFill>
                          <a:blip r:embed="rId78"/>
                          <a:stretch>
                            <a:fillRect/>
                          </a:stretch>
                        </pic:blipFill>
                        <pic:spPr>
                          <a:xfrm>
                            <a:off x="0" y="0"/>
                            <a:ext cx="5401057" cy="4677156"/>
                          </a:xfrm>
                          <a:prstGeom prst="rect">
                            <a:avLst/>
                          </a:prstGeom>
                        </pic:spPr>
                      </pic:pic>
                      <pic:pic xmlns:pic="http://schemas.openxmlformats.org/drawingml/2006/picture">
                        <pic:nvPicPr>
                          <pic:cNvPr id="15179" name="Picture 15179"/>
                          <pic:cNvPicPr/>
                        </pic:nvPicPr>
                        <pic:blipFill>
                          <a:blip r:embed="rId79"/>
                          <a:stretch>
                            <a:fillRect/>
                          </a:stretch>
                        </pic:blipFill>
                        <pic:spPr>
                          <a:xfrm>
                            <a:off x="112776" y="4844847"/>
                            <a:ext cx="5376249" cy="1856239"/>
                          </a:xfrm>
                          <a:prstGeom prst="rect">
                            <a:avLst/>
                          </a:prstGeom>
                        </pic:spPr>
                      </pic:pic>
                    </wpg:wgp>
                  </a:graphicData>
                </a:graphic>
              </wp:inline>
            </w:drawing>
          </mc:Choice>
          <mc:Fallback xmlns:a="http://schemas.openxmlformats.org/drawingml/2006/main">
            <w:pict>
              <v:group id="Group 398823" style="width:432.207pt;height:527.645pt;mso-position-horizontal-relative:char;mso-position-vertical-relative:line" coordsize="54890,67010">
                <v:rect id="Rectangle 15173" style="position:absolute;width:506;height:2243;left:54114;top:4540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5177" style="position:absolute;width:54010;height:46771;left:0;top:0;" filled="f">
                  <v:imagedata r:id="rId84"/>
                </v:shape>
                <v:shape id="Picture 15179" style="position:absolute;width:53762;height:18562;left:1127;top:48448;" filled="f">
                  <v:imagedata r:id="rId85"/>
                </v:shape>
              </v:group>
            </w:pict>
          </mc:Fallback>
        </mc:AlternateContent>
      </w:r>
      <w:r>
        <w:rPr>
          <w:rFonts w:ascii="Times New Roman" w:eastAsia="Times New Roman" w:hAnsi="Times New Roman" w:cs="Times New Roman"/>
          <w:sz w:val="24"/>
        </w:rPr>
        <w:t xml:space="preserve"> </w:t>
      </w:r>
    </w:p>
    <w:p w:rsidR="00025683" w:rsidRDefault="007C2AAB">
      <w:pPr>
        <w:spacing w:after="0" w:line="259" w:lineRule="auto"/>
        <w:ind w:left="4448" w:firstLine="0"/>
        <w:jc w:val="left"/>
      </w:pPr>
      <w:r>
        <w:rPr>
          <w:b/>
          <w:color w:val="FF0000"/>
        </w:rPr>
        <w:t xml:space="preserve"> </w:t>
      </w:r>
    </w:p>
    <w:p w:rsidR="00025683" w:rsidRDefault="007C2AAB">
      <w:pPr>
        <w:spacing w:after="0" w:line="259" w:lineRule="auto"/>
        <w:ind w:left="9" w:firstLine="0"/>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9894" name="Group 3998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215" name="Rectangle 1521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216" name="Rectangle 1521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217" name="Rectangle 1521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w:t>
                              </w:r>
                              <w:r>
                                <w:rPr>
                                  <w:sz w:val="12"/>
                                </w:rPr>
                                <w:t xml:space="preserve">aforma esPublico Gestiona | Página 120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9894" style="width:18.7031pt;height:264.21pt;position:absolute;mso-position-horizontal-relative:page;mso-position-horizontal:absolute;margin-left:662.928pt;mso-position-vertical-relative:page;margin-top:508.71pt;" coordsize="2375,33554">
                <v:rect id="Rectangle 1521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21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21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350 </w:t>
                        </w:r>
                      </w:p>
                    </w:txbxContent>
                  </v:textbox>
                </v:rect>
                <w10:wrap type="topAndBottom"/>
              </v:group>
            </w:pict>
          </mc:Fallback>
        </mc:AlternateContent>
      </w:r>
      <w:r>
        <w:rPr>
          <w:noProof/>
        </w:rPr>
        <w:drawing>
          <wp:inline distT="0" distB="0" distL="0" distR="0">
            <wp:extent cx="5091342" cy="7915508"/>
            <wp:effectExtent l="0" t="0" r="0" b="0"/>
            <wp:docPr id="15212" name="Picture 15212"/>
            <wp:cNvGraphicFramePr/>
            <a:graphic xmlns:a="http://schemas.openxmlformats.org/drawingml/2006/main">
              <a:graphicData uri="http://schemas.openxmlformats.org/drawingml/2006/picture">
                <pic:pic xmlns:pic="http://schemas.openxmlformats.org/drawingml/2006/picture">
                  <pic:nvPicPr>
                    <pic:cNvPr id="15212" name="Picture 15212"/>
                    <pic:cNvPicPr/>
                  </pic:nvPicPr>
                  <pic:blipFill>
                    <a:blip r:embed="rId80"/>
                    <a:stretch>
                      <a:fillRect/>
                    </a:stretch>
                  </pic:blipFill>
                  <pic:spPr>
                    <a:xfrm>
                      <a:off x="0" y="0"/>
                      <a:ext cx="5091342" cy="7915508"/>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7" w:hanging="10"/>
        <w:jc w:val="left"/>
      </w:pPr>
      <w:r>
        <w:rPr>
          <w:b/>
          <w:sz w:val="20"/>
        </w:rPr>
        <w:t xml:space="preserve">15.ALCANCE DE LAS ALTERACIONES EN RELACIÓN CON LA ORDENACIÓN ESTABLECIDA EN </w:t>
      </w:r>
    </w:p>
    <w:p w:rsidR="00025683" w:rsidRDefault="007C2AAB">
      <w:pPr>
        <w:spacing w:after="0" w:line="259" w:lineRule="auto"/>
        <w:ind w:left="17" w:hanging="10"/>
        <w:jc w:val="left"/>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9810" name="Group 3998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254" name="Rectangle 1525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255" name="Rectangle 1525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256" name="Rectangle 1525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121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9810" style="width:18.7031pt;height:264.21pt;position:absolute;mso-position-horizontal-relative:page;mso-position-horizontal:absolute;margin-left:662.928pt;mso-position-vertical-relative:page;margin-top:508.71pt;" coordsize="2375,33554">
                <v:rect id="Rectangle 1525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25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25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350 </w:t>
                        </w:r>
                      </w:p>
                    </w:txbxContent>
                  </v:textbox>
                </v:rect>
                <w10:wrap type="topAndBottom"/>
              </v:group>
            </w:pict>
          </mc:Fallback>
        </mc:AlternateContent>
      </w:r>
      <w:r>
        <w:rPr>
          <w:b/>
          <w:sz w:val="20"/>
        </w:rPr>
        <w:t xml:space="preserve">EL PLAN GENERAL </w:t>
      </w:r>
      <w:r>
        <w:rPr>
          <w:rFonts w:ascii="Times New Roman" w:eastAsia="Times New Roman" w:hAnsi="Times New Roman" w:cs="Times New Roman"/>
          <w:sz w:val="24"/>
        </w:rPr>
        <w:t xml:space="preserve"> </w:t>
      </w:r>
    </w:p>
    <w:p w:rsidR="00025683" w:rsidRDefault="007C2AAB">
      <w:pPr>
        <w:spacing w:after="50" w:line="440" w:lineRule="auto"/>
        <w:ind w:left="9" w:right="1245" w:firstLine="0"/>
        <w:jc w:val="left"/>
      </w:pPr>
      <w:r>
        <w:rPr>
          <w:noProof/>
        </w:rPr>
        <w:drawing>
          <wp:inline distT="0" distB="0" distL="0" distR="0">
            <wp:extent cx="5248905" cy="6418916"/>
            <wp:effectExtent l="0" t="0" r="0" b="0"/>
            <wp:docPr id="15251" name="Picture 15251"/>
            <wp:cNvGraphicFramePr/>
            <a:graphic xmlns:a="http://schemas.openxmlformats.org/drawingml/2006/main">
              <a:graphicData uri="http://schemas.openxmlformats.org/drawingml/2006/picture">
                <pic:pic xmlns:pic="http://schemas.openxmlformats.org/drawingml/2006/picture">
                  <pic:nvPicPr>
                    <pic:cNvPr id="15251" name="Picture 15251"/>
                    <pic:cNvPicPr/>
                  </pic:nvPicPr>
                  <pic:blipFill>
                    <a:blip r:embed="rId81"/>
                    <a:stretch>
                      <a:fillRect/>
                    </a:stretch>
                  </pic:blipFill>
                  <pic:spPr>
                    <a:xfrm>
                      <a:off x="0" y="0"/>
                      <a:ext cx="5248905" cy="6418916"/>
                    </a:xfrm>
                    <a:prstGeom prst="rect">
                      <a:avLst/>
                    </a:prstGeom>
                  </pic:spPr>
                </pic:pic>
              </a:graphicData>
            </a:graphic>
          </wp:inline>
        </w:drawing>
      </w:r>
      <w:r>
        <w:rPr>
          <w:rFonts w:ascii="Times New Roman" w:eastAsia="Times New Roman" w:hAnsi="Times New Roman" w:cs="Times New Roman"/>
          <w:sz w:val="24"/>
        </w:rPr>
        <w:t xml:space="preserve"> </w:t>
      </w:r>
      <w:r>
        <w:rPr>
          <w:b/>
          <w:color w:val="FF0000"/>
        </w:rPr>
        <w:t xml:space="preserve"> </w:t>
      </w:r>
    </w:p>
    <w:p w:rsidR="00025683" w:rsidRDefault="007C2AAB">
      <w:pPr>
        <w:spacing w:after="245" w:line="259" w:lineRule="auto"/>
        <w:ind w:left="0" w:right="623" w:firstLine="0"/>
        <w:jc w:val="center"/>
      </w:pPr>
      <w:r>
        <w:rPr>
          <w:b/>
          <w:color w:val="FF0000"/>
        </w:rPr>
        <w:t xml:space="preserve"> </w:t>
      </w:r>
    </w:p>
    <w:p w:rsidR="00025683" w:rsidRDefault="007C2AAB">
      <w:pPr>
        <w:spacing w:after="0" w:line="259" w:lineRule="auto"/>
        <w:ind w:left="0" w:right="623" w:firstLine="0"/>
        <w:jc w:val="center"/>
      </w:pPr>
      <w:r>
        <w:rPr>
          <w:b/>
          <w:color w:val="FF0000"/>
        </w:rPr>
        <w:t xml:space="preserve"> </w:t>
      </w:r>
    </w:p>
    <w:p w:rsidR="00025683" w:rsidRDefault="007C2AAB">
      <w:pPr>
        <w:spacing w:after="256" w:line="259" w:lineRule="auto"/>
        <w:ind w:left="4448" w:firstLine="0"/>
        <w:jc w:val="left"/>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399838" name="Group 3998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290" name="Rectangle 1529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291" name="Rectangle 1529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292" name="Rectangle 1529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122 de 350 </w:t>
                              </w:r>
                            </w:p>
                          </w:txbxContent>
                        </wps:txbx>
                        <wps:bodyPr horzOverflow="overflow" vert="horz" lIns="0" tIns="0" rIns="0" bIns="0" rtlCol="0">
                          <a:noAutofit/>
                        </wps:bodyPr>
                      </wps:wsp>
                    </wpg:wgp>
                  </a:graphicData>
                </a:graphic>
              </wp:anchor>
            </w:drawing>
          </mc:Choice>
          <mc:Fallback xmlns:a="http://schemas.openxmlformats.org/drawingml/2006/main">
            <w:pict>
              <v:group id="Group 399838" style="width:18.7031pt;height:264.21pt;position:absolute;mso-position-horizontal-relative:page;mso-position-horizontal:absolute;margin-left:662.928pt;mso-position-vertical-relative:page;margin-top:508.71pt;" coordsize="2375,33554">
                <v:rect id="Rectangle 1529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29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29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350 </w:t>
                        </w:r>
                      </w:p>
                    </w:txbxContent>
                  </v:textbox>
                </v:rect>
                <w10:wrap type="topAndBottom"/>
              </v:group>
            </w:pict>
          </mc:Fallback>
        </mc:AlternateContent>
      </w:r>
      <w:r>
        <w:rPr>
          <w:b/>
          <w:color w:val="FF0000"/>
        </w:rPr>
        <w:t xml:space="preserve"> </w:t>
      </w:r>
    </w:p>
    <w:p w:rsidR="00025683" w:rsidRDefault="007C2AAB">
      <w:pPr>
        <w:spacing w:after="0" w:line="259" w:lineRule="auto"/>
        <w:ind w:left="0" w:right="902" w:firstLine="0"/>
        <w:jc w:val="right"/>
      </w:pPr>
      <w:r>
        <w:rPr>
          <w:noProof/>
        </w:rPr>
        <w:drawing>
          <wp:inline distT="0" distB="0" distL="0" distR="0">
            <wp:extent cx="5256869" cy="6789572"/>
            <wp:effectExtent l="0" t="0" r="0" b="0"/>
            <wp:docPr id="15287" name="Picture 15287"/>
            <wp:cNvGraphicFramePr/>
            <a:graphic xmlns:a="http://schemas.openxmlformats.org/drawingml/2006/main">
              <a:graphicData uri="http://schemas.openxmlformats.org/drawingml/2006/picture">
                <pic:pic xmlns:pic="http://schemas.openxmlformats.org/drawingml/2006/picture">
                  <pic:nvPicPr>
                    <pic:cNvPr id="15287" name="Picture 15287"/>
                    <pic:cNvPicPr/>
                  </pic:nvPicPr>
                  <pic:blipFill>
                    <a:blip r:embed="rId82"/>
                    <a:stretch>
                      <a:fillRect/>
                    </a:stretch>
                  </pic:blipFill>
                  <pic:spPr>
                    <a:xfrm>
                      <a:off x="0" y="0"/>
                      <a:ext cx="5256869" cy="6789572"/>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187" w:line="259" w:lineRule="auto"/>
        <w:ind w:left="0" w:right="1471" w:firstLine="0"/>
        <w:jc w:val="right"/>
      </w:pPr>
      <w:r>
        <w:rPr>
          <w:noProof/>
        </w:rPr>
        <w:drawing>
          <wp:inline distT="0" distB="0" distL="0" distR="0">
            <wp:extent cx="5095959" cy="1438611"/>
            <wp:effectExtent l="0" t="0" r="0" b="0"/>
            <wp:docPr id="15385" name="Picture 15385"/>
            <wp:cNvGraphicFramePr/>
            <a:graphic xmlns:a="http://schemas.openxmlformats.org/drawingml/2006/main">
              <a:graphicData uri="http://schemas.openxmlformats.org/drawingml/2006/picture">
                <pic:pic xmlns:pic="http://schemas.openxmlformats.org/drawingml/2006/picture">
                  <pic:nvPicPr>
                    <pic:cNvPr id="15385" name="Picture 15385"/>
                    <pic:cNvPicPr/>
                  </pic:nvPicPr>
                  <pic:blipFill>
                    <a:blip r:embed="rId83"/>
                    <a:stretch>
                      <a:fillRect/>
                    </a:stretch>
                  </pic:blipFill>
                  <pic:spPr>
                    <a:xfrm>
                      <a:off x="0" y="0"/>
                      <a:ext cx="5095959" cy="143861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12"/>
        <w:ind w:left="22" w:right="197"/>
      </w:pPr>
      <w:r>
        <w:rPr>
          <w:b/>
          <w:sz w:val="20"/>
        </w:rPr>
        <w:t xml:space="preserve">      16.</w:t>
      </w:r>
      <w:r>
        <w:rPr>
          <w:b/>
        </w:rPr>
        <w:t>CONCLUSIONES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21" w:right="202"/>
      </w:pPr>
      <w:r>
        <w:rPr>
          <w:sz w:val="23"/>
        </w:rPr>
        <w:t xml:space="preserve">De acuerdo a todo lo expuesto anteriormente, se informa </w:t>
      </w:r>
      <w:r>
        <w:rPr>
          <w:b/>
          <w:sz w:val="23"/>
        </w:rPr>
        <w:t xml:space="preserve">FAVORABLE </w:t>
      </w:r>
      <w:r>
        <w:rPr>
          <w:sz w:val="23"/>
        </w:rPr>
        <w:t xml:space="preserve">la aprobación inicial del Plan Especial de Reforma Interior </w:t>
      </w:r>
      <w:r>
        <w:rPr>
          <w:sz w:val="23"/>
        </w:rPr>
        <w:t xml:space="preserve">(PEPRI) La Jiménez </w:t>
      </w:r>
      <w:r>
        <w:rPr>
          <w:rFonts w:ascii="Times New Roman" w:eastAsia="Times New Roman" w:hAnsi="Times New Roman" w:cs="Times New Roman"/>
          <w:sz w:val="24"/>
        </w:rPr>
        <w:t xml:space="preserve"> </w:t>
      </w:r>
      <w:r>
        <w:rPr>
          <w:sz w:val="23"/>
        </w:rPr>
        <w:t xml:space="preserve">Igueste, T.M. de Candelaria.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Se propone dar traslado a la Concejalía de Cultura, Identidad Canaria, Patrimonio Histórico, Fiestas y Deporte, para que se inicien los trámites necesarios para </w:t>
      </w:r>
      <w:r>
        <w:rPr>
          <w:sz w:val="23"/>
        </w:rPr>
        <w:t xml:space="preserve">la inclusión en el Catálogo Municipales de Bienes Patrimoniales Culturales, de los bienes recogidos en el inventario: </w:t>
      </w:r>
    </w:p>
    <w:p w:rsidR="00025683" w:rsidRDefault="007C2AAB">
      <w:pPr>
        <w:spacing w:after="0" w:line="259" w:lineRule="auto"/>
        <w:ind w:left="14" w:firstLine="0"/>
        <w:jc w:val="left"/>
      </w:pPr>
      <w:r>
        <w:rPr>
          <w:b/>
          <w:sz w:val="23"/>
        </w:rPr>
        <w:t xml:space="preserve"> </w:t>
      </w:r>
    </w:p>
    <w:p w:rsidR="00025683" w:rsidRDefault="007C2AAB">
      <w:pPr>
        <w:spacing w:line="249" w:lineRule="auto"/>
        <w:ind w:left="17" w:right="198" w:hanging="10"/>
      </w:pPr>
      <w:r>
        <w:rPr>
          <w:b/>
          <w:sz w:val="23"/>
        </w:rPr>
        <w:t>Tomo I.3 Anexo 4. Inventario de bienes integrantes del patrimonio cultural del barrio de La Jiménez, La Sabinita y Lomo Acoroma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0162" name="Group 4001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388" name="Rectangle 1538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389" name="Rectangle 1538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390" name="Rectangle 1539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123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0162" style="width:18.7031pt;height:264.21pt;position:absolute;mso-position-horizontal-relative:page;mso-position-horizontal:absolute;margin-left:662.928pt;mso-position-vertical-relative:page;margin-top:508.71pt;" coordsize="2375,33554">
                <v:rect id="Rectangle 1538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38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39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350 </w:t>
                        </w:r>
                      </w:p>
                    </w:txbxContent>
                  </v:textbox>
                </v:rect>
                <w10:wrap type="square"/>
              </v:group>
            </w:pict>
          </mc:Fallback>
        </mc:AlternateContent>
      </w:r>
      <w:r>
        <w:rPr>
          <w:sz w:val="23"/>
        </w:rPr>
        <w:t>En este sentido, en tanto no se actualice el catálogo de pro</w:t>
      </w:r>
      <w:r>
        <w:rPr>
          <w:sz w:val="23"/>
        </w:rPr>
        <w:t>tección, solo serán posibles intervenciones de mantenimiento, conservación, consolidación, restauración, rehabilitación y reconstrucción. La naturaleza cautelar del régimen de protección determina la limitación de las intervenciones permitidas en estos inm</w:t>
      </w:r>
      <w:r>
        <w:rPr>
          <w:sz w:val="23"/>
        </w:rPr>
        <w:t xml:space="preserve">uebles.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Se prohíben expresamente las intervenciones de reestructuración, remonta y ampliación, y por supuesto, la demolición. En este sentido, se establecen condiciones adicionales al deber de conservación basadas en la presencia de valores culturales.</w:t>
      </w:r>
      <w:r>
        <w:t>…</w:t>
      </w:r>
      <w:r>
        <w:t>”</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SEGUNDO. Abrir un período de información pública por plazo de un mes mediante anuncio en el Boletín Oficial de Canarias y en el periódico de mayor difusión . </w:t>
      </w:r>
    </w:p>
    <w:p w:rsidR="00025683" w:rsidRDefault="007C2AAB">
      <w:pPr>
        <w:ind w:left="14" w:right="200"/>
      </w:pPr>
      <w:r>
        <w:t>Asimismo, estará disponible en la sede electrónica de este Ayuntamiento https://sedeelectr</w:t>
      </w:r>
      <w:r>
        <w:t xml:space="preserve">onica.candelaria.es/publico/tablon. </w:t>
      </w:r>
    </w:p>
    <w:p w:rsidR="00025683" w:rsidRDefault="007C2AAB">
      <w:pPr>
        <w:spacing w:after="0" w:line="259" w:lineRule="auto"/>
        <w:ind w:left="14" w:firstLine="0"/>
        <w:jc w:val="left"/>
      </w:pPr>
      <w:r>
        <w:t xml:space="preserve"> </w:t>
      </w:r>
    </w:p>
    <w:p w:rsidR="00025683" w:rsidRDefault="007C2AAB">
      <w:pPr>
        <w:ind w:left="14" w:right="200"/>
      </w:pPr>
      <w:r>
        <w:t>TERCERO. Solicitar, simultáneamente al trámite de información pública, los informes, dictámenes u otro tipo de pronunciamientos a órganos y Entidades administrativas gestores de intereses públicos afectados, previstos</w:t>
      </w:r>
      <w:r>
        <w:t xml:space="preserve"> legalmente como preceptivos. </w:t>
      </w:r>
    </w:p>
    <w:p w:rsidR="00025683" w:rsidRDefault="007C2AAB">
      <w:pPr>
        <w:spacing w:after="0" w:line="259" w:lineRule="auto"/>
        <w:ind w:left="14" w:firstLine="0"/>
        <w:jc w:val="left"/>
      </w:pPr>
      <w:r>
        <w:t xml:space="preserve"> </w:t>
      </w:r>
    </w:p>
    <w:p w:rsidR="00025683" w:rsidRDefault="007C2AAB">
      <w:pPr>
        <w:ind w:left="14" w:right="200"/>
      </w:pPr>
      <w:r>
        <w:t>CUARTO.- Ordenar la suspensión facultativa del otorgamiento de las licencias de obras de edificación (excluyendo las permitidas por la Ley 4/2017, de 13 de julio, del Suelo y de los Espacios Naturales Protegidos de Canarias</w:t>
      </w:r>
      <w:r>
        <w:t>, en las situaciones legales de las construcciones preexistentes y en la situación de fuera de ordenación y las provisionales permitidas conforme al artículo 32 de la misma Ley), así como la suspensión de la autorización de obras de urbanización (excluyend</w:t>
      </w:r>
      <w:r>
        <w:t xml:space="preserve">o la mera conservación y mantenimiento) en todo el ámbito de la modificación. </w:t>
      </w:r>
    </w:p>
    <w:p w:rsidR="00025683" w:rsidRDefault="007C2AAB">
      <w:pPr>
        <w:spacing w:after="241"/>
        <w:ind w:left="14" w:right="200"/>
      </w:pPr>
      <w:r>
        <w:t>Esta suspensión surtirá efectos desde el día siguiente a la publicación del anuncio en el Boletín Oficial, y tendrá un plazo de un (1) año.</w:t>
      </w:r>
      <w:r>
        <w:rPr>
          <w:rFonts w:ascii="Times New Roman" w:eastAsia="Times New Roman" w:hAnsi="Times New Roman" w:cs="Times New Roman"/>
          <w:sz w:val="24"/>
        </w:rPr>
        <w:t xml:space="preserve"> </w:t>
      </w:r>
    </w:p>
    <w:p w:rsidR="00025683" w:rsidRDefault="007C2AAB">
      <w:pPr>
        <w:ind w:left="14" w:right="200"/>
      </w:pPr>
      <w:r>
        <w:t xml:space="preserve">QUINTO.- </w:t>
      </w:r>
      <w:r>
        <w:t xml:space="preserve">Ordenar la publicación de este acuerdo de suspensión en el Boletín Oficial de Canarias y en, al menos, dos de los diarios de mayor difusión en la provincia. </w:t>
      </w:r>
    </w:p>
    <w:p w:rsidR="00025683" w:rsidRDefault="007C2AAB">
      <w:pPr>
        <w:spacing w:after="0" w:line="259" w:lineRule="auto"/>
        <w:ind w:left="14" w:firstLine="0"/>
        <w:jc w:val="left"/>
      </w:pPr>
      <w:r>
        <w:t xml:space="preserve"> </w:t>
      </w:r>
    </w:p>
    <w:p w:rsidR="00025683" w:rsidRDefault="007C2AAB">
      <w:pPr>
        <w:ind w:left="14" w:right="200"/>
      </w:pPr>
      <w:r>
        <w:t>SEXTO.- Dar traslado a la Concejalía de Cultura, Identidad Canaria, Patrimonio Histórico, Fiesta</w:t>
      </w:r>
      <w:r>
        <w:t xml:space="preserve">s y Deporte, para que se inicien los trámites necesarios para la inclusión en el Catálogo Municipales de Bienes Patrimoniales Culturales, de los bienes recogidos en el inventario: </w:t>
      </w:r>
    </w:p>
    <w:p w:rsidR="00025683" w:rsidRDefault="007C2AAB">
      <w:pPr>
        <w:spacing w:after="0" w:line="259" w:lineRule="auto"/>
        <w:ind w:left="14" w:firstLine="0"/>
        <w:jc w:val="left"/>
      </w:pPr>
      <w:r>
        <w:rPr>
          <w:b/>
          <w:sz w:val="23"/>
        </w:rPr>
        <w:t xml:space="preserve"> </w:t>
      </w:r>
    </w:p>
    <w:p w:rsidR="00025683" w:rsidRDefault="007C2AAB">
      <w:pPr>
        <w:spacing w:after="8" w:line="259" w:lineRule="auto"/>
        <w:ind w:left="14" w:firstLine="0"/>
        <w:jc w:val="left"/>
      </w:pPr>
      <w:r>
        <w:rPr>
          <w:b/>
          <w:sz w:val="23"/>
        </w:rPr>
        <w:t xml:space="preserve"> </w:t>
      </w:r>
    </w:p>
    <w:p w:rsidR="00025683" w:rsidRDefault="007C2AAB">
      <w:pPr>
        <w:spacing w:line="249" w:lineRule="auto"/>
        <w:ind w:left="17" w:right="198" w:hanging="10"/>
      </w:pPr>
      <w:r>
        <w:rPr>
          <w:b/>
          <w:sz w:val="23"/>
        </w:rPr>
        <w:t>“…Tomo I.3 Anexo 4. Inventario de bienes integrantes del patrimonio cul</w:t>
      </w:r>
      <w:r>
        <w:rPr>
          <w:b/>
          <w:sz w:val="23"/>
        </w:rPr>
        <w:t>tural del barrio de La Jiménez, La Sabinita y Lomo Acoroma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En este sentido, en tanto no se actualice el catálogo de protección, solo serán posibles intervenciones de mantenimiento, conservación, consolidación, restauración, rehabilitación y reconstrucci</w:t>
      </w:r>
      <w:r>
        <w:rPr>
          <w:sz w:val="23"/>
        </w:rPr>
        <w:t xml:space="preserve">ón. La naturaleza cautelar del régimen de protección determina la limitación de las </w:t>
      </w:r>
      <w:r>
        <w:t>intervenciones permitidas en estos inmuebles.</w:t>
      </w:r>
      <w:r>
        <w:rPr>
          <w:rFonts w:ascii="Times New Roman" w:eastAsia="Times New Roman" w:hAnsi="Times New Roman" w:cs="Times New Roman"/>
          <w:sz w:val="24"/>
        </w:rPr>
        <w:t xml:space="preserve"> </w:t>
      </w:r>
    </w:p>
    <w:p w:rsidR="00025683" w:rsidRDefault="007C2AAB">
      <w:pPr>
        <w:ind w:left="14" w:right="200"/>
      </w:pPr>
      <w:r>
        <w:t>Se prohíben expresamente las intervenciones de reestructuración, remonta y ampliación, y por supuesto, la demolición. En este</w:t>
      </w:r>
      <w:r>
        <w:t xml:space="preserve"> sentido, se establecen condiciones adicionales al deber de conservación basadas en la presencia de valores culturales…”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0438" name="Group 4004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492" name="Rectangle 1549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493" name="Rectangle 1549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494" name="Rectangle 1549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124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0438" style="width:18.7031pt;height:264.21pt;position:absolute;mso-position-horizontal-relative:page;mso-position-horizontal:absolute;margin-left:662.928pt;mso-position-vertical-relative:page;margin-top:508.71pt;" coordsize="2375,33554">
                <v:rect id="Rectangle 1549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49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49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350 </w:t>
                        </w:r>
                      </w:p>
                    </w:txbxContent>
                  </v:textbox>
                </v:rect>
                <w10:wrap type="square"/>
              </v:group>
            </w:pict>
          </mc:Fallback>
        </mc:AlternateContent>
      </w: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SEPTIMO.- </w:t>
      </w:r>
      <w:r>
        <w:t>Contra el acuerdo de suspensión del otorgamiento de licencias, se podrá interponer recurso potestativo de reposición ante el órgano que lo dictó en el plazo de un mes a contar desde el día siguiente de su notificación o publicación, o recurso contencioso-a</w:t>
      </w:r>
      <w:r>
        <w:t xml:space="preserve">dministrativo ante la Jurisdicción Contenciosa-administrativa, en el plazo de dos meses a contar desde el día siguiente de su notificación o publicación. </w:t>
      </w:r>
    </w:p>
    <w:p w:rsidR="00025683" w:rsidRDefault="007C2AAB">
      <w:pPr>
        <w:spacing w:after="242" w:line="259" w:lineRule="auto"/>
        <w:ind w:left="10" w:firstLine="0"/>
        <w:jc w:val="left"/>
      </w:pPr>
      <w:r>
        <w:t xml:space="preserve"> </w:t>
      </w:r>
    </w:p>
    <w:p w:rsidR="00025683" w:rsidRDefault="007C2AAB">
      <w:pPr>
        <w:spacing w:after="228"/>
        <w:ind w:left="14" w:right="200"/>
      </w:pPr>
      <w:r>
        <w:t>Por lo que se eleva a esta propuesta al Pleno del Ayuntamiento, que resolverá como mejor proceda.”.</w:t>
      </w:r>
      <w:r>
        <w:rPr>
          <w:rFonts w:ascii="Times New Roman" w:eastAsia="Times New Roman" w:hAnsi="Times New Roman" w:cs="Times New Roman"/>
          <w:sz w:val="24"/>
        </w:rPr>
        <w:t xml:space="preserve"> </w:t>
      </w:r>
    </w:p>
    <w:p w:rsidR="00025683" w:rsidRDefault="007C2AAB">
      <w:pPr>
        <w:spacing w:after="261" w:line="259" w:lineRule="auto"/>
        <w:ind w:left="0" w:right="623" w:firstLine="0"/>
        <w:jc w:val="center"/>
      </w:pPr>
      <w:r>
        <w:rPr>
          <w:b/>
          <w:color w:val="FF0000"/>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sz w:val="24"/>
        </w:rPr>
        <w:t xml:space="preserve"> </w:t>
      </w:r>
    </w:p>
    <w:p w:rsidR="00025683" w:rsidRDefault="007C2AAB">
      <w:pPr>
        <w:spacing w:after="1" w:line="249" w:lineRule="auto"/>
        <w:ind w:left="17" w:right="197" w:hanging="10"/>
      </w:pPr>
      <w:r>
        <w:rPr>
          <w:rFonts w:ascii="Calibri" w:eastAsia="Calibri" w:hAnsi="Calibri" w:cs="Calibri"/>
          <w:noProof/>
        </w:rPr>
        <mc:AlternateContent>
          <mc:Choice Requires="wpg">
            <w:drawing>
              <wp:anchor distT="0" distB="0" distL="114300" distR="114300" simplePos="0" relativeHeight="251793408" behindDoc="1" locked="0" layoutInCell="1" allowOverlap="1">
                <wp:simplePos x="0" y="0"/>
                <wp:positionH relativeFrom="column">
                  <wp:posOffset>9144</wp:posOffset>
                </wp:positionH>
                <wp:positionV relativeFrom="paragraph">
                  <wp:posOffset>-8381</wp:posOffset>
                </wp:positionV>
                <wp:extent cx="5941518" cy="355092"/>
                <wp:effectExtent l="0" t="0" r="0" b="0"/>
                <wp:wrapNone/>
                <wp:docPr id="400951" name="Group 400951"/>
                <wp:cNvGraphicFramePr/>
                <a:graphic xmlns:a="http://schemas.openxmlformats.org/drawingml/2006/main">
                  <a:graphicData uri="http://schemas.microsoft.com/office/word/2010/wordprocessingGroup">
                    <wpg:wgp>
                      <wpg:cNvGrpSpPr/>
                      <wpg:grpSpPr>
                        <a:xfrm>
                          <a:off x="0" y="0"/>
                          <a:ext cx="5941518" cy="355092"/>
                          <a:chOff x="0" y="0"/>
                          <a:chExt cx="5941518" cy="355092"/>
                        </a:xfrm>
                      </wpg:grpSpPr>
                      <wps:wsp>
                        <wps:cNvPr id="446792" name="Shape 446792"/>
                        <wps:cNvSpPr/>
                        <wps:spPr>
                          <a:xfrm>
                            <a:off x="5577282" y="0"/>
                            <a:ext cx="364237" cy="179832"/>
                          </a:xfrm>
                          <a:custGeom>
                            <a:avLst/>
                            <a:gdLst/>
                            <a:ahLst/>
                            <a:cxnLst/>
                            <a:rect l="0" t="0" r="0" b="0"/>
                            <a:pathLst>
                              <a:path w="364237" h="179832">
                                <a:moveTo>
                                  <a:pt x="0" y="0"/>
                                </a:moveTo>
                                <a:lnTo>
                                  <a:pt x="364237" y="0"/>
                                </a:lnTo>
                                <a:lnTo>
                                  <a:pt x="364237" y="179832"/>
                                </a:lnTo>
                                <a:lnTo>
                                  <a:pt x="0" y="17983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6793" name="Shape 446793"/>
                        <wps:cNvSpPr/>
                        <wps:spPr>
                          <a:xfrm>
                            <a:off x="0" y="175260"/>
                            <a:ext cx="5766182" cy="179832"/>
                          </a:xfrm>
                          <a:custGeom>
                            <a:avLst/>
                            <a:gdLst/>
                            <a:ahLst/>
                            <a:cxnLst/>
                            <a:rect l="0" t="0" r="0" b="0"/>
                            <a:pathLst>
                              <a:path w="5766182" h="179832">
                                <a:moveTo>
                                  <a:pt x="0" y="0"/>
                                </a:moveTo>
                                <a:lnTo>
                                  <a:pt x="5766182" y="0"/>
                                </a:lnTo>
                                <a:lnTo>
                                  <a:pt x="5766182" y="179832"/>
                                </a:lnTo>
                                <a:lnTo>
                                  <a:pt x="0" y="17983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w:pict>
              <v:group id="Group 400951" style="width:467.836pt;height:27.96pt;position:absolute;z-index:-2147483624;mso-position-horizontal-relative:text;mso-position-horizontal:absolute;margin-left:0.720001pt;mso-position-vertical-relative:text;margin-top:-0.659973pt;" coordsize="59415,3550">
                <v:shape id="Shape 446794" style="position:absolute;width:3642;height:1798;left:55772;top:0;" coordsize="364237,179832" path="m0,0l364237,0l364237,179832l0,179832l0,0">
                  <v:stroke weight="0pt" endcap="square" joinstyle="miter" miterlimit="10" on="false" color="#000000" opacity="0"/>
                  <v:fill on="true" color="#f5f7f9"/>
                </v:shape>
                <v:shape id="Shape 446795" style="position:absolute;width:57661;height:1798;left:0;top:1752;" coordsize="5766182,179832" path="m0,0l5766182,0l5766182,179832l0,179832l0,0">
                  <v:stroke weight="0pt" endcap="square" joinstyle="miter" miterlimit="10" on="false" color="#000000" opacity="0"/>
                  <v:fill on="true" color="#f5f7f9"/>
                </v:shape>
              </v:group>
            </w:pict>
          </mc:Fallback>
        </mc:AlternateContent>
      </w:r>
      <w:r>
        <w:rPr>
          <w:b/>
          <w:sz w:val="24"/>
        </w:rPr>
        <w:t>Consta en el expediente Propuesta de la alcaldesa-Presidenta al Pleno de de la Aprobación inicial Plan Especial de reforma interior (PEPRI) de La Jiménez, de fecha 17 de diciembre de 2025, que transcrito literalmente dice: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pStyle w:val="Ttulo4"/>
        <w:ind w:left="274" w:right="458"/>
      </w:pPr>
      <w:r>
        <w:rPr>
          <w:b w:val="0"/>
          <w:sz w:val="24"/>
        </w:rPr>
        <w:t xml:space="preserve"> “</w:t>
      </w:r>
      <w:r>
        <w:t>PROPUESTA</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Visto expediente nº </w:t>
      </w:r>
      <w:r>
        <w:rPr>
          <w:b/>
        </w:rPr>
        <w:t xml:space="preserve">3110/2023 </w:t>
      </w:r>
      <w:r>
        <w:t xml:space="preserve">que se tramita en esta Corporación, en relación con la tramitación del Plan Especial </w:t>
      </w:r>
      <w:r>
        <w:rPr>
          <w:b/>
        </w:rPr>
        <w:t xml:space="preserve">de Reforma Interior de la Jiménez </w:t>
      </w:r>
      <w:r>
        <w:t>y visto el informe jurídico, debidamente conformado por el Secretario General Octavio Manuel F</w:t>
      </w:r>
      <w:r>
        <w:t>ernández Hernández. que transcrito literalmente dice:</w:t>
      </w:r>
      <w:r>
        <w:rPr>
          <w:rFonts w:ascii="Times New Roman" w:eastAsia="Times New Roman" w:hAnsi="Times New Roman" w:cs="Times New Roman"/>
          <w:sz w:val="24"/>
        </w:rPr>
        <w:t xml:space="preserve"> </w:t>
      </w:r>
    </w:p>
    <w:p w:rsidR="00025683" w:rsidRDefault="007C2AAB">
      <w:pPr>
        <w:spacing w:after="32" w:line="259" w:lineRule="auto"/>
        <w:ind w:left="0" w:right="133" w:firstLine="0"/>
        <w:jc w:val="center"/>
      </w:pPr>
      <w:r>
        <w:rPr>
          <w:b/>
        </w:rPr>
        <w:t xml:space="preserve"> </w:t>
      </w:r>
    </w:p>
    <w:p w:rsidR="00025683" w:rsidRDefault="007C2AAB">
      <w:pPr>
        <w:pStyle w:val="Ttulo4"/>
        <w:ind w:left="274" w:right="460"/>
      </w:pPr>
      <w:r>
        <w:t xml:space="preserve">“…INFORME JURÍDICO </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La Técnico de Administración General Olga Fernández Méndez- Bencomo, en el expediente anteriormente indicado, emite el siguiente informe conformado por el Secretario General Oc</w:t>
      </w:r>
      <w:r>
        <w:t xml:space="preserve">tavio Manuel Fernández Hernández: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pStyle w:val="Ttulo4"/>
        <w:ind w:left="274" w:right="463"/>
      </w:pPr>
      <w:r>
        <w:t xml:space="preserve">ANTECEDENTES </w:t>
      </w:r>
    </w:p>
    <w:p w:rsidR="00025683" w:rsidRDefault="007C2AAB">
      <w:pPr>
        <w:spacing w:after="0" w:line="259" w:lineRule="auto"/>
        <w:ind w:left="0" w:right="133" w:firstLine="0"/>
        <w:jc w:val="center"/>
      </w:pPr>
      <w:r>
        <w:t xml:space="preserve"> </w:t>
      </w:r>
    </w:p>
    <w:p w:rsidR="00025683" w:rsidRDefault="007C2AAB">
      <w:pPr>
        <w:spacing w:after="3" w:line="238" w:lineRule="auto"/>
        <w:ind w:left="9" w:hanging="10"/>
        <w:jc w:val="left"/>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0952" name="Group 4009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604" name="Rectangle 1560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605" name="Rectangle 1560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606" name="Rectangle 1560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125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0952" style="width:18.7031pt;height:264.21pt;position:absolute;mso-position-horizontal-relative:page;mso-position-horizontal:absolute;margin-left:662.928pt;mso-position-vertical-relative:page;margin-top:508.71pt;" coordsize="2375,33554">
                <v:rect id="Rectangle 1560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60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60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350 </w:t>
                        </w:r>
                      </w:p>
                    </w:txbxContent>
                  </v:textbox>
                </v:rect>
                <w10:wrap type="square"/>
              </v:group>
            </w:pict>
          </mc:Fallback>
        </mc:AlternateContent>
      </w:r>
      <w:r>
        <w:t xml:space="preserve">Visto el expediente número 3110/2023 que se tramita en esta Corporación en relación a la aprobación del </w:t>
      </w:r>
      <w:r>
        <w:rPr>
          <w:b/>
        </w:rPr>
        <w:t>Plan Especial de Reforma Interior de la Jiménez. T.M. de Candelaria</w:t>
      </w:r>
      <w:r>
        <w:t>a encomendado a Gesplan SA por acuerdo del Pleno de fecha 30 de marzo de 2023, para e</w:t>
      </w:r>
      <w:r>
        <w:t>l desarrollo de la ordenación pormenorizada atendiendo a las directrices y criterios de ordenación establecidos en el vigente Plan General de Ordenación aprobado definitivamente el 10 de noviembre de 2006 y publicado el 10 de mayo de 2007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Visto que co</w:t>
      </w:r>
      <w:r>
        <w:t>n fecha 3 de octubre de 2024 se dictó la Resolución n.º 64, en virtud de la cual se inició el procedimiento de evaluación ambiental estratégica ordinaria relativo al Plan Especial de Reforma Interior (PEPRI) de La Jiménez, en el término municipal de Candel</w:t>
      </w:r>
      <w:r>
        <w:t>aria y se sometió a consultas de las administraciones públicas afectadas y de las personas interesadas el documento inicial estratégico y el borrador del citado instrumento de ordenación urbanística. En consecuencia, se publica anuncio en el Boletín Oficia</w:t>
      </w:r>
      <w:r>
        <w:t xml:space="preserve">l de Canarias (BOC nº 216, de 29 de octubre de 2024) y en la web del Gobierno de Canarias. </w:t>
      </w:r>
    </w:p>
    <w:p w:rsidR="00025683" w:rsidRDefault="007C2AAB">
      <w:pPr>
        <w:spacing w:after="0" w:line="259" w:lineRule="auto"/>
        <w:ind w:left="14" w:firstLine="0"/>
        <w:jc w:val="left"/>
      </w:pPr>
      <w:r>
        <w:rPr>
          <w:sz w:val="24"/>
        </w:rPr>
        <w:t xml:space="preserve"> </w:t>
      </w:r>
    </w:p>
    <w:p w:rsidR="00025683" w:rsidRDefault="007C2AAB">
      <w:pPr>
        <w:ind w:left="14" w:right="200"/>
      </w:pPr>
      <w:r>
        <w:rPr>
          <w:sz w:val="24"/>
        </w:rPr>
        <w:t xml:space="preserve"> </w:t>
      </w:r>
      <w:r>
        <w:t xml:space="preserve">Visto que mediante resolución de La Comisión Autonómica de Evaluación Ambiental, en sesión celebrada el 14 de marzo de 2025, se acordó formular, el DOCUMENTO DE </w:t>
      </w:r>
      <w:r>
        <w:t>ALCANCE en el procedimiento de la Evaluación Ambiental Estratégica Ordinaria del Plan Especial de Ordenación del Parque Periurbano de Pasacola, en el Término Municipal de Candelaria que se incorpora como Anexo.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Vista la documentación que obra en el expe</w:t>
      </w:r>
      <w:r>
        <w:t xml:space="preserve">diente para la aprobación inicial de este Plan Especial y que son los siguientes:  </w:t>
      </w:r>
    </w:p>
    <w:p w:rsidR="00025683" w:rsidRDefault="007C2AAB">
      <w:pPr>
        <w:spacing w:after="0" w:line="259" w:lineRule="auto"/>
        <w:ind w:left="14" w:firstLine="0"/>
        <w:jc w:val="left"/>
      </w:pPr>
      <w:r>
        <w:t xml:space="preserve"> </w:t>
      </w:r>
    </w:p>
    <w:p w:rsidR="00025683" w:rsidRDefault="007C2AAB">
      <w:pPr>
        <w:spacing w:after="170" w:line="259" w:lineRule="auto"/>
        <w:ind w:left="0" w:right="811" w:firstLine="0"/>
        <w:jc w:val="right"/>
      </w:pPr>
      <w:r>
        <w:rPr>
          <w:noProof/>
        </w:rPr>
        <w:drawing>
          <wp:inline distT="0" distB="0" distL="0" distR="0">
            <wp:extent cx="5393826" cy="4524532"/>
            <wp:effectExtent l="0" t="0" r="0" b="0"/>
            <wp:docPr id="15665" name="Picture 15665"/>
            <wp:cNvGraphicFramePr/>
            <a:graphic xmlns:a="http://schemas.openxmlformats.org/drawingml/2006/main">
              <a:graphicData uri="http://schemas.openxmlformats.org/drawingml/2006/picture">
                <pic:pic xmlns:pic="http://schemas.openxmlformats.org/drawingml/2006/picture">
                  <pic:nvPicPr>
                    <pic:cNvPr id="15665" name="Picture 15665"/>
                    <pic:cNvPicPr/>
                  </pic:nvPicPr>
                  <pic:blipFill>
                    <a:blip r:embed="rId67"/>
                    <a:stretch>
                      <a:fillRect/>
                    </a:stretch>
                  </pic:blipFill>
                  <pic:spPr>
                    <a:xfrm>
                      <a:off x="0" y="0"/>
                      <a:ext cx="5393826" cy="4524532"/>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 xml:space="preserve">Consta en el expediente informe técnico emitido por la Arquitecta Municipal de fecha 16/12/2025 que transcrito literalmente dice: </w:t>
      </w:r>
    </w:p>
    <w:p w:rsidR="00025683" w:rsidRDefault="007C2AAB">
      <w:pPr>
        <w:spacing w:after="0" w:line="259" w:lineRule="auto"/>
        <w:ind w:left="14" w:firstLine="0"/>
        <w:jc w:val="left"/>
      </w:pPr>
      <w:r>
        <w:t xml:space="preserve"> </w:t>
      </w:r>
    </w:p>
    <w:p w:rsidR="00025683" w:rsidRDefault="007C2AAB">
      <w:pPr>
        <w:ind w:left="14" w:right="200"/>
      </w:pPr>
      <w:r>
        <w:t xml:space="preserve">“…Visto el expediente antedicho, Nayra Guzmán Hernández, arquitecta municipal, emite el siguiente informe: </w:t>
      </w:r>
    </w:p>
    <w:p w:rsidR="00025683" w:rsidRDefault="007C2AAB">
      <w:pPr>
        <w:spacing w:after="0" w:line="259" w:lineRule="auto"/>
        <w:ind w:left="14" w:firstLine="0"/>
        <w:jc w:val="left"/>
      </w:pPr>
      <w:r>
        <w:t xml:space="preserve"> </w:t>
      </w:r>
    </w:p>
    <w:p w:rsidR="00025683" w:rsidRDefault="007C2AAB">
      <w:pPr>
        <w:spacing w:line="249" w:lineRule="auto"/>
        <w:ind w:left="17" w:right="198" w:hanging="10"/>
      </w:pPr>
      <w:r>
        <w:rPr>
          <w:b/>
          <w:sz w:val="20"/>
        </w:rPr>
        <w:t>1.</w:t>
      </w:r>
      <w:r>
        <w:rPr>
          <w:b/>
          <w:sz w:val="23"/>
        </w:rPr>
        <w:t>ANTECEDENTES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0292" name="Group 4002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668" name="Rectangle 1566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669" name="Rectangle 1566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670" name="Rectangle 1567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w:t>
                              </w:r>
                              <w:r>
                                <w:rPr>
                                  <w:sz w:val="12"/>
                                </w:rPr>
                                <w:t xml:space="preserve">icamente desde la plataforma esPublico Gestiona | Página 126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0292" style="width:18.7031pt;height:264.21pt;position:absolute;mso-position-horizontal-relative:page;mso-position-horizontal:absolute;margin-left:662.928pt;mso-position-vertical-relative:page;margin-top:508.71pt;" coordsize="2375,33554">
                <v:rect id="Rectangle 1566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66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67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350 </w:t>
                        </w:r>
                      </w:p>
                    </w:txbxContent>
                  </v:textbox>
                </v:rect>
                <w10:wrap type="square"/>
              </v:group>
            </w:pict>
          </mc:Fallback>
        </mc:AlternateContent>
      </w:r>
      <w:r>
        <w:rPr>
          <w:sz w:val="23"/>
        </w:rPr>
        <w:t xml:space="preserve"> </w:t>
      </w:r>
    </w:p>
    <w:p w:rsidR="00025683" w:rsidRDefault="007C2AAB">
      <w:pPr>
        <w:numPr>
          <w:ilvl w:val="0"/>
          <w:numId w:val="41"/>
        </w:numPr>
        <w:ind w:right="200" w:hanging="360"/>
      </w:pPr>
      <w:r>
        <w:rPr>
          <w:sz w:val="23"/>
        </w:rPr>
        <w:t xml:space="preserve">Con fecha 3 de octubre </w:t>
      </w:r>
      <w:r>
        <w:rPr>
          <w:sz w:val="23"/>
        </w:rPr>
        <w:t>de 2024 se dictó la Resolución n.º 64, en virtud de la cual se inició el procedimiento de evaluación ambiental estratégica ordinaria relativo al Plan Especial de Reforma Interior (PEPRI) de La Jiménez, en el término municipal de Candelaria y se sometió a c</w:t>
      </w:r>
      <w:r>
        <w:rPr>
          <w:sz w:val="23"/>
        </w:rPr>
        <w:t>onsultas de las administraciones públicas afectadas y de las personas interesadas el documento inicial estratégico y el borrador del citado instrumento de ordenación urbanística. En consecuencia, se publica anuncio en el Boletín Oficial de Canarias (BOC nº</w:t>
      </w:r>
      <w:r>
        <w:rPr>
          <w:sz w:val="23"/>
        </w:rPr>
        <w:t xml:space="preserve"> 216, de 29 de octubre de 2024) y en la web del Gobierno de Canarias.  </w:t>
      </w:r>
    </w:p>
    <w:p w:rsidR="00025683" w:rsidRDefault="007C2AAB">
      <w:pPr>
        <w:spacing w:after="0" w:line="259" w:lineRule="auto"/>
        <w:ind w:left="14" w:firstLine="0"/>
        <w:jc w:val="left"/>
      </w:pPr>
      <w:r>
        <w:rPr>
          <w:sz w:val="24"/>
        </w:rPr>
        <w:t xml:space="preserve"> </w:t>
      </w:r>
    </w:p>
    <w:p w:rsidR="00025683" w:rsidRDefault="007C2AAB">
      <w:pPr>
        <w:numPr>
          <w:ilvl w:val="0"/>
          <w:numId w:val="41"/>
        </w:numPr>
        <w:spacing w:line="249" w:lineRule="auto"/>
        <w:ind w:right="200" w:hanging="360"/>
      </w:pPr>
      <w:r>
        <w:rPr>
          <w:sz w:val="23"/>
        </w:rPr>
        <w:t xml:space="preserve">La Comisión Autonómica de Evaluación Ambiental, en sesión celebrada el 14 de marzo de 2025, acuerda formular, por delegación del Ayuntamiento de Candelaria, el </w:t>
      </w:r>
      <w:r>
        <w:rPr>
          <w:b/>
          <w:sz w:val="23"/>
        </w:rPr>
        <w:t>DOCUMENTO DE ALCANCE e</w:t>
      </w:r>
      <w:r>
        <w:rPr>
          <w:b/>
          <w:sz w:val="23"/>
        </w:rPr>
        <w:t>n el procedimiento de la Evaluación Ambiental Estratégica Ordinaria del Plan Especial de Reforma Interior de La Jiménez, en el Término Municipal de Candelaria que lo incorpora como Anexo.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numPr>
          <w:ilvl w:val="0"/>
          <w:numId w:val="42"/>
        </w:numPr>
        <w:spacing w:line="249" w:lineRule="auto"/>
        <w:ind w:left="672" w:right="198" w:hanging="665"/>
      </w:pPr>
      <w:r>
        <w:rPr>
          <w:b/>
          <w:sz w:val="23"/>
        </w:rPr>
        <w:t>DOCUMENTACIÓN INTEGRANTE DE LA APROBACION INICIAL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246"/>
        <w:ind w:left="21" w:right="696"/>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0757" name="Group 4007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739" name="Rectangle 1573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740" name="Rectangle 1574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741" name="Rectangle 1574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127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0757" style="width:18.7031pt;height:264.21pt;position:absolute;mso-position-horizontal-relative:page;mso-position-horizontal:absolute;margin-left:662.928pt;mso-position-vertical-relative:page;margin-top:508.71pt;" coordsize="2375,33554">
                <v:rect id="Rectangle 1573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74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74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350 </w:t>
                        </w:r>
                      </w:p>
                    </w:txbxContent>
                  </v:textbox>
                </v:rect>
                <w10:wrap type="square"/>
              </v:group>
            </w:pict>
          </mc:Fallback>
        </mc:AlternateContent>
      </w:r>
      <w:r>
        <w:rPr>
          <w:sz w:val="23"/>
        </w:rPr>
        <w:t>Con fecha 3 de diciembre de 2025 y con registro de entrada 2</w:t>
      </w:r>
      <w:r>
        <w:rPr>
          <w:sz w:val="23"/>
        </w:rPr>
        <w:t>025-E-RE-10757 Eva María Latorre Sánchez, en representación de GESPLAN S.A, aporta los siguientes documentos, para la aprobación inicial y Evaluación Ambiental Estratégica:</w:t>
      </w:r>
      <w:r>
        <w:rPr>
          <w:rFonts w:ascii="Times New Roman" w:eastAsia="Times New Roman" w:hAnsi="Times New Roman" w:cs="Times New Roman"/>
          <w:sz w:val="24"/>
        </w:rPr>
        <w:t xml:space="preserve"> </w:t>
      </w:r>
    </w:p>
    <w:p w:rsidR="00025683" w:rsidRDefault="007C2AAB">
      <w:pPr>
        <w:spacing w:after="187" w:line="259" w:lineRule="auto"/>
        <w:ind w:left="0" w:right="811" w:firstLine="0"/>
        <w:jc w:val="right"/>
      </w:pPr>
      <w:r>
        <w:rPr>
          <w:noProof/>
        </w:rPr>
        <w:drawing>
          <wp:inline distT="0" distB="0" distL="0" distR="0">
            <wp:extent cx="5393826" cy="4334071"/>
            <wp:effectExtent l="0" t="0" r="0" b="0"/>
            <wp:docPr id="15736" name="Picture 15736"/>
            <wp:cNvGraphicFramePr/>
            <a:graphic xmlns:a="http://schemas.openxmlformats.org/drawingml/2006/main">
              <a:graphicData uri="http://schemas.openxmlformats.org/drawingml/2006/picture">
                <pic:pic xmlns:pic="http://schemas.openxmlformats.org/drawingml/2006/picture">
                  <pic:nvPicPr>
                    <pic:cNvPr id="15736" name="Picture 15736"/>
                    <pic:cNvPicPr/>
                  </pic:nvPicPr>
                  <pic:blipFill>
                    <a:blip r:embed="rId67"/>
                    <a:stretch>
                      <a:fillRect/>
                    </a:stretch>
                  </pic:blipFill>
                  <pic:spPr>
                    <a:xfrm>
                      <a:off x="0" y="0"/>
                      <a:ext cx="5393826" cy="433407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numPr>
          <w:ilvl w:val="0"/>
          <w:numId w:val="42"/>
        </w:numPr>
        <w:spacing w:line="249" w:lineRule="auto"/>
        <w:ind w:left="672" w:right="198" w:hanging="665"/>
      </w:pPr>
      <w:r>
        <w:rPr>
          <w:b/>
          <w:sz w:val="23"/>
        </w:rPr>
        <w:t xml:space="preserve">NORMATIVA URBANISTICA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El plan general adscribe la totalidad del ámbito del Plan Especial de Reforma Interior de La Jiménez a las siguientes clases y categorías de suelo: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•Suelo urbano al suelo urbano en la categoría de interés cultural (SUCU-IC)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    •Suelo Rústico d</w:t>
      </w:r>
      <w:r>
        <w:rPr>
          <w:sz w:val="23"/>
        </w:rPr>
        <w:t xml:space="preserve">e Protección Agrícola Tradicional (SRPAG-1) adscribe la zona agrícola de bancales que rodea al núcleo  </w:t>
      </w:r>
    </w:p>
    <w:p w:rsidR="00025683" w:rsidRDefault="007C2AAB">
      <w:pPr>
        <w:spacing w:after="11" w:line="259" w:lineRule="auto"/>
        <w:ind w:left="14" w:firstLine="0"/>
        <w:jc w:val="left"/>
      </w:pPr>
      <w:r>
        <w:rPr>
          <w:sz w:val="23"/>
        </w:rPr>
        <w:t xml:space="preserve"> </w:t>
      </w:r>
    </w:p>
    <w:p w:rsidR="00025683" w:rsidRDefault="007C2AAB">
      <w:pPr>
        <w:ind w:left="21" w:right="202"/>
      </w:pPr>
      <w:r>
        <w:rPr>
          <w:sz w:val="23"/>
        </w:rPr>
        <w:t xml:space="preserve">    •Suelo Rústico de Protección Ambiental, protección de barrancos (SRPN-3), los cauces de los barrancos localizados en el ámbito.  </w:t>
      </w:r>
    </w:p>
    <w:p w:rsidR="00025683" w:rsidRDefault="007C2AAB">
      <w:pPr>
        <w:spacing w:after="0" w:line="259" w:lineRule="auto"/>
        <w:ind w:left="14" w:firstLine="0"/>
        <w:jc w:val="left"/>
      </w:pPr>
      <w:r>
        <w:rPr>
          <w:sz w:val="23"/>
        </w:rPr>
        <w:t xml:space="preserve"> </w:t>
      </w:r>
    </w:p>
    <w:p w:rsidR="00025683" w:rsidRDefault="007C2AAB">
      <w:pPr>
        <w:spacing w:after="248"/>
        <w:ind w:left="21" w:right="698"/>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0897" name="Group 4008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807" name="Rectangle 1580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Valida</w:t>
                              </w:r>
                              <w:r>
                                <w:rPr>
                                  <w:sz w:val="12"/>
                                </w:rPr>
                                <w:t xml:space="preserve">ción: 3J3KYNW3CJM74AZ6SEHNT4KKY </w:t>
                              </w:r>
                            </w:p>
                          </w:txbxContent>
                        </wps:txbx>
                        <wps:bodyPr horzOverflow="overflow" vert="horz" lIns="0" tIns="0" rIns="0" bIns="0" rtlCol="0">
                          <a:noAutofit/>
                        </wps:bodyPr>
                      </wps:wsp>
                      <wps:wsp>
                        <wps:cNvPr id="15808" name="Rectangle 1580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809" name="Rectangle 1580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128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0897" style="width:18.7031pt;height:264.21pt;position:absolute;mso-position-horizontal-relative:page;mso-position-horizontal:absolute;margin-left:662.928pt;mso-position-vertical-relative:page;margin-top:508.71pt;" coordsize="2375,33554">
                <v:rect id="Rectangle 1580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8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8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350 </w:t>
                        </w:r>
                      </w:p>
                    </w:txbxContent>
                  </v:textbox>
                </v:rect>
                <w10:wrap type="topAndBottom"/>
              </v:group>
            </w:pict>
          </mc:Fallback>
        </mc:AlternateContent>
      </w:r>
      <w:r>
        <w:rPr>
          <w:sz w:val="23"/>
        </w:rPr>
        <w:t>Parte del ámbito del Plan Especial está afectado por el Sitio Histórico</w:t>
      </w:r>
      <w:r>
        <w:rPr>
          <w:sz w:val="23"/>
        </w:rPr>
        <w:t xml:space="preserve"> "El Camino de Candelaria" declarado Bien de Interés Cultural (BIC) por el Decreto 227/2008, de 25 de noviembre (BOC nº 2008/245. Martes 9 de diciembre de 2008, incluyendo no solo el camino tradicional, sino que abarca también parte del barrio de La Jiméne</w:t>
      </w:r>
      <w:r>
        <w:rPr>
          <w:sz w:val="23"/>
        </w:rPr>
        <w:t>z.</w:t>
      </w:r>
      <w:r>
        <w:rPr>
          <w:rFonts w:ascii="Times New Roman" w:eastAsia="Times New Roman" w:hAnsi="Times New Roman" w:cs="Times New Roman"/>
          <w:sz w:val="24"/>
        </w:rPr>
        <w:t xml:space="preserve"> </w:t>
      </w:r>
    </w:p>
    <w:p w:rsidR="00025683" w:rsidRDefault="007C2AAB">
      <w:pPr>
        <w:spacing w:after="0" w:line="259" w:lineRule="auto"/>
        <w:ind w:left="0" w:right="988" w:firstLine="0"/>
        <w:jc w:val="right"/>
      </w:pPr>
      <w:r>
        <w:rPr>
          <w:noProof/>
        </w:rPr>
        <w:drawing>
          <wp:inline distT="0" distB="0" distL="0" distR="0">
            <wp:extent cx="5394725" cy="4085873"/>
            <wp:effectExtent l="0" t="0" r="0" b="0"/>
            <wp:docPr id="15804" name="Picture 15804"/>
            <wp:cNvGraphicFramePr/>
            <a:graphic xmlns:a="http://schemas.openxmlformats.org/drawingml/2006/main">
              <a:graphicData uri="http://schemas.openxmlformats.org/drawingml/2006/picture">
                <pic:pic xmlns:pic="http://schemas.openxmlformats.org/drawingml/2006/picture">
                  <pic:nvPicPr>
                    <pic:cNvPr id="15804" name="Picture 15804"/>
                    <pic:cNvPicPr/>
                  </pic:nvPicPr>
                  <pic:blipFill>
                    <a:blip r:embed="rId68"/>
                    <a:stretch>
                      <a:fillRect/>
                    </a:stretch>
                  </pic:blipFill>
                  <pic:spPr>
                    <a:xfrm>
                      <a:off x="0" y="0"/>
                      <a:ext cx="5394725" cy="4085873"/>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187" w:line="259" w:lineRule="auto"/>
        <w:ind w:left="0" w:right="988" w:firstLine="0"/>
        <w:jc w:val="right"/>
      </w:pPr>
      <w:r>
        <w:rPr>
          <w:rFonts w:ascii="Calibri" w:eastAsia="Calibri" w:hAnsi="Calibri" w:cs="Calibri"/>
          <w:noProof/>
        </w:rPr>
        <mc:AlternateContent>
          <mc:Choice Requires="wpg">
            <w:drawing>
              <wp:inline distT="0" distB="0" distL="0" distR="0">
                <wp:extent cx="5400965" cy="5264125"/>
                <wp:effectExtent l="0" t="0" r="0" b="0"/>
                <wp:docPr id="401196" name="Group 401196"/>
                <wp:cNvGraphicFramePr/>
                <a:graphic xmlns:a="http://schemas.openxmlformats.org/drawingml/2006/main">
                  <a:graphicData uri="http://schemas.microsoft.com/office/word/2010/wordprocessingGroup">
                    <wpg:wgp>
                      <wpg:cNvGrpSpPr/>
                      <wpg:grpSpPr>
                        <a:xfrm>
                          <a:off x="0" y="0"/>
                          <a:ext cx="5400965" cy="5264125"/>
                          <a:chOff x="0" y="0"/>
                          <a:chExt cx="5400965" cy="5264125"/>
                        </a:xfrm>
                      </wpg:grpSpPr>
                      <wps:wsp>
                        <wps:cNvPr id="15840" name="Rectangle 15840"/>
                        <wps:cNvSpPr/>
                        <wps:spPr>
                          <a:xfrm>
                            <a:off x="1638554" y="4109390"/>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841" name="Rectangle 15841"/>
                        <wps:cNvSpPr/>
                        <wps:spPr>
                          <a:xfrm>
                            <a:off x="2885567" y="5095418"/>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870" name="Picture 15870"/>
                          <pic:cNvPicPr/>
                        </pic:nvPicPr>
                        <pic:blipFill>
                          <a:blip r:embed="rId69"/>
                          <a:stretch>
                            <a:fillRect/>
                          </a:stretch>
                        </pic:blipFill>
                        <pic:spPr>
                          <a:xfrm>
                            <a:off x="0" y="0"/>
                            <a:ext cx="5400965" cy="3639350"/>
                          </a:xfrm>
                          <a:prstGeom prst="rect">
                            <a:avLst/>
                          </a:prstGeom>
                        </pic:spPr>
                      </pic:pic>
                      <pic:pic xmlns:pic="http://schemas.openxmlformats.org/drawingml/2006/picture">
                        <pic:nvPicPr>
                          <pic:cNvPr id="15872" name="Picture 15872"/>
                          <pic:cNvPicPr/>
                        </pic:nvPicPr>
                        <pic:blipFill>
                          <a:blip r:embed="rId70"/>
                          <a:stretch>
                            <a:fillRect/>
                          </a:stretch>
                        </pic:blipFill>
                        <pic:spPr>
                          <a:xfrm>
                            <a:off x="0" y="3806908"/>
                            <a:ext cx="1600868" cy="437562"/>
                          </a:xfrm>
                          <a:prstGeom prst="rect">
                            <a:avLst/>
                          </a:prstGeom>
                        </pic:spPr>
                      </pic:pic>
                      <pic:pic xmlns:pic="http://schemas.openxmlformats.org/drawingml/2006/picture">
                        <pic:nvPicPr>
                          <pic:cNvPr id="15874" name="Picture 15874"/>
                          <pic:cNvPicPr/>
                        </pic:nvPicPr>
                        <pic:blipFill>
                          <a:blip r:embed="rId74"/>
                          <a:stretch>
                            <a:fillRect/>
                          </a:stretch>
                        </pic:blipFill>
                        <pic:spPr>
                          <a:xfrm>
                            <a:off x="0" y="4411937"/>
                            <a:ext cx="2886456" cy="809336"/>
                          </a:xfrm>
                          <a:prstGeom prst="rect">
                            <a:avLst/>
                          </a:prstGeom>
                        </pic:spPr>
                      </pic:pic>
                    </wpg:wgp>
                  </a:graphicData>
                </a:graphic>
              </wp:inline>
            </w:drawing>
          </mc:Choice>
          <mc:Fallback xmlns:a="http://schemas.openxmlformats.org/drawingml/2006/main">
            <w:pict>
              <v:group id="Group 401196" style="width:425.273pt;height:414.498pt;mso-position-horizontal-relative:char;mso-position-vertical-relative:line" coordsize="54009,52641">
                <v:rect id="Rectangle 15840" style="position:absolute;width:506;height:2243;left:16385;top:4109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5841" style="position:absolute;width:506;height:2243;left:28855;top:5095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5870" style="position:absolute;width:54009;height:36393;left:0;top:0;" filled="f">
                  <v:imagedata r:id="rId72"/>
                </v:shape>
                <v:shape id="Picture 15872" style="position:absolute;width:16008;height:4375;left:0;top:38069;" filled="f">
                  <v:imagedata r:id="rId73"/>
                </v:shape>
                <v:shape id="Picture 15874" style="position:absolute;width:28864;height:8093;left:0;top:44119;" filled="f">
                  <v:imagedata r:id="rId74"/>
                </v:shape>
              </v:group>
            </w:pict>
          </mc:Fallback>
        </mc:AlternateConten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18" w:line="259" w:lineRule="auto"/>
        <w:ind w:left="22" w:firstLine="0"/>
        <w:jc w:val="left"/>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1197" name="Group 4011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877" name="Rectangle 1587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878" name="Rectangle 1587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879" name="Rectangle 1587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129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1197" style="width:18.7031pt;height:264.21pt;position:absolute;mso-position-horizontal-relative:page;mso-position-horizontal:absolute;margin-left:662.928pt;mso-position-vertical-relative:page;margin-top:508.71pt;" coordsize="2375,33554">
                <v:rect id="Rectangle 1587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87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87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350 </w:t>
                        </w:r>
                      </w:p>
                    </w:txbxContent>
                  </v:textbox>
                </v:rect>
                <w10:wrap type="square"/>
              </v:group>
            </w:pict>
          </mc:Fallback>
        </mc:AlternateContent>
      </w:r>
      <w:r>
        <w:rPr>
          <w:b/>
          <w:sz w:val="20"/>
        </w:rPr>
        <w:t xml:space="preserve">      </w:t>
      </w:r>
    </w:p>
    <w:p w:rsidR="00025683" w:rsidRDefault="007C2AAB">
      <w:pPr>
        <w:spacing w:after="12"/>
        <w:ind w:left="22" w:right="197"/>
      </w:pPr>
      <w:r>
        <w:rPr>
          <w:b/>
          <w:sz w:val="20"/>
        </w:rPr>
        <w:t xml:space="preserve">      4.</w:t>
      </w:r>
      <w:r>
        <w:rPr>
          <w:b/>
        </w:rPr>
        <w:t>ALTERNATIVA SELECCIONADA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7" w:hanging="10"/>
        <w:jc w:val="left"/>
      </w:pPr>
      <w:r>
        <w:rPr>
          <w:b/>
          <w:sz w:val="20"/>
        </w:rPr>
        <w:t>ALTERNATIVA 2: GARANTIZAR LA CONSERVACIÓN DE LOS VALORES PATRIMONIALES Y PRO-</w:t>
      </w:r>
    </w:p>
    <w:p w:rsidR="00025683" w:rsidRDefault="007C2AAB">
      <w:pPr>
        <w:spacing w:after="0" w:line="259" w:lineRule="auto"/>
        <w:ind w:left="17" w:hanging="10"/>
        <w:jc w:val="left"/>
      </w:pPr>
      <w:r>
        <w:rPr>
          <w:b/>
          <w:sz w:val="20"/>
        </w:rPr>
        <w:t xml:space="preserve">MOVER LA PROXIMIDAD DE LOS SERVICIOS </w:t>
      </w:r>
    </w:p>
    <w:p w:rsidR="00025683" w:rsidRDefault="007C2AAB">
      <w:pPr>
        <w:spacing w:after="12" w:line="259" w:lineRule="auto"/>
        <w:ind w:left="14" w:firstLine="0"/>
        <w:jc w:val="left"/>
      </w:pPr>
      <w:r>
        <w:rPr>
          <w:sz w:val="20"/>
        </w:rPr>
        <w:t xml:space="preserve"> </w:t>
      </w:r>
    </w:p>
    <w:p w:rsidR="00025683" w:rsidRDefault="007C2AAB">
      <w:pPr>
        <w:ind w:left="21" w:right="202"/>
      </w:pPr>
      <w:r>
        <w:rPr>
          <w:sz w:val="23"/>
        </w:rPr>
        <w:t>La alternativa 2 amplia el ámbito que delimita el Plan General, derivado del análisis histórico y constatada l</w:t>
      </w:r>
      <w:r>
        <w:rPr>
          <w:sz w:val="23"/>
        </w:rPr>
        <w:t xml:space="preserve">a existencia de valores patrimoniales en la Calle Reverendo Padre Simón Higuera, se propone la inclusión de las parcelas con frente a esta vía hasta la Iglesia de Igueste de Candelaria y su plaza anexa.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La inclusión de estos recintos viene motivada, pr</w:t>
      </w:r>
      <w:r>
        <w:rPr>
          <w:sz w:val="23"/>
        </w:rPr>
        <w:t xml:space="preserve">incipalmente, por la vinculación histórica con el </w:t>
      </w:r>
      <w:r>
        <w:rPr>
          <w:i/>
          <w:sz w:val="23"/>
        </w:rPr>
        <w:t>Camino de La Virgen</w:t>
      </w:r>
      <w:r>
        <w:rPr>
          <w:sz w:val="23"/>
        </w:rPr>
        <w:t>, siendo parte del recorrido de peregrinación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Esta alternativa se plantea con una visión estratégica, para lograr un mayor alcance en la ordenación y, por tanto, de los objetivos espec</w:t>
      </w:r>
      <w:r>
        <w:rPr>
          <w:sz w:val="23"/>
        </w:rPr>
        <w:t xml:space="preserve">íficos del plan especial. Se trata de una </w:t>
      </w:r>
      <w:r>
        <w:rPr>
          <w:b/>
          <w:sz w:val="23"/>
        </w:rPr>
        <w:t xml:space="preserve">zona estratégica </w:t>
      </w:r>
      <w:r>
        <w:rPr>
          <w:sz w:val="23"/>
        </w:rPr>
        <w:t xml:space="preserve">donde se plantearía una tipología diferenciada del Caserío Tradicional estableciendo una mayor flexibilidad de los parámetros urbanísticos. De este modo se promueve el desarrollo de otros </w:t>
      </w:r>
      <w:r>
        <w:rPr>
          <w:b/>
          <w:sz w:val="23"/>
        </w:rPr>
        <w:t>usos terc</w:t>
      </w:r>
      <w:r>
        <w:rPr>
          <w:b/>
          <w:sz w:val="23"/>
        </w:rPr>
        <w:t>iarios que garanticen la proximidad de la actividad cotidiana</w:t>
      </w:r>
      <w:r>
        <w:rPr>
          <w:sz w:val="23"/>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La incorporación de estos recintos supone </w:t>
      </w:r>
      <w:r>
        <w:rPr>
          <w:b/>
          <w:sz w:val="23"/>
        </w:rPr>
        <w:t xml:space="preserve">un incremento de 18% </w:t>
      </w:r>
      <w:r>
        <w:rPr>
          <w:sz w:val="23"/>
        </w:rPr>
        <w:t xml:space="preserve">del total del ámbito del plan especial respecto a </w:t>
      </w:r>
      <w:r>
        <w:rPr>
          <w:sz w:val="23"/>
        </w:rPr>
        <w:t xml:space="preserve">la delimitación definida en el plan general, sumando una superficie total de </w:t>
      </w:r>
      <w:r>
        <w:rPr>
          <w:b/>
          <w:sz w:val="23"/>
        </w:rPr>
        <w:t>141.567,42 m²</w:t>
      </w:r>
      <w:r>
        <w:rPr>
          <w:sz w:val="23"/>
        </w:rPr>
        <w:t>. La ampliación que se propone no implica una modificación de la clase de suelo.</w:t>
      </w:r>
      <w:r>
        <w:rPr>
          <w:rFonts w:ascii="Times New Roman" w:eastAsia="Times New Roman" w:hAnsi="Times New Roman" w:cs="Times New Roman"/>
          <w:sz w:val="24"/>
        </w:rPr>
        <w:t xml:space="preserve"> </w:t>
      </w:r>
    </w:p>
    <w:p w:rsidR="00025683" w:rsidRDefault="007C2AAB">
      <w:pPr>
        <w:ind w:left="21" w:right="202"/>
      </w:pPr>
      <w:r>
        <w:rPr>
          <w:sz w:val="23"/>
        </w:rPr>
        <w:t xml:space="preserve">Con la ampliación del ámbito, se amplía el alcance de los objetivos específicos del </w:t>
      </w:r>
      <w:r>
        <w:rPr>
          <w:sz w:val="23"/>
        </w:rPr>
        <w:t xml:space="preserve">plan especial desde tres puntos de vista: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1409" name="Group 4014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969" name="Rectangle 1596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5970" name="Rectangle 1597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5971" name="Rectangle 1597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130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1409" style="width:18.7031pt;height:264.21pt;position:absolute;mso-position-horizontal-relative:page;mso-position-horizontal:absolute;margin-left:662.928pt;mso-position-vertical-relative:page;margin-top:508.71pt;" coordsize="2375,33554">
                <v:rect id="Rectangle 1596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597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597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350 </w:t>
                        </w:r>
                      </w:p>
                    </w:txbxContent>
                  </v:textbox>
                </v:rect>
                <w10:wrap type="topAndBottom"/>
              </v:group>
            </w:pict>
          </mc:Fallback>
        </mc:AlternateContent>
      </w:r>
      <w:r>
        <w:rPr>
          <w:rFonts w:ascii="Times New Roman" w:eastAsia="Times New Roman" w:hAnsi="Times New Roman" w:cs="Times New Roman"/>
          <w:sz w:val="23"/>
        </w:rPr>
        <w:t xml:space="preserve">       •</w:t>
      </w:r>
      <w:r>
        <w:rPr>
          <w:b/>
          <w:sz w:val="23"/>
        </w:rPr>
        <w:t xml:space="preserve">Preservación de los valores patrimoniales, </w:t>
      </w:r>
      <w:r>
        <w:rPr>
          <w:sz w:val="23"/>
        </w:rPr>
        <w:t>ya que se incluye un número considerable de bienes que requieren de una protección especial al encontrarse, actualmente, en peligro de desaparición.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b/>
          <w:sz w:val="23"/>
        </w:rPr>
        <w:t>Paisajístico</w:t>
      </w:r>
      <w:r>
        <w:rPr>
          <w:sz w:val="23"/>
        </w:rPr>
        <w:t xml:space="preserve">, se han incluido parcelas vinculadas al </w:t>
      </w:r>
      <w:r>
        <w:rPr>
          <w:sz w:val="23"/>
        </w:rPr>
        <w:t>caserío tradicional donde se aprecian las características propias del paisaje rural y que se excluyeron del ámbito definido por el plan general.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b/>
          <w:sz w:val="23"/>
        </w:rPr>
        <w:t>La Movilidad</w:t>
      </w:r>
      <w:r>
        <w:rPr>
          <w:sz w:val="23"/>
        </w:rPr>
        <w:t>, la inclusión de la calle Reverendo Padre Simón Higuera garantiza la funcionalidad de to</w:t>
      </w:r>
      <w:r>
        <w:rPr>
          <w:sz w:val="23"/>
        </w:rPr>
        <w:t>do el sistema viario del Barrio de La Jiménez con una visión global. Este elemento resulta clave mejorar la relación del caserío con los equipamientos y áreas libres localizadas en el entorno de la iglesia. Concretamente; la plaza de La Libertad, el centro</w:t>
      </w:r>
      <w:r>
        <w:rPr>
          <w:sz w:val="23"/>
        </w:rPr>
        <w:t xml:space="preserve"> cultural multifuncional “Porfirio Torres Cruz”, un parque infantil, la iglesia y plaza anexa y el terrero de lucha.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0" w:right="1015" w:firstLine="0"/>
        <w:jc w:val="right"/>
      </w:pPr>
      <w:r>
        <w:rPr>
          <w:noProof/>
        </w:rPr>
        <w:drawing>
          <wp:inline distT="0" distB="0" distL="0" distR="0">
            <wp:extent cx="5383905" cy="3962491"/>
            <wp:effectExtent l="0" t="0" r="0" b="0"/>
            <wp:docPr id="16031" name="Picture 16031"/>
            <wp:cNvGraphicFramePr/>
            <a:graphic xmlns:a="http://schemas.openxmlformats.org/drawingml/2006/main">
              <a:graphicData uri="http://schemas.openxmlformats.org/drawingml/2006/picture">
                <pic:pic xmlns:pic="http://schemas.openxmlformats.org/drawingml/2006/picture">
                  <pic:nvPicPr>
                    <pic:cNvPr id="16031" name="Picture 16031"/>
                    <pic:cNvPicPr/>
                  </pic:nvPicPr>
                  <pic:blipFill>
                    <a:blip r:embed="rId75"/>
                    <a:stretch>
                      <a:fillRect/>
                    </a:stretch>
                  </pic:blipFill>
                  <pic:spPr>
                    <a:xfrm>
                      <a:off x="0" y="0"/>
                      <a:ext cx="5383905" cy="396249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7" w:line="259" w:lineRule="auto"/>
        <w:ind w:left="10" w:firstLine="0"/>
        <w:jc w:val="left"/>
      </w:pPr>
      <w:r>
        <w:rPr>
          <w:b/>
          <w:sz w:val="18"/>
        </w:rPr>
        <w:t xml:space="preserve"> </w:t>
      </w:r>
    </w:p>
    <w:p w:rsidR="00025683" w:rsidRDefault="007C2AAB">
      <w:pPr>
        <w:spacing w:after="297" w:line="259" w:lineRule="auto"/>
        <w:ind w:left="10" w:firstLine="0"/>
        <w:jc w:val="left"/>
      </w:pPr>
      <w:r>
        <w:rPr>
          <w:b/>
          <w:sz w:val="18"/>
        </w:rPr>
        <w:t xml:space="preserve"> </w:t>
      </w:r>
    </w:p>
    <w:p w:rsidR="00025683" w:rsidRDefault="007C2AAB">
      <w:pPr>
        <w:spacing w:after="235" w:line="259" w:lineRule="auto"/>
        <w:ind w:left="10" w:hanging="10"/>
        <w:jc w:val="left"/>
      </w:pPr>
      <w:r>
        <w:rPr>
          <w:b/>
          <w:sz w:val="18"/>
        </w:rPr>
        <w:t>ALTERNATIVA 2 SELECCIONADA</w:t>
      </w:r>
      <w:r>
        <w:rPr>
          <w:rFonts w:ascii="Times New Roman" w:eastAsia="Times New Roman" w:hAnsi="Times New Roman" w:cs="Times New Roman"/>
          <w:sz w:val="24"/>
        </w:rPr>
        <w:t xml:space="preserve"> </w:t>
      </w:r>
    </w:p>
    <w:p w:rsidR="00025683" w:rsidRDefault="007C2AAB">
      <w:pPr>
        <w:ind w:left="21" w:right="202"/>
      </w:pPr>
      <w:r>
        <w:rPr>
          <w:sz w:val="23"/>
        </w:rPr>
        <w:t xml:space="preserve">El objetivo sería la regulación de las condiciones estéticas y de ornato de los inmuebles y espacios públicos incluidos en el ámbito del plan especial considerando lo siguiente:  </w:t>
      </w:r>
    </w:p>
    <w:p w:rsidR="00025683" w:rsidRDefault="007C2AAB">
      <w:pPr>
        <w:spacing w:after="19" w:line="259" w:lineRule="auto"/>
        <w:ind w:left="14" w:firstLine="0"/>
        <w:jc w:val="left"/>
      </w:pPr>
      <w:r>
        <w:rPr>
          <w:sz w:val="23"/>
        </w:rPr>
        <w:t xml:space="preserve"> </w:t>
      </w:r>
    </w:p>
    <w:p w:rsidR="00025683" w:rsidRDefault="007C2AAB">
      <w:pPr>
        <w:numPr>
          <w:ilvl w:val="0"/>
          <w:numId w:val="43"/>
        </w:numPr>
        <w:spacing w:after="161"/>
        <w:ind w:right="202" w:hanging="146"/>
      </w:pPr>
      <w:r>
        <w:rPr>
          <w:sz w:val="23"/>
        </w:rPr>
        <w:t xml:space="preserve">Actuaciones en los paramentos exteriores de la edificación.  </w:t>
      </w:r>
    </w:p>
    <w:p w:rsidR="00025683" w:rsidRDefault="007C2AAB">
      <w:pPr>
        <w:numPr>
          <w:ilvl w:val="0"/>
          <w:numId w:val="43"/>
        </w:numPr>
        <w:spacing w:after="163"/>
        <w:ind w:right="202" w:hanging="146"/>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1246" name="Group 4012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034" name="Rectangle 1603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w:t>
                              </w:r>
                              <w:r>
                                <w:rPr>
                                  <w:sz w:val="12"/>
                                </w:rPr>
                                <w:t xml:space="preserve">dación: 3J3KYNW3CJM74AZ6SEHNT4KKY </w:t>
                              </w:r>
                            </w:p>
                          </w:txbxContent>
                        </wps:txbx>
                        <wps:bodyPr horzOverflow="overflow" vert="horz" lIns="0" tIns="0" rIns="0" bIns="0" rtlCol="0">
                          <a:noAutofit/>
                        </wps:bodyPr>
                      </wps:wsp>
                      <wps:wsp>
                        <wps:cNvPr id="16035" name="Rectangle 1603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036" name="Rectangle 1603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131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1246" style="width:18.7031pt;height:264.21pt;position:absolute;mso-position-horizontal-relative:page;mso-position-horizontal:absolute;margin-left:662.928pt;mso-position-vertical-relative:page;margin-top:508.71pt;" coordsize="2375,33554">
                <v:rect id="Rectangle 1603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03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03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350 </w:t>
                        </w:r>
                      </w:p>
                    </w:txbxContent>
                  </v:textbox>
                </v:rect>
                <w10:wrap type="square"/>
              </v:group>
            </w:pict>
          </mc:Fallback>
        </mc:AlternateContent>
      </w:r>
      <w:r>
        <w:rPr>
          <w:sz w:val="23"/>
        </w:rPr>
        <w:t xml:space="preserve">Actuaciones en la cubierta.  </w:t>
      </w:r>
    </w:p>
    <w:p w:rsidR="00025683" w:rsidRDefault="007C2AAB">
      <w:pPr>
        <w:numPr>
          <w:ilvl w:val="0"/>
          <w:numId w:val="43"/>
        </w:numPr>
        <w:spacing w:after="131"/>
        <w:ind w:right="202" w:hanging="146"/>
      </w:pPr>
      <w:r>
        <w:rPr>
          <w:sz w:val="23"/>
        </w:rPr>
        <w:t xml:space="preserve">Actuaciones en las medianeras.  </w:t>
      </w:r>
    </w:p>
    <w:p w:rsidR="00025683" w:rsidRDefault="007C2AAB">
      <w:pPr>
        <w:numPr>
          <w:ilvl w:val="0"/>
          <w:numId w:val="43"/>
        </w:numPr>
        <w:spacing w:after="162"/>
        <w:ind w:right="202" w:hanging="146"/>
      </w:pPr>
      <w:r>
        <w:rPr>
          <w:sz w:val="23"/>
        </w:rPr>
        <w:t xml:space="preserve">Actuaciones en la fachada.  </w:t>
      </w:r>
    </w:p>
    <w:p w:rsidR="00025683" w:rsidRDefault="007C2AAB">
      <w:pPr>
        <w:numPr>
          <w:ilvl w:val="0"/>
          <w:numId w:val="43"/>
        </w:numPr>
        <w:spacing w:after="163"/>
        <w:ind w:right="202" w:hanging="146"/>
      </w:pPr>
      <w:r>
        <w:rPr>
          <w:sz w:val="23"/>
        </w:rPr>
        <w:t xml:space="preserve">Consideraciones relativas al cromatismo.  </w:t>
      </w:r>
    </w:p>
    <w:p w:rsidR="00025683" w:rsidRDefault="007C2AAB">
      <w:pPr>
        <w:numPr>
          <w:ilvl w:val="0"/>
          <w:numId w:val="43"/>
        </w:numPr>
        <w:spacing w:after="160"/>
        <w:ind w:right="202" w:hanging="146"/>
      </w:pPr>
      <w:r>
        <w:rPr>
          <w:sz w:val="23"/>
        </w:rPr>
        <w:t xml:space="preserve">Composición de la fachada.  </w:t>
      </w:r>
    </w:p>
    <w:p w:rsidR="00025683" w:rsidRDefault="007C2AAB">
      <w:pPr>
        <w:numPr>
          <w:ilvl w:val="0"/>
          <w:numId w:val="43"/>
        </w:numPr>
        <w:spacing w:after="161"/>
        <w:ind w:right="202" w:hanging="146"/>
      </w:pPr>
      <w:r>
        <w:rPr>
          <w:sz w:val="23"/>
        </w:rPr>
        <w:t xml:space="preserve">Materiales.  </w:t>
      </w:r>
    </w:p>
    <w:p w:rsidR="00025683" w:rsidRDefault="007C2AAB">
      <w:pPr>
        <w:numPr>
          <w:ilvl w:val="0"/>
          <w:numId w:val="43"/>
        </w:numPr>
        <w:spacing w:after="164"/>
        <w:ind w:right="202" w:hanging="146"/>
      </w:pPr>
      <w:r>
        <w:rPr>
          <w:sz w:val="23"/>
        </w:rPr>
        <w:t xml:space="preserve">Elementos antepuestos y sobrepuestos, otros elementos decorativos.  </w:t>
      </w:r>
    </w:p>
    <w:p w:rsidR="00025683" w:rsidRDefault="007C2AAB">
      <w:pPr>
        <w:numPr>
          <w:ilvl w:val="0"/>
          <w:numId w:val="43"/>
        </w:numPr>
        <w:spacing w:after="161"/>
        <w:ind w:right="202" w:hanging="146"/>
      </w:pPr>
      <w:r>
        <w:rPr>
          <w:sz w:val="23"/>
        </w:rPr>
        <w:t xml:space="preserve">Carteles publicitarios.  </w:t>
      </w:r>
    </w:p>
    <w:p w:rsidR="00025683" w:rsidRDefault="007C2AAB">
      <w:pPr>
        <w:numPr>
          <w:ilvl w:val="0"/>
          <w:numId w:val="43"/>
        </w:numPr>
        <w:ind w:right="202" w:hanging="146"/>
      </w:pPr>
      <w:r>
        <w:rPr>
          <w:sz w:val="23"/>
        </w:rPr>
        <w:t xml:space="preserve">Instalaciones en fachada.  </w:t>
      </w:r>
    </w:p>
    <w:p w:rsidR="00025683" w:rsidRDefault="007C2AAB">
      <w:pPr>
        <w:numPr>
          <w:ilvl w:val="0"/>
          <w:numId w:val="43"/>
        </w:numPr>
        <w:spacing w:after="163"/>
        <w:ind w:right="202" w:hanging="146"/>
      </w:pPr>
      <w:r>
        <w:rPr>
          <w:sz w:val="23"/>
        </w:rPr>
        <w:t>Diseño de espacios</w:t>
      </w:r>
      <w:r>
        <w:rPr>
          <w:sz w:val="23"/>
        </w:rPr>
        <w:t xml:space="preserve"> libres. </w:t>
      </w:r>
    </w:p>
    <w:p w:rsidR="00025683" w:rsidRDefault="007C2AAB">
      <w:pPr>
        <w:numPr>
          <w:ilvl w:val="0"/>
          <w:numId w:val="43"/>
        </w:numPr>
        <w:spacing w:after="161"/>
        <w:ind w:right="202" w:hanging="146"/>
      </w:pPr>
      <w:r>
        <w:rPr>
          <w:sz w:val="23"/>
        </w:rPr>
        <w:t xml:space="preserve">Mobiliario urbano.  </w:t>
      </w:r>
    </w:p>
    <w:p w:rsidR="00025683" w:rsidRDefault="007C2AAB">
      <w:pPr>
        <w:numPr>
          <w:ilvl w:val="0"/>
          <w:numId w:val="43"/>
        </w:numPr>
        <w:spacing w:after="166"/>
        <w:ind w:right="202" w:hanging="146"/>
      </w:pPr>
      <w:r>
        <w:rPr>
          <w:sz w:val="23"/>
        </w:rPr>
        <w:t xml:space="preserve">Tratamiento de vías de plataforma única.  </w:t>
      </w:r>
    </w:p>
    <w:p w:rsidR="00025683" w:rsidRDefault="007C2AAB">
      <w:pPr>
        <w:numPr>
          <w:ilvl w:val="0"/>
          <w:numId w:val="43"/>
        </w:numPr>
        <w:spacing w:after="117"/>
        <w:ind w:right="202" w:hanging="146"/>
      </w:pPr>
      <w:r>
        <w:rPr>
          <w:sz w:val="23"/>
        </w:rPr>
        <w:t>Iluminación urbana.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line="249" w:lineRule="auto"/>
        <w:ind w:left="17" w:right="198" w:hanging="10"/>
      </w:pPr>
      <w:r>
        <w:rPr>
          <w:b/>
          <w:sz w:val="20"/>
        </w:rPr>
        <w:t xml:space="preserve">       5.</w:t>
      </w:r>
      <w:r>
        <w:rPr>
          <w:b/>
          <w:sz w:val="23"/>
        </w:rPr>
        <w:t>OBJETO DEL PLAN ESPECIAL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Respecto a la ordenación, el plan especial como instrumento de desarrollo mantiene las clases y categorías del suelo definidas por el plan general en el que incluyen suelo urbano consolidado y suelo rústico. </w:t>
      </w:r>
    </w:p>
    <w:p w:rsidR="00025683" w:rsidRDefault="007C2AAB">
      <w:pPr>
        <w:ind w:left="21" w:right="202"/>
      </w:pPr>
      <w:r>
        <w:rPr>
          <w:sz w:val="23"/>
        </w:rPr>
        <w:t xml:space="preserve">En base a estas clases de suelo, la ordenación </w:t>
      </w:r>
      <w:r>
        <w:rPr>
          <w:sz w:val="23"/>
        </w:rPr>
        <w:t xml:space="preserve">del plan especial se dirige a garantizar la conservación de los valores patrimoniales y promover la proximidad de los servicios existentes. En este sentido, cabe destacar las líneas estratégicas que se resumen a continuación: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Régimen de usos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Movilidad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Espacios Libres y Equipamientos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1684" name="Group 4016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150" name="Rectangle 1615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151" name="Rectangle 1615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152" name="Rectangle 1615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132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1684" style="width:18.7031pt;height:264.21pt;position:absolute;mso-position-horizontal-relative:page;mso-position-horizontal:absolute;margin-left:662.928pt;mso-position-vertical-relative:page;margin-top:508.71pt;" coordsize="2375,33554">
                <v:rect id="Rectangle 1615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15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15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350 </w:t>
                        </w:r>
                      </w:p>
                    </w:txbxContent>
                  </v:textbox>
                </v:rect>
                <w10:wrap type="square"/>
              </v:group>
            </w:pict>
          </mc:Fallback>
        </mc:AlternateContent>
      </w:r>
      <w:r>
        <w:rPr>
          <w:rFonts w:ascii="Times New Roman" w:eastAsia="Times New Roman" w:hAnsi="Times New Roman" w:cs="Times New Roman"/>
          <w:sz w:val="23"/>
        </w:rPr>
        <w:t xml:space="preserve">        •</w:t>
      </w:r>
      <w:r>
        <w:rPr>
          <w:sz w:val="23"/>
        </w:rPr>
        <w:t xml:space="preserve">Regulación de la edificación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Protección del Patrimonio: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Régimen cautelar de protección </w:t>
      </w:r>
      <w:r>
        <w:rPr>
          <w:rFonts w:ascii="Times New Roman" w:eastAsia="Times New Roman" w:hAnsi="Times New Roman" w:cs="Times New Roman"/>
          <w:sz w:val="24"/>
        </w:rPr>
        <w:t xml:space="preserve"> </w:t>
      </w:r>
    </w:p>
    <w:p w:rsidR="00025683" w:rsidRDefault="007C2AAB">
      <w:pPr>
        <w:spacing w:after="0" w:line="259" w:lineRule="auto"/>
        <w:ind w:left="19"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Inventario de Bienes Patrimoniales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Por un lado, para estas edificaciones identificadas en el inventario de bienes patrimoniales culturales del tomo I de información se establece un régimen específico transitorio, en tanto no se actualice el catálogo mun</w:t>
      </w:r>
      <w:r>
        <w:rPr>
          <w:sz w:val="23"/>
        </w:rPr>
        <w:t xml:space="preserve">icipal vigente.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Por otro lado, se mejoran las condiciones del sistema de movilidad para mejorar su funcionalidad y aproximar los equipamientos existentes a las personas residentes en el caserío de La Jiménez.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Paralelamente, se amplía la superficie d</w:t>
      </w:r>
      <w:r>
        <w:rPr>
          <w:sz w:val="23"/>
        </w:rPr>
        <w:t xml:space="preserve">e espacios libres y sus condiciones de accesibilidad para favorecer la integración paisajística del suelo urbano y garantizar el acceso a pequeñas zonas de estancia, localizadas a lo largo de las vías con pendientes pronunciadas.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Se incorpora un nuevo </w:t>
      </w:r>
      <w:r>
        <w:rPr>
          <w:sz w:val="23"/>
        </w:rPr>
        <w:t xml:space="preserve">equipamiento para rehabilitar una construcción con valores patrimoniales que formará parte de una estrategia de conexión del Lomo Acoroma, con los equipamientos y espacios libres existentes.  </w:t>
      </w:r>
    </w:p>
    <w:p w:rsidR="00025683" w:rsidRDefault="007C2AAB">
      <w:pPr>
        <w:spacing w:after="242" w:line="259" w:lineRule="auto"/>
        <w:ind w:left="10" w:firstLine="0"/>
        <w:jc w:val="left"/>
      </w:pPr>
      <w:r>
        <w:rPr>
          <w:sz w:val="23"/>
        </w:rPr>
        <w:t xml:space="preserve"> </w:t>
      </w:r>
    </w:p>
    <w:p w:rsidR="00025683" w:rsidRDefault="007C2AAB">
      <w:pPr>
        <w:spacing w:after="254"/>
        <w:ind w:left="21" w:right="700"/>
      </w:pPr>
      <w:r>
        <w:rPr>
          <w:sz w:val="23"/>
        </w:rPr>
        <w:t>Se promueve la flexibilización del uso residencial para permi</w:t>
      </w:r>
      <w:r>
        <w:rPr>
          <w:sz w:val="23"/>
        </w:rPr>
        <w:t>tir el desarrollo de modelos residenciales colaborativos como el cohousing, dada su creciente implantación y demanda.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12"/>
        <w:ind w:left="22" w:right="197"/>
      </w:pPr>
      <w:r>
        <w:rPr>
          <w:b/>
          <w:sz w:val="20"/>
        </w:rPr>
        <w:t xml:space="preserve">      6.</w:t>
      </w:r>
      <w:r>
        <w:rPr>
          <w:b/>
        </w:rPr>
        <w:t>ACTUACIONES PROPUESTAS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21" w:right="202"/>
      </w:pPr>
      <w:r>
        <w:rPr>
          <w:sz w:val="23"/>
        </w:rPr>
        <w:t>La totalidad de las actuaciones urbanísticas constituyen en los términos del artículo 259 de la LSENP</w:t>
      </w:r>
      <w:r>
        <w:rPr>
          <w:sz w:val="23"/>
        </w:rPr>
        <w:t xml:space="preserve">C, actuaciones urbanísticas aisladas (AUA), a ejecutar como obras públicas ordinarias. </w:t>
      </w:r>
    </w:p>
    <w:p w:rsidR="00025683" w:rsidRDefault="007C2AAB">
      <w:pPr>
        <w:spacing w:after="0" w:line="259" w:lineRule="auto"/>
        <w:ind w:left="14" w:firstLine="0"/>
        <w:jc w:val="left"/>
      </w:pPr>
      <w:r>
        <w:rPr>
          <w:color w:val="8A1C3F"/>
          <w:sz w:val="23"/>
        </w:rPr>
        <w:t xml:space="preserve"> </w:t>
      </w:r>
    </w:p>
    <w:p w:rsidR="00025683" w:rsidRDefault="007C2AAB">
      <w:pPr>
        <w:numPr>
          <w:ilvl w:val="0"/>
          <w:numId w:val="44"/>
        </w:numPr>
        <w:ind w:right="202"/>
      </w:pPr>
      <w:r>
        <w:rPr>
          <w:b/>
          <w:sz w:val="23"/>
        </w:rPr>
        <w:t xml:space="preserve">Actuaciones de mejora y acondicionamiento de espacios libres y víarios existentes: </w:t>
      </w:r>
      <w:r>
        <w:rPr>
          <w:sz w:val="23"/>
        </w:rPr>
        <w:t>Se trata de intervenciones en el espacio público donde las condiciones actuales hacen necesarias la ejecución de obras destinadas a mejorar la calidad del entorno urbano. Son obras de reparación de pavimentos en vías peatonales, rampas y escaleras, de sust</w:t>
      </w:r>
      <w:r>
        <w:rPr>
          <w:sz w:val="23"/>
        </w:rPr>
        <w:t>itución de mobiliario urbano y elementos de señalización en mal estado de conservación y obras de embellecimiento como pintado y reposición de vegetación. La finalidad de estas actuaciones es mejorar la accesibilidad, la seguridad y funcionalidad para toda</w:t>
      </w:r>
      <w:r>
        <w:rPr>
          <w:sz w:val="23"/>
        </w:rPr>
        <w:t xml:space="preserve">s las personas.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color w:val="8A1C3F"/>
          <w:sz w:val="23"/>
        </w:rPr>
        <w:t xml:space="preserve"> </w:t>
      </w:r>
    </w:p>
    <w:p w:rsidR="00025683" w:rsidRDefault="007C2AAB">
      <w:pPr>
        <w:numPr>
          <w:ilvl w:val="0"/>
          <w:numId w:val="44"/>
        </w:numPr>
        <w:ind w:right="202"/>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1416" name="Group 4014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255" name="Rectangle 1625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256" name="Rectangle 1625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257" name="Rectangle 1625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133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1416" style="width:18.7031pt;height:264.21pt;position:absolute;mso-position-horizontal-relative:page;mso-position-horizontal:absolute;margin-left:662.928pt;mso-position-vertical-relative:page;margin-top:508.71pt;" coordsize="2375,33554">
                <v:rect id="Rectangle 1625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2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2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350 </w:t>
                        </w:r>
                      </w:p>
                    </w:txbxContent>
                  </v:textbox>
                </v:rect>
                <w10:wrap type="square"/>
              </v:group>
            </w:pict>
          </mc:Fallback>
        </mc:AlternateContent>
      </w:r>
      <w:r>
        <w:rPr>
          <w:b/>
          <w:sz w:val="23"/>
        </w:rPr>
        <w:t>Actuaciones de renovación y reforma d</w:t>
      </w:r>
      <w:r>
        <w:rPr>
          <w:b/>
          <w:sz w:val="23"/>
        </w:rPr>
        <w:t xml:space="preserve">e víarios existentes: </w:t>
      </w:r>
      <w:r>
        <w:rPr>
          <w:sz w:val="23"/>
        </w:rPr>
        <w:t xml:space="preserve">Se distinguen de las anteriores por el alcance de las obras, ya que implica una transformación integral del espacio público, tanto de la calidad ambiental, como de su funcionalidad. Además de reordenar las vías y sus elementos, estas </w:t>
      </w:r>
      <w:r>
        <w:rPr>
          <w:sz w:val="23"/>
        </w:rPr>
        <w:t xml:space="preserve">actuaciones incluyen el soterramiento y mejora de las instalaciones existentes.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color w:val="8A1C3F"/>
          <w:sz w:val="23"/>
        </w:rPr>
        <w:t xml:space="preserve"> </w:t>
      </w:r>
    </w:p>
    <w:p w:rsidR="00025683" w:rsidRDefault="007C2AAB">
      <w:pPr>
        <w:numPr>
          <w:ilvl w:val="0"/>
          <w:numId w:val="44"/>
        </w:numPr>
        <w:ind w:right="202"/>
      </w:pPr>
      <w:r>
        <w:rPr>
          <w:b/>
          <w:sz w:val="23"/>
        </w:rPr>
        <w:t xml:space="preserve">Actuaciones para la obtención y ejecución de nuevos espacios libres, víarios y equipamientos: </w:t>
      </w:r>
      <w:r>
        <w:rPr>
          <w:sz w:val="23"/>
        </w:rPr>
        <w:t>Previo a la ejecución de los nuevos espacios libres, víarios y equipamientos d</w:t>
      </w:r>
      <w:r>
        <w:rPr>
          <w:sz w:val="23"/>
        </w:rPr>
        <w:t>efinidos en la ordenación, se llevará a cabo la obtención de estos suelos mediante el sistema de gestión definido en el programa de actuaciones. La finalidad de estas actuaciones es implementar el sistema de espacios libres denominados “apartaderos”, mejor</w:t>
      </w:r>
      <w:r>
        <w:rPr>
          <w:sz w:val="23"/>
        </w:rPr>
        <w:t>ar la funcionalidad del sistema víario conectando las calles La Jiménez - La Morrita y ampliar las dotaciones a través de la rehabilitación y ampliación de un inmueble con valores patrimoniales culturales, a la vez que se mejora la conexión de Lomo Acoroma</w:t>
      </w:r>
      <w:r>
        <w:rPr>
          <w:sz w:val="23"/>
        </w:rPr>
        <w:t xml:space="preserve"> con la calle El Pico.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Las actuaciones en el espacio público que se proponen en el plan se representan en el plano de ordenación OP-4 “Actuaciones urbanísticas aisladas”, identificadas con un código (AUAnº), su denominación y el objeto que la definen. </w:t>
      </w:r>
      <w:r>
        <w:rPr>
          <w:sz w:val="23"/>
        </w:rPr>
        <w:t xml:space="preserve">Se describen en el Programa de Actuaciones incorporado al Tomo II.5 “Estudio Económico Financiero”.  </w:t>
      </w:r>
    </w:p>
    <w:p w:rsidR="00025683" w:rsidRDefault="007C2AAB">
      <w:pPr>
        <w:ind w:left="21" w:right="695"/>
      </w:pPr>
      <w:r>
        <w:rPr>
          <w:sz w:val="23"/>
        </w:rPr>
        <w:t xml:space="preserve">En resumen, se han definido un total de </w:t>
      </w:r>
      <w:r>
        <w:rPr>
          <w:b/>
          <w:sz w:val="23"/>
        </w:rPr>
        <w:t>19 actuaciones</w:t>
      </w:r>
      <w:r>
        <w:rPr>
          <w:sz w:val="23"/>
        </w:rPr>
        <w:t>, de las cuales, una, está destinada a la ejecución de una dotación y el resto, son actuaciones en e</w:t>
      </w:r>
      <w:r>
        <w:rPr>
          <w:sz w:val="23"/>
        </w:rPr>
        <w:t>spacios libres y viarios. Se propone se realicen mediante obras públicas ordinarias</w:t>
      </w:r>
      <w:r>
        <w:rPr>
          <w:rFonts w:ascii="Times New Roman" w:eastAsia="Times New Roman" w:hAnsi="Times New Roman" w:cs="Times New Roman"/>
          <w:sz w:val="24"/>
        </w:rPr>
        <w:t xml:space="preserve"> </w:t>
      </w:r>
    </w:p>
    <w:p w:rsidR="00025683" w:rsidRDefault="007C2AAB">
      <w:pPr>
        <w:spacing w:after="170" w:line="259" w:lineRule="auto"/>
        <w:ind w:left="0" w:right="1019" w:firstLine="0"/>
        <w:jc w:val="right"/>
      </w:pPr>
      <w:r>
        <w:rPr>
          <w:noProof/>
        </w:rPr>
        <w:drawing>
          <wp:inline distT="0" distB="0" distL="0" distR="0">
            <wp:extent cx="5382976" cy="5000145"/>
            <wp:effectExtent l="0" t="0" r="0" b="0"/>
            <wp:docPr id="16291" name="Picture 16291"/>
            <wp:cNvGraphicFramePr/>
            <a:graphic xmlns:a="http://schemas.openxmlformats.org/drawingml/2006/main">
              <a:graphicData uri="http://schemas.openxmlformats.org/drawingml/2006/picture">
                <pic:pic xmlns:pic="http://schemas.openxmlformats.org/drawingml/2006/picture">
                  <pic:nvPicPr>
                    <pic:cNvPr id="16291" name="Picture 16291"/>
                    <pic:cNvPicPr/>
                  </pic:nvPicPr>
                  <pic:blipFill>
                    <a:blip r:embed="rId76"/>
                    <a:stretch>
                      <a:fillRect/>
                    </a:stretch>
                  </pic:blipFill>
                  <pic:spPr>
                    <a:xfrm>
                      <a:off x="0" y="0"/>
                      <a:ext cx="5382976" cy="5000145"/>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2" w:line="259" w:lineRule="auto"/>
        <w:ind w:left="10" w:firstLine="0"/>
        <w:jc w:val="left"/>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1897" name="Group 4018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294" name="Rectangle 1629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295" name="Rectangle 1629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296" name="Rectangle 1629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134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1897" style="width:18.7031pt;height:264.21pt;position:absolute;mso-position-horizontal-relative:page;mso-position-horizontal:absolute;margin-left:662.928pt;mso-position-vertical-relative:page;margin-top:508.71pt;" coordsize="2375,33554">
                <v:rect id="Rectangle 1629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29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29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350 </w:t>
                        </w:r>
                      </w:p>
                    </w:txbxContent>
                  </v:textbox>
                </v:rect>
                <w10:wrap type="topAndBottom"/>
              </v:group>
            </w:pict>
          </mc:Fallback>
        </mc:AlternateContent>
      </w:r>
      <w:r>
        <w:t xml:space="preserve"> </w:t>
      </w:r>
    </w:p>
    <w:p w:rsidR="00025683" w:rsidRDefault="007C2AAB">
      <w:pPr>
        <w:spacing w:after="0" w:line="259" w:lineRule="auto"/>
        <w:ind w:left="10" w:firstLine="0"/>
        <w:jc w:val="left"/>
      </w:pPr>
      <w:r>
        <w:t xml:space="preserve"> </w:t>
      </w:r>
    </w:p>
    <w:p w:rsidR="00025683" w:rsidRDefault="007C2AAB">
      <w:pPr>
        <w:spacing w:after="168" w:line="259" w:lineRule="auto"/>
        <w:ind w:left="0" w:right="988" w:firstLine="0"/>
        <w:jc w:val="right"/>
      </w:pPr>
      <w:r>
        <w:rPr>
          <w:noProof/>
        </w:rPr>
        <w:drawing>
          <wp:inline distT="0" distB="0" distL="0" distR="0">
            <wp:extent cx="5386428" cy="6000051"/>
            <wp:effectExtent l="0" t="0" r="0" b="0"/>
            <wp:docPr id="16326" name="Picture 16326"/>
            <wp:cNvGraphicFramePr/>
            <a:graphic xmlns:a="http://schemas.openxmlformats.org/drawingml/2006/main">
              <a:graphicData uri="http://schemas.openxmlformats.org/drawingml/2006/picture">
                <pic:pic xmlns:pic="http://schemas.openxmlformats.org/drawingml/2006/picture">
                  <pic:nvPicPr>
                    <pic:cNvPr id="16326" name="Picture 16326"/>
                    <pic:cNvPicPr/>
                  </pic:nvPicPr>
                  <pic:blipFill>
                    <a:blip r:embed="rId77"/>
                    <a:stretch>
                      <a:fillRect/>
                    </a:stretch>
                  </pic:blipFill>
                  <pic:spPr>
                    <a:xfrm>
                      <a:off x="0" y="0"/>
                      <a:ext cx="5386428" cy="600005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4" w:line="259" w:lineRule="auto"/>
        <w:ind w:left="10" w:firstLine="0"/>
        <w:jc w:val="left"/>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1956" name="Group 40195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329" name="Rectangle 1632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330" name="Rectangle 1633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331" name="Rectangle 1633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135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1956" style="width:18.7031pt;height:264.21pt;position:absolute;mso-position-horizontal-relative:page;mso-position-horizontal:absolute;margin-left:662.928pt;mso-position-vertical-relative:page;margin-top:508.71pt;" coordsize="2375,33554">
                <v:rect id="Rectangle 1632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33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33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350 </w:t>
                        </w:r>
                      </w:p>
                    </w:txbxContent>
                  </v:textbox>
                </v:rect>
                <w10:wrap type="topAndBottom"/>
              </v:group>
            </w:pict>
          </mc:Fallback>
        </mc:AlternateContent>
      </w:r>
      <w:r>
        <w:t xml:space="preserve"> </w:t>
      </w:r>
    </w:p>
    <w:p w:rsidR="00025683" w:rsidRDefault="007C2AAB">
      <w:pPr>
        <w:spacing w:after="0" w:line="259" w:lineRule="auto"/>
        <w:ind w:left="10" w:firstLine="0"/>
        <w:jc w:val="left"/>
      </w:pPr>
      <w:r>
        <w:t xml:space="preserve"> </w:t>
      </w:r>
    </w:p>
    <w:p w:rsidR="00025683" w:rsidRDefault="007C2AAB">
      <w:pPr>
        <w:spacing w:after="170" w:line="259" w:lineRule="auto"/>
        <w:ind w:left="0" w:right="988" w:firstLine="0"/>
        <w:jc w:val="right"/>
      </w:pPr>
      <w:r>
        <w:rPr>
          <w:noProof/>
        </w:rPr>
        <w:drawing>
          <wp:inline distT="0" distB="0" distL="0" distR="0">
            <wp:extent cx="5379171" cy="4658696"/>
            <wp:effectExtent l="0" t="0" r="0" b="0"/>
            <wp:docPr id="16363" name="Picture 16363"/>
            <wp:cNvGraphicFramePr/>
            <a:graphic xmlns:a="http://schemas.openxmlformats.org/drawingml/2006/main">
              <a:graphicData uri="http://schemas.openxmlformats.org/drawingml/2006/picture">
                <pic:pic xmlns:pic="http://schemas.openxmlformats.org/drawingml/2006/picture">
                  <pic:nvPicPr>
                    <pic:cNvPr id="16363" name="Picture 16363"/>
                    <pic:cNvPicPr/>
                  </pic:nvPicPr>
                  <pic:blipFill>
                    <a:blip r:embed="rId84"/>
                    <a:stretch>
                      <a:fillRect/>
                    </a:stretch>
                  </pic:blipFill>
                  <pic:spPr>
                    <a:xfrm>
                      <a:off x="0" y="0"/>
                      <a:ext cx="5379171" cy="465869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50" w:line="259" w:lineRule="auto"/>
        <w:ind w:left="10" w:firstLine="0"/>
        <w:jc w:val="left"/>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2305" name="Group 4023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368" name="Rectangle 1636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369" name="Rectangle 1636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370" name="Rectangle 1637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136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2305" style="width:18.7031pt;height:264.21pt;position:absolute;mso-position-horizontal-relative:page;mso-position-horizontal:absolute;margin-left:662.928pt;mso-position-vertical-relative:page;margin-top:508.71pt;" coordsize="2375,33554">
                <v:rect id="Rectangle 1636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36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37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350 </w:t>
                        </w:r>
                      </w:p>
                    </w:txbxContent>
                  </v:textbox>
                </v:rect>
                <w10:wrap type="topAndBottom"/>
              </v:group>
            </w:pict>
          </mc:Fallback>
        </mc:AlternateContent>
      </w:r>
      <w:r>
        <w:t xml:space="preserve"> </w:t>
      </w:r>
    </w:p>
    <w:p w:rsidR="00025683" w:rsidRDefault="007C2AAB">
      <w:pPr>
        <w:spacing w:after="168" w:line="259" w:lineRule="auto"/>
        <w:ind w:left="0" w:right="988" w:firstLine="0"/>
        <w:jc w:val="right"/>
      </w:pPr>
      <w:r>
        <w:rPr>
          <w:noProof/>
        </w:rPr>
        <w:drawing>
          <wp:inline distT="0" distB="0" distL="0" distR="0">
            <wp:extent cx="5376249" cy="1856239"/>
            <wp:effectExtent l="0" t="0" r="0" b="0"/>
            <wp:docPr id="16365" name="Picture 16365"/>
            <wp:cNvGraphicFramePr/>
            <a:graphic xmlns:a="http://schemas.openxmlformats.org/drawingml/2006/main">
              <a:graphicData uri="http://schemas.openxmlformats.org/drawingml/2006/picture">
                <pic:pic xmlns:pic="http://schemas.openxmlformats.org/drawingml/2006/picture">
                  <pic:nvPicPr>
                    <pic:cNvPr id="16365" name="Picture 16365"/>
                    <pic:cNvPicPr/>
                  </pic:nvPicPr>
                  <pic:blipFill>
                    <a:blip r:embed="rId79"/>
                    <a:stretch>
                      <a:fillRect/>
                    </a:stretch>
                  </pic:blipFill>
                  <pic:spPr>
                    <a:xfrm>
                      <a:off x="0" y="0"/>
                      <a:ext cx="5376249" cy="1856239"/>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5" w:line="259" w:lineRule="auto"/>
        <w:ind w:left="10" w:firstLine="0"/>
        <w:jc w:val="left"/>
      </w:pPr>
      <w:r>
        <w:t xml:space="preserve"> </w:t>
      </w:r>
    </w:p>
    <w:p w:rsidR="00025683" w:rsidRDefault="007C2AAB">
      <w:pPr>
        <w:spacing w:after="0" w:line="259" w:lineRule="auto"/>
        <w:ind w:left="10" w:firstLine="0"/>
        <w:jc w:val="left"/>
      </w:pPr>
      <w:r>
        <w:t xml:space="preserve"> </w:t>
      </w:r>
    </w:p>
    <w:p w:rsidR="00025683" w:rsidRDefault="007C2AAB">
      <w:pPr>
        <w:spacing w:after="168" w:line="259" w:lineRule="auto"/>
        <w:ind w:left="0" w:right="1019" w:firstLine="0"/>
        <w:jc w:val="right"/>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3305" name="Group 4033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402" name="Rectangle 1640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403" name="Rectangle 1640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404" name="Rectangle 1640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137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3305" style="width:18.7031pt;height:264.21pt;position:absolute;mso-position-horizontal-relative:page;mso-position-horizontal:absolute;margin-left:662.928pt;mso-position-vertical-relative:page;margin-top:508.71pt;" coordsize="2375,33554">
                <v:rect id="Rectangle 1640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40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40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350 </w:t>
                        </w:r>
                      </w:p>
                    </w:txbxContent>
                  </v:textbox>
                </v:rect>
                <w10:wrap type="topAndBottom"/>
              </v:group>
            </w:pict>
          </mc:Fallback>
        </mc:AlternateContent>
      </w:r>
      <w:r>
        <w:rPr>
          <w:noProof/>
        </w:rPr>
        <w:drawing>
          <wp:inline distT="0" distB="0" distL="0" distR="0">
            <wp:extent cx="5375578" cy="7447620"/>
            <wp:effectExtent l="0" t="0" r="0" b="0"/>
            <wp:docPr id="16399" name="Picture 16399"/>
            <wp:cNvGraphicFramePr/>
            <a:graphic xmlns:a="http://schemas.openxmlformats.org/drawingml/2006/main">
              <a:graphicData uri="http://schemas.openxmlformats.org/drawingml/2006/picture">
                <pic:pic xmlns:pic="http://schemas.openxmlformats.org/drawingml/2006/picture">
                  <pic:nvPicPr>
                    <pic:cNvPr id="16399" name="Picture 16399"/>
                    <pic:cNvPicPr/>
                  </pic:nvPicPr>
                  <pic:blipFill>
                    <a:blip r:embed="rId80"/>
                    <a:stretch>
                      <a:fillRect/>
                    </a:stretch>
                  </pic:blipFill>
                  <pic:spPr>
                    <a:xfrm>
                      <a:off x="0" y="0"/>
                      <a:ext cx="5375578" cy="7447620"/>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0" w:firstLine="0"/>
        <w:jc w:val="left"/>
      </w:pPr>
      <w:r>
        <w:t xml:space="preserve"> </w:t>
      </w:r>
    </w:p>
    <w:p w:rsidR="00025683" w:rsidRDefault="007C2AAB">
      <w:pPr>
        <w:spacing w:after="261" w:line="259" w:lineRule="auto"/>
        <w:ind w:left="10" w:firstLine="0"/>
        <w:jc w:val="left"/>
      </w:pPr>
      <w:r>
        <w:t xml:space="preserve"> </w:t>
      </w:r>
    </w:p>
    <w:p w:rsidR="00025683" w:rsidRDefault="007C2AAB">
      <w:pPr>
        <w:spacing w:after="1" w:line="249" w:lineRule="auto"/>
        <w:ind w:left="17" w:right="197" w:hanging="10"/>
      </w:pPr>
      <w:r>
        <w:rPr>
          <w:b/>
          <w:sz w:val="24"/>
        </w:rPr>
        <w:t xml:space="preserve">       7.ALCANCE DE LAS ALTERACIONES EN RELACIÓN CON LA ORDENACIÓN   </w:t>
      </w:r>
    </w:p>
    <w:p w:rsidR="00025683" w:rsidRDefault="007C2AAB">
      <w:pPr>
        <w:spacing w:after="1" w:line="249" w:lineRule="auto"/>
        <w:ind w:left="17" w:right="197" w:hanging="10"/>
      </w:pPr>
      <w:r>
        <w:rPr>
          <w:b/>
          <w:sz w:val="24"/>
        </w:rPr>
        <w:t xml:space="preserve">ESTABLECIDA EN EL PLAN GENERAL  </w:t>
      </w:r>
    </w:p>
    <w:p w:rsidR="00025683" w:rsidRDefault="007C2AAB">
      <w:pPr>
        <w:spacing w:after="10" w:line="259" w:lineRule="auto"/>
        <w:ind w:left="22" w:firstLine="0"/>
        <w:jc w:val="left"/>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2004" name="Group 4020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442" name="Rectangle 1644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443" name="Rectangle 1644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444" name="Rectangle 1644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138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2004" style="width:18.7031pt;height:264.21pt;position:absolute;mso-position-horizontal-relative:page;mso-position-horizontal:absolute;margin-left:662.928pt;mso-position-vertical-relative:page;margin-top:508.71pt;" coordsize="2375,33554">
                <v:rect id="Rectangle 1644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44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44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350 </w:t>
                        </w:r>
                      </w:p>
                    </w:txbxContent>
                  </v:textbox>
                </v:rect>
                <w10:wrap type="topAndBottom"/>
              </v:group>
            </w:pict>
          </mc:Fallback>
        </mc:AlternateContent>
      </w:r>
      <w:r>
        <w:rPr>
          <w:sz w:val="20"/>
        </w:rPr>
        <w:t xml:space="preserve"> </w:t>
      </w:r>
    </w:p>
    <w:p w:rsidR="00025683" w:rsidRDefault="007C2AAB">
      <w:pPr>
        <w:spacing w:after="168" w:line="259" w:lineRule="auto"/>
        <w:ind w:left="0" w:right="1245" w:firstLine="0"/>
        <w:jc w:val="right"/>
      </w:pPr>
      <w:r>
        <w:rPr>
          <w:noProof/>
        </w:rPr>
        <w:drawing>
          <wp:inline distT="0" distB="0" distL="0" distR="0">
            <wp:extent cx="5248905" cy="6418916"/>
            <wp:effectExtent l="0" t="0" r="0" b="0"/>
            <wp:docPr id="16439" name="Picture 16439"/>
            <wp:cNvGraphicFramePr/>
            <a:graphic xmlns:a="http://schemas.openxmlformats.org/drawingml/2006/main">
              <a:graphicData uri="http://schemas.openxmlformats.org/drawingml/2006/picture">
                <pic:pic xmlns:pic="http://schemas.openxmlformats.org/drawingml/2006/picture">
                  <pic:nvPicPr>
                    <pic:cNvPr id="16439" name="Picture 16439"/>
                    <pic:cNvPicPr/>
                  </pic:nvPicPr>
                  <pic:blipFill>
                    <a:blip r:embed="rId81"/>
                    <a:stretch>
                      <a:fillRect/>
                    </a:stretch>
                  </pic:blipFill>
                  <pic:spPr>
                    <a:xfrm>
                      <a:off x="0" y="0"/>
                      <a:ext cx="5248905" cy="6418916"/>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0" w:right="623" w:firstLine="0"/>
        <w:jc w:val="center"/>
      </w:pPr>
      <w:r>
        <w:rPr>
          <w:b/>
          <w:color w:val="FF0000"/>
        </w:rPr>
        <w:t xml:space="preserve"> </w:t>
      </w:r>
    </w:p>
    <w:p w:rsidR="00025683" w:rsidRDefault="007C2AAB">
      <w:pPr>
        <w:spacing w:after="244" w:line="259" w:lineRule="auto"/>
        <w:ind w:left="4448" w:firstLine="0"/>
        <w:jc w:val="left"/>
      </w:pPr>
      <w:r>
        <w:rPr>
          <w:b/>
          <w:color w:val="FF0000"/>
        </w:rPr>
        <w:t xml:space="preserve"> </w:t>
      </w:r>
    </w:p>
    <w:p w:rsidR="00025683" w:rsidRDefault="007C2AAB">
      <w:pPr>
        <w:spacing w:after="254" w:line="259" w:lineRule="auto"/>
        <w:ind w:left="4448" w:firstLine="0"/>
        <w:jc w:val="left"/>
      </w:pP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2032" name="Group 4020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479" name="Rectangle 1647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480" name="Rectangle 1648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481" name="Rectangle 1648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139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2032" style="width:18.7031pt;height:264.21pt;position:absolute;mso-position-horizontal-relative:page;mso-position-horizontal:absolute;margin-left:662.928pt;mso-position-vertical-relative:page;margin-top:508.71pt;" coordsize="2375,33554">
                <v:rect id="Rectangle 1647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48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48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350 </w:t>
                        </w:r>
                      </w:p>
                    </w:txbxContent>
                  </v:textbox>
                </v:rect>
                <w10:wrap type="topAndBottom"/>
              </v:group>
            </w:pict>
          </mc:Fallback>
        </mc:AlternateContent>
      </w:r>
      <w:r>
        <w:rPr>
          <w:b/>
          <w:color w:val="FF0000"/>
        </w:rPr>
        <w:t xml:space="preserve"> </w:t>
      </w:r>
    </w:p>
    <w:p w:rsidR="00025683" w:rsidRDefault="007C2AAB">
      <w:pPr>
        <w:spacing w:after="0" w:line="259" w:lineRule="auto"/>
        <w:ind w:left="0" w:right="916" w:firstLine="0"/>
        <w:jc w:val="right"/>
      </w:pPr>
      <w:r>
        <w:rPr>
          <w:noProof/>
        </w:rPr>
        <w:drawing>
          <wp:inline distT="0" distB="0" distL="0" distR="0">
            <wp:extent cx="5266944" cy="6438900"/>
            <wp:effectExtent l="0" t="0" r="0" b="0"/>
            <wp:docPr id="16476" name="Picture 16476"/>
            <wp:cNvGraphicFramePr/>
            <a:graphic xmlns:a="http://schemas.openxmlformats.org/drawingml/2006/main">
              <a:graphicData uri="http://schemas.openxmlformats.org/drawingml/2006/picture">
                <pic:pic xmlns:pic="http://schemas.openxmlformats.org/drawingml/2006/picture">
                  <pic:nvPicPr>
                    <pic:cNvPr id="16476" name="Picture 16476"/>
                    <pic:cNvPicPr/>
                  </pic:nvPicPr>
                  <pic:blipFill>
                    <a:blip r:embed="rId82"/>
                    <a:stretch>
                      <a:fillRect/>
                    </a:stretch>
                  </pic:blipFill>
                  <pic:spPr>
                    <a:xfrm>
                      <a:off x="0" y="0"/>
                      <a:ext cx="5266944" cy="6438900"/>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187" w:line="259" w:lineRule="auto"/>
        <w:ind w:left="0" w:right="1471" w:firstLine="0"/>
        <w:jc w:val="right"/>
      </w:pPr>
      <w:r>
        <w:rPr>
          <w:noProof/>
        </w:rPr>
        <w:drawing>
          <wp:inline distT="0" distB="0" distL="0" distR="0">
            <wp:extent cx="5095959" cy="1438611"/>
            <wp:effectExtent l="0" t="0" r="0" b="0"/>
            <wp:docPr id="16573" name="Picture 16573"/>
            <wp:cNvGraphicFramePr/>
            <a:graphic xmlns:a="http://schemas.openxmlformats.org/drawingml/2006/main">
              <a:graphicData uri="http://schemas.openxmlformats.org/drawingml/2006/picture">
                <pic:pic xmlns:pic="http://schemas.openxmlformats.org/drawingml/2006/picture">
                  <pic:nvPicPr>
                    <pic:cNvPr id="16573" name="Picture 16573"/>
                    <pic:cNvPicPr/>
                  </pic:nvPicPr>
                  <pic:blipFill>
                    <a:blip r:embed="rId83"/>
                    <a:stretch>
                      <a:fillRect/>
                    </a:stretch>
                  </pic:blipFill>
                  <pic:spPr>
                    <a:xfrm>
                      <a:off x="0" y="0"/>
                      <a:ext cx="5095959" cy="143861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12"/>
        <w:ind w:left="22" w:right="197"/>
      </w:pPr>
      <w:r>
        <w:rPr>
          <w:b/>
          <w:sz w:val="20"/>
        </w:rPr>
        <w:t xml:space="preserve">        8. </w:t>
      </w:r>
      <w:r>
        <w:rPr>
          <w:b/>
        </w:rPr>
        <w:t>CONCLUSIONES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21" w:right="202"/>
      </w:pPr>
      <w:r>
        <w:rPr>
          <w:sz w:val="23"/>
        </w:rPr>
        <w:t xml:space="preserve">De acuerdo a todo lo expuesto anteriormente, se informa </w:t>
      </w:r>
      <w:r>
        <w:rPr>
          <w:b/>
          <w:sz w:val="23"/>
        </w:rPr>
        <w:t xml:space="preserve">FAVORABLE </w:t>
      </w:r>
      <w:r>
        <w:rPr>
          <w:sz w:val="23"/>
        </w:rPr>
        <w:t>l</w:t>
      </w:r>
      <w:r>
        <w:rPr>
          <w:sz w:val="23"/>
        </w:rPr>
        <w:t>a aprobación inicial del Plan Especial de Reforma Interior (PEPRI) La Jiménez Igueste, T.M. de Candelaria.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Se propone dar traslado a la Concejalía de Cultura, Identidad Canaria, Patrimonio Histórico, Fiestas y Deporte, para que se inicien los trámites n</w:t>
      </w:r>
      <w:r>
        <w:rPr>
          <w:sz w:val="23"/>
        </w:rPr>
        <w:t xml:space="preserve">ecesarios para la inclusión en el Catálogo Municipales de Bienes Patrimoniales Culturales, de los bienes recogidos en el inventario: </w:t>
      </w:r>
    </w:p>
    <w:p w:rsidR="00025683" w:rsidRDefault="007C2AAB">
      <w:pPr>
        <w:spacing w:after="0" w:line="259" w:lineRule="auto"/>
        <w:ind w:left="14" w:firstLine="0"/>
        <w:jc w:val="left"/>
      </w:pPr>
      <w:r>
        <w:rPr>
          <w:b/>
          <w:sz w:val="23"/>
        </w:rPr>
        <w:t xml:space="preserve"> </w:t>
      </w:r>
    </w:p>
    <w:p w:rsidR="00025683" w:rsidRDefault="007C2AAB">
      <w:pPr>
        <w:spacing w:line="249" w:lineRule="auto"/>
        <w:ind w:left="17" w:right="198" w:hanging="10"/>
      </w:pPr>
      <w:r>
        <w:rPr>
          <w:b/>
          <w:sz w:val="23"/>
        </w:rPr>
        <w:t>Tomo I.3 Anexo 4. Inventario de bienes integrantes del patrimonio cultural del barrio de La Jiménez, La Sabinita y Lomo Acoroma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2098" name="Group 4020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576" name="Rectangle 1657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577" name="Rectangle 1657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578" name="Rectangle 1657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w:t>
                              </w:r>
                              <w:r>
                                <w:rPr>
                                  <w:sz w:val="12"/>
                                </w:rPr>
                                <w:t xml:space="preserve">ctrónicamente desde la plataforma esPublico Gestiona | Página 140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2098" style="width:18.7031pt;height:264.21pt;position:absolute;mso-position-horizontal-relative:page;mso-position-horizontal:absolute;margin-left:662.928pt;mso-position-vertical-relative:page;margin-top:508.71pt;" coordsize="2375,33554">
                <v:rect id="Rectangle 1657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57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57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350 </w:t>
                        </w:r>
                      </w:p>
                    </w:txbxContent>
                  </v:textbox>
                </v:rect>
                <w10:wrap type="square"/>
              </v:group>
            </w:pict>
          </mc:Fallback>
        </mc:AlternateContent>
      </w:r>
      <w:r>
        <w:rPr>
          <w:sz w:val="23"/>
        </w:rPr>
        <w:t xml:space="preserve">En este sentido, en tanto no se actualice el catálogo de protección, solo serán posibles intervenciones de mantenimiento, conservación, consolidación, restauración, rehabilitación y </w:t>
      </w:r>
      <w:r>
        <w:rPr>
          <w:sz w:val="23"/>
        </w:rPr>
        <w:t xml:space="preserve">reconstrucción. La naturaleza cautelar del régimen de protección determina la limitación de las intervenciones permitidas en estos inmuebles.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Se prohíben expresamente las intervenciones de reestructuración, remonta y ampliación, y por supuesto, la demol</w:t>
      </w:r>
      <w:r>
        <w:rPr>
          <w:sz w:val="23"/>
        </w:rPr>
        <w:t xml:space="preserve">ición. En este sentido, se establecen condiciones adicionales al deber de conservación basadas en la presencia de valores culturales…”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pStyle w:val="Ttulo4"/>
        <w:ind w:left="274" w:right="464"/>
      </w:pPr>
      <w:r>
        <w:t>CONSIDERACIONES JURÍDICAS</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PRIMERA. - </w:t>
      </w:r>
      <w:r>
        <w:t>El artículo 146.1 de la Ley 4/2017, de 13 de julio, del Suelo y de los Espacios Naturales Protegidos de Canarias que los Planes Especiales de Ordenación tienen por objeto desarrollar o completar las determinaciones de los planes generales, ordenando elemen</w:t>
      </w:r>
      <w:r>
        <w:t xml:space="preserve">tos específicos de un ámbito territorial determinado.  </w:t>
      </w:r>
    </w:p>
    <w:p w:rsidR="00025683" w:rsidRDefault="007C2AAB">
      <w:pPr>
        <w:spacing w:after="0" w:line="259" w:lineRule="auto"/>
        <w:ind w:left="14" w:firstLine="0"/>
        <w:jc w:val="left"/>
      </w:pPr>
      <w:r>
        <w:t xml:space="preserve"> </w:t>
      </w:r>
    </w:p>
    <w:p w:rsidR="00025683" w:rsidRDefault="007C2AAB">
      <w:pPr>
        <w:spacing w:after="28"/>
        <w:ind w:left="14" w:right="200"/>
      </w:pPr>
      <w:r>
        <w:t xml:space="preserve">Conforme al artículo 146.2, los ayuntamientos podrán aprobar planes especiales, en desarrollo del plan general o de forma autónoma, con las siguientes finalidades: </w:t>
      </w:r>
    </w:p>
    <w:p w:rsidR="00025683" w:rsidRDefault="007C2AAB">
      <w:pPr>
        <w:ind w:left="14" w:right="200"/>
      </w:pPr>
      <w:r>
        <w:t>“a)Establecer la ordenación porme</w:t>
      </w:r>
      <w:r>
        <w:t xml:space="preserve">norizada precisa para la ejecución del planeamiento, en todo o en parte, del suelo urbano consolidado y del suelo rústico de asentamiento rural. b) Conservar y mejorar el medio natural y el paisaje natural y urbano. </w:t>
      </w:r>
    </w:p>
    <w:p w:rsidR="00025683" w:rsidRDefault="007C2AAB">
      <w:pPr>
        <w:numPr>
          <w:ilvl w:val="0"/>
          <w:numId w:val="45"/>
        </w:numPr>
        <w:ind w:right="200"/>
      </w:pPr>
      <w:r>
        <w:t>Proteger, conservar y rehabilitar el pa</w:t>
      </w:r>
      <w:r>
        <w:t xml:space="preserve">trimonio histórico canario. </w:t>
      </w:r>
    </w:p>
    <w:p w:rsidR="00025683" w:rsidRDefault="007C2AAB">
      <w:pPr>
        <w:numPr>
          <w:ilvl w:val="0"/>
          <w:numId w:val="45"/>
        </w:numPr>
        <w:ind w:right="200"/>
      </w:pPr>
      <w:r>
        <w:t xml:space="preserve">Establecer la ordenación pormenorizada de las áreas urbanas sometidas a operaciones de reforma o de renovación urbanas, sin perjuicio de las actuaciones sobre el medio urbano previstas en esta ley. </w:t>
      </w:r>
    </w:p>
    <w:p w:rsidR="00025683" w:rsidRDefault="007C2AAB">
      <w:pPr>
        <w:numPr>
          <w:ilvl w:val="0"/>
          <w:numId w:val="45"/>
        </w:numPr>
        <w:ind w:right="200"/>
      </w:pPr>
      <w:r>
        <w:t>Definir las actuaciones en l</w:t>
      </w:r>
      <w:r>
        <w:t xml:space="preserve">os núcleos o zonas turísticas a rehabilitar. </w:t>
      </w:r>
    </w:p>
    <w:p w:rsidR="00025683" w:rsidRDefault="007C2AAB">
      <w:pPr>
        <w:numPr>
          <w:ilvl w:val="0"/>
          <w:numId w:val="45"/>
        </w:numPr>
        <w:ind w:right="200"/>
      </w:pPr>
      <w:r>
        <w:t>Ordenar los sistemas generales, cuando así lo determine el plan general.</w:t>
      </w:r>
      <w:r>
        <w:rPr>
          <w:rFonts w:ascii="Times New Roman" w:eastAsia="Times New Roman" w:hAnsi="Times New Roman" w:cs="Times New Roman"/>
          <w:sz w:val="24"/>
        </w:rPr>
        <w:t xml:space="preserve"> </w:t>
      </w:r>
    </w:p>
    <w:p w:rsidR="00025683" w:rsidRDefault="007C2AAB">
      <w:pPr>
        <w:numPr>
          <w:ilvl w:val="0"/>
          <w:numId w:val="45"/>
        </w:numPr>
        <w:ind w:right="200"/>
      </w:pPr>
      <w:r>
        <w:t xml:space="preserve">Cualesquiera otras análogas que se prevean reglamentariamente.” </w:t>
      </w:r>
    </w:p>
    <w:p w:rsidR="00025683" w:rsidRDefault="007C2AAB">
      <w:pPr>
        <w:spacing w:after="0" w:line="259" w:lineRule="auto"/>
        <w:ind w:left="14" w:firstLine="0"/>
        <w:jc w:val="left"/>
      </w:pPr>
      <w:r>
        <w:t xml:space="preserve"> </w:t>
      </w:r>
    </w:p>
    <w:p w:rsidR="00025683" w:rsidRDefault="007C2AAB">
      <w:pPr>
        <w:ind w:left="14" w:right="200"/>
      </w:pPr>
      <w:r>
        <w:t>El artículo 147. de la Ley 4/2017, de 13 de julio, del Suelo y de los</w:t>
      </w:r>
      <w:r>
        <w:t xml:space="preserve"> Espacios Naturales Protegidos de Canarias </w:t>
      </w:r>
    </w:p>
    <w:p w:rsidR="00025683" w:rsidRDefault="007C2AAB">
      <w:pPr>
        <w:numPr>
          <w:ilvl w:val="0"/>
          <w:numId w:val="46"/>
        </w:numPr>
        <w:ind w:right="200"/>
      </w:pPr>
      <w:r>
        <w:t xml:space="preserve">establece que cualquier sujeto, público o privado, podrá elaborar y proponer planes parciales y planes especiales, en los términos fijados por el plan general.  </w:t>
      </w:r>
    </w:p>
    <w:p w:rsidR="00025683" w:rsidRDefault="007C2AAB">
      <w:pPr>
        <w:numPr>
          <w:ilvl w:val="0"/>
          <w:numId w:val="46"/>
        </w:numPr>
        <w:ind w:right="200"/>
      </w:pPr>
      <w:r>
        <w:t>Formulado el instrumento de planeamiento, se proce</w:t>
      </w:r>
      <w:r>
        <w:t>derá a su aprobación inicial por el órgano competente de acuerdo con la legislación de régimen local, previo informe de los servicios técnicos y jurídicos municipales. Cuando se trate de un instrumento de iniciativa particular solo podrá denegarse su aprob</w:t>
      </w:r>
      <w:r>
        <w:t xml:space="preserve">ación inicial por razones de legalidad, que resulten insubsanables. En todo caso, la aprobación inicial no condicionará en modo alguno la resolución que se derive de la tramitación del procedimiento. </w:t>
      </w:r>
    </w:p>
    <w:p w:rsidR="00025683" w:rsidRDefault="007C2AAB">
      <w:pPr>
        <w:numPr>
          <w:ilvl w:val="0"/>
          <w:numId w:val="46"/>
        </w:numPr>
        <w:ind w:right="200"/>
      </w:pPr>
      <w:r>
        <w:t>El documento aprobado inicialmente se someterá a los tr</w:t>
      </w:r>
      <w:r>
        <w:t>ámites de información pública y de consulta a las administraciones afectadas por el plazo fijado por la legislación ambiental o sectorial aplicable o, en su defecto, de un mes, computados a partir de la publicación del correspondiente anuncio en el Boletín</w:t>
      </w:r>
      <w:r>
        <w:t xml:space="preserve"> Oficial de Canarias. El periodo de información pública se anunciará en, al menos, uno de los periódicos de mayor difusión de la isla y en la sede electrónica del ayuntamiento.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2241" name="Group 4022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684" name="Rectangle 1668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685" name="Rectangle 1668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686" name="Rectangle 1668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141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2241" style="width:18.7031pt;height:264.21pt;position:absolute;mso-position-horizontal-relative:page;mso-position-horizontal:absolute;margin-left:662.928pt;mso-position-vertical-relative:page;margin-top:508.71pt;" coordsize="2375,33554">
                <v:rect id="Rectangle 1668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68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68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350 </w:t>
                        </w:r>
                      </w:p>
                    </w:txbxContent>
                  </v:textbox>
                </v:rect>
                <w10:wrap type="square"/>
              </v:group>
            </w:pict>
          </mc:Fallback>
        </mc:AlternateContent>
      </w:r>
      <w:r>
        <w:t xml:space="preserve">La falta de emisión de los informes no interrumpirá la tramitación del procedimiento. Los informes que no </w:t>
      </w:r>
      <w:r>
        <w:t>se emitan dentro del plazo conferido podrán no ser tenidos en cuenta para adoptar la aprobación definitiva. La documentación que se someta a información pública deberá contener los resúmenes ejecutivos y no técnicos previstos en la legislación estatal bási</w:t>
      </w:r>
      <w:r>
        <w:t xml:space="preserve">ca. </w:t>
      </w:r>
    </w:p>
    <w:p w:rsidR="00025683" w:rsidRDefault="007C2AAB">
      <w:pPr>
        <w:spacing w:after="0" w:line="259" w:lineRule="auto"/>
        <w:ind w:left="14" w:firstLine="0"/>
        <w:jc w:val="left"/>
      </w:pPr>
      <w:r>
        <w:t xml:space="preserve"> </w:t>
      </w:r>
    </w:p>
    <w:p w:rsidR="00025683" w:rsidRDefault="007C2AAB">
      <w:pPr>
        <w:ind w:left="14" w:right="200"/>
      </w:pPr>
      <w:r>
        <w:t>SEGUNDA. - Resultan de aplicación los artículos 14 y siguientes del Reglamento de Planeamiento de Canarias donde se regulan los trámites comunes de la elaboración de los instrumentos de ordenación sometidos a evaluación ambiental estratégica ordinar</w:t>
      </w:r>
      <w:r>
        <w:t xml:space="preserve">ia.  </w:t>
      </w:r>
    </w:p>
    <w:p w:rsidR="00025683" w:rsidRDefault="007C2AAB">
      <w:pPr>
        <w:spacing w:after="0" w:line="259" w:lineRule="auto"/>
        <w:ind w:left="14" w:firstLine="0"/>
        <w:jc w:val="left"/>
      </w:pPr>
      <w:r>
        <w:t xml:space="preserve"> </w:t>
      </w:r>
    </w:p>
    <w:p w:rsidR="00025683" w:rsidRDefault="007C2AAB">
      <w:pPr>
        <w:ind w:left="14" w:right="200"/>
      </w:pPr>
      <w:r>
        <w:t xml:space="preserve">En el artículo 22 del Reglamento de Planeamiento de Canarias, aprobado por Decreto 181/2018, de 26 de diciembre que señala lo siguiente: </w:t>
      </w:r>
    </w:p>
    <w:p w:rsidR="00025683" w:rsidRDefault="007C2AAB">
      <w:pPr>
        <w:spacing w:after="0" w:line="259" w:lineRule="auto"/>
        <w:ind w:left="14" w:firstLine="0"/>
        <w:jc w:val="left"/>
      </w:pPr>
      <w:r>
        <w:t xml:space="preserve"> </w:t>
      </w:r>
    </w:p>
    <w:p w:rsidR="00025683" w:rsidRDefault="007C2AAB">
      <w:pPr>
        <w:numPr>
          <w:ilvl w:val="0"/>
          <w:numId w:val="47"/>
        </w:numPr>
        <w:ind w:right="200"/>
      </w:pPr>
      <w:r>
        <w:t>A la vista del resultado de los trámites anteriores, se elaborará el documento del plan que vaya a someterse</w:t>
      </w:r>
      <w:r>
        <w:t xml:space="preserve"> a la aprobación inicial, seleccionándose aquellas alternativas que resulten más equilibradas desde la perspectiva del desarrollo sostenible, previa ponderación de los aspectos económicos, sociales, territoriales y ambientales; y, de ser preciso, se modifi</w:t>
      </w:r>
      <w:r>
        <w:t xml:space="preserve">cará el contenido del estudio ambiental estratégico. </w:t>
      </w:r>
    </w:p>
    <w:p w:rsidR="00025683" w:rsidRDefault="007C2AAB">
      <w:pPr>
        <w:numPr>
          <w:ilvl w:val="0"/>
          <w:numId w:val="47"/>
        </w:numPr>
        <w:ind w:right="200"/>
      </w:pPr>
      <w:r>
        <w:t>Con el fin de dar cumplimiento a lo dispuesto en el apartado anterior, el órgano competente elegirá la alternativa o alternativas más adecuadas a la vista de la propuesta que le formulen los servicios a</w:t>
      </w:r>
      <w:r>
        <w:t xml:space="preserve">dministrativos. </w:t>
      </w:r>
    </w:p>
    <w:p w:rsidR="00025683" w:rsidRDefault="007C2AAB">
      <w:pPr>
        <w:numPr>
          <w:ilvl w:val="0"/>
          <w:numId w:val="47"/>
        </w:numPr>
        <w:ind w:right="200"/>
      </w:pPr>
      <w:r>
        <w:t>El documento resultante, que incorporará la alternativa o alternativas seleccionadas, se someterá a informe de los servicios técnicos y jurídicos, así como de las distintas áreas y organismos dependientes o adscritos a la Administración pr</w:t>
      </w:r>
      <w:r>
        <w:t>omotora que puedan resultar afectados por el plan en razón de las competencias que ejercen, en el plazo máximo de un mes. En el caso de que los informes internos se contradigan se elevará el conflicto al órgano correspondiente, para que resuelva la discrep</w:t>
      </w:r>
      <w:r>
        <w:t xml:space="preserve">ancia mediante la emisión de un informe final. </w:t>
      </w:r>
    </w:p>
    <w:p w:rsidR="00025683" w:rsidRDefault="007C2AAB">
      <w:pPr>
        <w:spacing w:after="242" w:line="259" w:lineRule="auto"/>
        <w:ind w:left="0" w:right="623" w:firstLine="0"/>
        <w:jc w:val="center"/>
      </w:pPr>
      <w:r>
        <w:t xml:space="preserve"> </w:t>
      </w:r>
    </w:p>
    <w:p w:rsidR="00025683" w:rsidRDefault="007C2AAB">
      <w:pPr>
        <w:spacing w:after="239"/>
        <w:ind w:left="14" w:right="200"/>
      </w:pPr>
      <w:r>
        <w:t>TERCERA.- Artículo 23 Información pública, consulta e informes preceptivos de la aprobación inicial</w:t>
      </w:r>
      <w:r>
        <w:rPr>
          <w:rFonts w:ascii="Times New Roman" w:eastAsia="Times New Roman" w:hAnsi="Times New Roman" w:cs="Times New Roman"/>
          <w:sz w:val="24"/>
        </w:rPr>
        <w:t xml:space="preserve"> </w:t>
      </w:r>
    </w:p>
    <w:p w:rsidR="00025683" w:rsidRDefault="007C2AAB">
      <w:pPr>
        <w:numPr>
          <w:ilvl w:val="0"/>
          <w:numId w:val="48"/>
        </w:numPr>
        <w:ind w:right="200"/>
      </w:pPr>
      <w:r>
        <w:t>El documento aprobado inicialmente se someterá a los trámites de información pública, consulta de las adm</w:t>
      </w:r>
      <w:r>
        <w:t>inistraciones públicas cuyas competencias pudiesen resultar afectadas y de las personas interesadas que hayan sido previamente consultadas y solicitud de los informes sectoriales preceptivos, en los términos previstos en el artículo 21 del presente Reglame</w:t>
      </w:r>
      <w:r>
        <w:t xml:space="preserve">nto. </w:t>
      </w:r>
    </w:p>
    <w:p w:rsidR="00025683" w:rsidRDefault="007C2AAB">
      <w:pPr>
        <w:numPr>
          <w:ilvl w:val="0"/>
          <w:numId w:val="48"/>
        </w:numPr>
        <w:ind w:right="200"/>
      </w:pPr>
      <w:r>
        <w:t>Transcurrido el plazo de información pública, consulta e informes preceptivos se introducirán las modificaciones que, como consecuencia de dicho proceso participativo, se estimen oportunas, actualizándose, en su caso, el estudio ambiental estratégico</w:t>
      </w:r>
      <w:r>
        <w:t xml:space="preserve">. </w:t>
      </w:r>
    </w:p>
    <w:p w:rsidR="00025683" w:rsidRDefault="007C2AAB">
      <w:pPr>
        <w:numPr>
          <w:ilvl w:val="0"/>
          <w:numId w:val="48"/>
        </w:numPr>
        <w:ind w:right="200"/>
      </w:pPr>
      <w:r>
        <w:t>Si como consecuencia de las alegaciones formuladas o de los informes emitidos se introdujeran cambios sustanciales en relación con el documento aprobado inicialmente, por el órgano promotor se llevará a cabo un nuevo periodo de información pública, cons</w:t>
      </w:r>
      <w:r>
        <w:t xml:space="preserve">ulta y de solicitud de informes preceptivos por plazo de cuarenta y cinco días.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2333" name="Group 4023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807" name="Rectangle 1680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808" name="Rectangle 1680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809" name="Rectangle 1680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142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2333" style="width:18.7031pt;height:264.21pt;position:absolute;mso-position-horizontal-relative:page;mso-position-horizontal:absolute;margin-left:662.928pt;mso-position-vertical-relative:page;margin-top:508.71pt;" coordsize="2375,33554">
                <v:rect id="Rectangle 1680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8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8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142 de 350 </w:t>
                        </w:r>
                      </w:p>
                    </w:txbxContent>
                  </v:textbox>
                </v:rect>
                <w10:wrap type="square"/>
              </v:group>
            </w:pict>
          </mc:Fallback>
        </mc:AlternateContent>
      </w:r>
      <w:r>
        <w:t xml:space="preserve">Visto cuanto antecede, se considera que el expediente ha seguido la tramitación establecida en la Legislación aplicable, procediendo su aprobación por el Pleno, </w:t>
      </w:r>
      <w:r>
        <w:t xml:space="preserve">por mayoría absoluta del número legal de miembros de la Corporación, de conformidad con los artículos 70.2 del Reglamento de Planeamiento de Canarias, aprobado por Decreto 181/2018, de 26 de diciembre, y 22.2.c) y 47.2.ll) de la Ley 7/1985, de 2 de abril, </w:t>
      </w:r>
      <w:r>
        <w:t xml:space="preserve">Reguladora de las Bases del Régimen Local. </w:t>
      </w:r>
    </w:p>
    <w:p w:rsidR="00025683" w:rsidRDefault="007C2AAB">
      <w:pPr>
        <w:spacing w:after="0" w:line="259" w:lineRule="auto"/>
        <w:ind w:left="14" w:firstLine="0"/>
        <w:jc w:val="left"/>
      </w:pPr>
      <w:r>
        <w:t xml:space="preserve"> </w:t>
      </w:r>
    </w:p>
    <w:p w:rsidR="00025683" w:rsidRDefault="007C2AAB">
      <w:pPr>
        <w:ind w:left="14" w:right="200"/>
      </w:pPr>
      <w:r>
        <w:t>Por ello, de conformidad con lo establecido en el artículo 175 del Reglamento de Organización, Funcionamiento y Régimen Jurídico de las Entidades Locales, aprobado por Real Decreto 2568/1986, de 28 de noviembre</w:t>
      </w:r>
      <w:r>
        <w:t xml:space="preserve">, el que suscribe eleva la siguiente propuesta de resolución: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pStyle w:val="Ttulo4"/>
        <w:ind w:left="274" w:right="457"/>
      </w:pPr>
      <w:r>
        <w:t>PROPUESTA DE RESOLUCIÓN</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3" w:line="238" w:lineRule="auto"/>
        <w:ind w:left="9" w:hanging="10"/>
        <w:jc w:val="left"/>
      </w:pPr>
      <w:r>
        <w:t xml:space="preserve">PRIMERO. – </w:t>
      </w:r>
      <w:r>
        <w:t xml:space="preserve">Aprobar inicialmente el Plan Especial de Reforma Interior (PEPRI) de La Jiménez, en el término municipal de Candelaria, según lo indicado en el informe técnico favorable emitido con fecha 15/12/2025 que a continuación se transcribe: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“…Visto el expedient</w:t>
      </w:r>
      <w:r>
        <w:rPr>
          <w:sz w:val="23"/>
        </w:rPr>
        <w:t xml:space="preserve">e antedicho, Nayra Guzmán Hernández, arquitecta municipal, emite el siguiente informe: </w:t>
      </w:r>
    </w:p>
    <w:p w:rsidR="00025683" w:rsidRDefault="007C2AAB">
      <w:pPr>
        <w:spacing w:after="0" w:line="259" w:lineRule="auto"/>
        <w:ind w:left="14" w:firstLine="0"/>
        <w:jc w:val="left"/>
      </w:pPr>
      <w:r>
        <w:rPr>
          <w:sz w:val="23"/>
        </w:rPr>
        <w:t xml:space="preserve"> </w:t>
      </w:r>
    </w:p>
    <w:p w:rsidR="00025683" w:rsidRDefault="007C2AAB">
      <w:pPr>
        <w:spacing w:after="19" w:line="259" w:lineRule="auto"/>
        <w:ind w:left="0" w:firstLine="0"/>
        <w:jc w:val="left"/>
      </w:pPr>
      <w:r>
        <w:rPr>
          <w:b/>
          <w:sz w:val="20"/>
        </w:rPr>
        <w:t xml:space="preserve"> </w:t>
      </w:r>
    </w:p>
    <w:p w:rsidR="00025683" w:rsidRDefault="007C2AAB">
      <w:pPr>
        <w:spacing w:line="249" w:lineRule="auto"/>
        <w:ind w:left="17" w:right="198" w:hanging="10"/>
      </w:pPr>
      <w:r>
        <w:rPr>
          <w:b/>
          <w:sz w:val="20"/>
        </w:rPr>
        <w:t>9.</w:t>
      </w:r>
      <w:r>
        <w:rPr>
          <w:b/>
          <w:sz w:val="23"/>
        </w:rPr>
        <w:t>ANTECEDENTES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numPr>
          <w:ilvl w:val="0"/>
          <w:numId w:val="49"/>
        </w:numPr>
        <w:ind w:right="200" w:hanging="360"/>
      </w:pPr>
      <w:r>
        <w:rPr>
          <w:sz w:val="23"/>
        </w:rPr>
        <w:t xml:space="preserve">Con fecha 3 de octubre de 2024 se dictó la Resolución n.º 64, en virtud de la cual se inició el procedimiento de evaluación ambiental estratégica </w:t>
      </w:r>
      <w:r>
        <w:rPr>
          <w:sz w:val="23"/>
        </w:rPr>
        <w:t>ordinaria relativo al Plan Especial de Reforma Interior (PEPRI) de La Jiménez, en el término municipal de Candelaria y se sometió a consultas de las administraciones públicas afectadas y de las personas interesadas el documento inicial estratégico y el bor</w:t>
      </w:r>
      <w:r>
        <w:rPr>
          <w:sz w:val="23"/>
        </w:rPr>
        <w:t xml:space="preserve">rador del citado instrumento de ordenación urbanística. En consecuencia, se publica anuncio en el Boletín Oficial de Canarias (BOC nº 216, de 29 de octubre de 2024) y en la web del Gobierno de Canarias.  </w:t>
      </w:r>
    </w:p>
    <w:p w:rsidR="00025683" w:rsidRDefault="007C2AAB">
      <w:pPr>
        <w:spacing w:after="287" w:line="259" w:lineRule="auto"/>
        <w:ind w:left="10" w:firstLine="0"/>
        <w:jc w:val="left"/>
      </w:pPr>
      <w:r>
        <w:rPr>
          <w:b/>
          <w:color w:val="FF0000"/>
        </w:rPr>
        <w:t xml:space="preserve"> </w:t>
      </w:r>
    </w:p>
    <w:p w:rsidR="00025683" w:rsidRDefault="007C2AAB">
      <w:pPr>
        <w:numPr>
          <w:ilvl w:val="0"/>
          <w:numId w:val="49"/>
        </w:numPr>
        <w:spacing w:line="249" w:lineRule="auto"/>
        <w:ind w:right="200" w:hanging="360"/>
      </w:pPr>
      <w:r>
        <w:rPr>
          <w:sz w:val="23"/>
        </w:rPr>
        <w:t>La Comisión Autonómica de Evaluación Ambiental, e</w:t>
      </w:r>
      <w:r>
        <w:rPr>
          <w:sz w:val="23"/>
        </w:rPr>
        <w:t xml:space="preserve">n sesión celebrada el 14 de marzo de 2025, acuerda formular, por delegación del Ayuntamiento de Candelaria, el </w:t>
      </w:r>
      <w:r>
        <w:rPr>
          <w:b/>
          <w:sz w:val="23"/>
        </w:rPr>
        <w:t>DOCUMENTO DE ALCANCE en el procedimiento de la Evaluación Ambiental Estratégica Ordinaria del Plan Especial de Reforma Interior de La Jiménez, en</w:t>
      </w:r>
      <w:r>
        <w:rPr>
          <w:b/>
          <w:sz w:val="23"/>
        </w:rPr>
        <w:t xml:space="preserve"> el Término Municipal de Candelaria que lo incorpora como Anexo.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14" w:firstLine="0"/>
        <w:jc w:val="left"/>
      </w:pPr>
      <w:r>
        <w:rPr>
          <w:sz w:val="23"/>
        </w:rPr>
        <w:t xml:space="preserve"> </w:t>
      </w:r>
    </w:p>
    <w:p w:rsidR="00025683" w:rsidRDefault="007C2AAB">
      <w:pPr>
        <w:spacing w:line="249" w:lineRule="auto"/>
        <w:ind w:left="17" w:right="198" w:hanging="10"/>
      </w:pPr>
      <w:r>
        <w:rPr>
          <w:b/>
          <w:sz w:val="20"/>
        </w:rPr>
        <w:t xml:space="preserve">    10.     </w:t>
      </w:r>
      <w:r>
        <w:rPr>
          <w:b/>
          <w:sz w:val="23"/>
        </w:rPr>
        <w:t>DOCUMENTACIÓN INTEGRANTE DE LA APROBACION INICIAL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spacing w:after="246"/>
        <w:ind w:left="21" w:right="696"/>
      </w:pP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3007" name="Group 4030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886" name="Rectangle 1688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887" name="Rectangle 1688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888" name="Rectangle 1688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143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3007" style="width:18.7031pt;height:264.21pt;position:absolute;mso-position-horizontal-relative:page;mso-position-horizontal:absolute;margin-left:662.928pt;mso-position-vertical-relative:page;margin-top:508.71pt;" coordsize="2375,33554">
                <v:rect id="Rectangle 1688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88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88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143 de 350 </w:t>
                        </w:r>
                      </w:p>
                    </w:txbxContent>
                  </v:textbox>
                </v:rect>
                <w10:wrap type="topAndBottom"/>
              </v:group>
            </w:pict>
          </mc:Fallback>
        </mc:AlternateContent>
      </w:r>
      <w:r>
        <w:rPr>
          <w:sz w:val="23"/>
        </w:rPr>
        <w:t>Con fecha 3 de diciembre de 2025 y con registro de entrada 2025-E-RE-10757 Eva María Latorre Sánchez, en representación de GESPLAN S.A, aporta los siguientes doc</w:t>
      </w:r>
      <w:r>
        <w:rPr>
          <w:sz w:val="23"/>
        </w:rPr>
        <w:t>umentos, para la aprobación inicial y Evaluación Ambiental Estratégica:</w:t>
      </w:r>
      <w:r>
        <w:rPr>
          <w:rFonts w:ascii="Times New Roman" w:eastAsia="Times New Roman" w:hAnsi="Times New Roman" w:cs="Times New Roman"/>
          <w:sz w:val="24"/>
        </w:rPr>
        <w:t xml:space="preserve"> </w:t>
      </w:r>
    </w:p>
    <w:p w:rsidR="00025683" w:rsidRDefault="007C2AAB">
      <w:pPr>
        <w:spacing w:after="0" w:line="259" w:lineRule="auto"/>
        <w:ind w:left="0" w:right="811" w:firstLine="0"/>
        <w:jc w:val="right"/>
      </w:pPr>
      <w:r>
        <w:rPr>
          <w:noProof/>
        </w:rPr>
        <w:drawing>
          <wp:inline distT="0" distB="0" distL="0" distR="0">
            <wp:extent cx="5393826" cy="4524532"/>
            <wp:effectExtent l="0" t="0" r="0" b="0"/>
            <wp:docPr id="16883" name="Picture 16883"/>
            <wp:cNvGraphicFramePr/>
            <a:graphic xmlns:a="http://schemas.openxmlformats.org/drawingml/2006/main">
              <a:graphicData uri="http://schemas.openxmlformats.org/drawingml/2006/picture">
                <pic:pic xmlns:pic="http://schemas.openxmlformats.org/drawingml/2006/picture">
                  <pic:nvPicPr>
                    <pic:cNvPr id="16883" name="Picture 16883"/>
                    <pic:cNvPicPr/>
                  </pic:nvPicPr>
                  <pic:blipFill>
                    <a:blip r:embed="rId67"/>
                    <a:stretch>
                      <a:fillRect/>
                    </a:stretch>
                  </pic:blipFill>
                  <pic:spPr>
                    <a:xfrm>
                      <a:off x="0" y="0"/>
                      <a:ext cx="5393826" cy="4524532"/>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line="249" w:lineRule="auto"/>
        <w:ind w:left="17" w:right="198" w:hanging="10"/>
      </w:pPr>
      <w:r>
        <w:rPr>
          <w:b/>
          <w:sz w:val="20"/>
        </w:rPr>
        <w:t xml:space="preserve">       11.</w:t>
      </w:r>
      <w:r>
        <w:rPr>
          <w:b/>
          <w:sz w:val="23"/>
        </w:rPr>
        <w:t xml:space="preserve">NORMATIVA URBANISTICA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El plan general adscribe la totalidad del ámbito del Plan Especial de Reforma Interior de La Jiménez a las siguientes clases y categorías de sue</w:t>
      </w:r>
      <w:r>
        <w:rPr>
          <w:sz w:val="23"/>
        </w:rPr>
        <w:t xml:space="preserve">lo:  </w:t>
      </w:r>
    </w:p>
    <w:p w:rsidR="00025683" w:rsidRDefault="007C2AAB">
      <w:pPr>
        <w:spacing w:after="14" w:line="259" w:lineRule="auto"/>
        <w:ind w:left="14" w:firstLine="0"/>
        <w:jc w:val="left"/>
      </w:pPr>
      <w:r>
        <w:rPr>
          <w:sz w:val="23"/>
        </w:rPr>
        <w:t xml:space="preserve"> </w:t>
      </w:r>
    </w:p>
    <w:p w:rsidR="00025683" w:rsidRDefault="007C2AAB">
      <w:pPr>
        <w:ind w:left="21" w:right="202"/>
      </w:pPr>
      <w:r>
        <w:rPr>
          <w:sz w:val="23"/>
        </w:rPr>
        <w:t xml:space="preserve">      •Suelo urbano al suelo urbano en la categoría de interés cultural (SUCU-IC)  </w:t>
      </w:r>
    </w:p>
    <w:p w:rsidR="00025683" w:rsidRDefault="007C2AAB">
      <w:pPr>
        <w:spacing w:after="7" w:line="259" w:lineRule="auto"/>
        <w:ind w:left="14" w:firstLine="0"/>
        <w:jc w:val="left"/>
      </w:pPr>
      <w:r>
        <w:rPr>
          <w:sz w:val="23"/>
        </w:rPr>
        <w:t xml:space="preserve"> </w:t>
      </w:r>
    </w:p>
    <w:p w:rsidR="00025683" w:rsidRDefault="007C2AAB">
      <w:pPr>
        <w:ind w:left="21" w:right="202"/>
      </w:pPr>
      <w:r>
        <w:rPr>
          <w:sz w:val="23"/>
        </w:rPr>
        <w:t xml:space="preserve">      •Suelo Rústico de Protección Agrícola Tradicional (SRPAG-1) adscribe la zona agrícola de bancales que rodea al núcleo  </w:t>
      </w:r>
    </w:p>
    <w:p w:rsidR="00025683" w:rsidRDefault="007C2AAB">
      <w:pPr>
        <w:spacing w:after="10" w:line="259" w:lineRule="auto"/>
        <w:ind w:left="14" w:firstLine="0"/>
        <w:jc w:val="left"/>
      </w:pPr>
      <w:r>
        <w:rPr>
          <w:sz w:val="23"/>
        </w:rPr>
        <w:t xml:space="preserve"> </w:t>
      </w:r>
    </w:p>
    <w:p w:rsidR="00025683" w:rsidRDefault="007C2AAB">
      <w:pPr>
        <w:ind w:left="21" w:right="202"/>
      </w:pPr>
      <w:r>
        <w:rPr>
          <w:sz w:val="23"/>
        </w:rPr>
        <w:t xml:space="preserve">      </w:t>
      </w:r>
      <w:r>
        <w:rPr>
          <w:sz w:val="23"/>
        </w:rPr>
        <w:t xml:space="preserve">•Suelo Rústico de Protección Ambiental, protección de barrancos (SRPN-3), los cauces de los barrancos localizados en el ámbito.  </w:t>
      </w:r>
    </w:p>
    <w:p w:rsidR="00025683" w:rsidRDefault="007C2AAB">
      <w:pPr>
        <w:spacing w:after="0" w:line="259" w:lineRule="auto"/>
        <w:ind w:left="14" w:firstLine="0"/>
        <w:jc w:val="left"/>
      </w:pPr>
      <w:r>
        <w:rPr>
          <w:sz w:val="23"/>
        </w:rPr>
        <w:t xml:space="preserve"> </w:t>
      </w:r>
    </w:p>
    <w:p w:rsidR="00025683" w:rsidRDefault="007C2AAB">
      <w:pPr>
        <w:spacing w:after="237"/>
        <w:ind w:left="21" w:right="694"/>
      </w:pPr>
      <w:r>
        <w:rPr>
          <w:sz w:val="23"/>
        </w:rPr>
        <w:t xml:space="preserve">Parte del ámbito del Plan Especial está afectado por el Sitio Histórico "El Camino de Candelaria" declarado Bien de Interés </w:t>
      </w:r>
      <w:r>
        <w:rPr>
          <w:sz w:val="23"/>
        </w:rPr>
        <w:t>Cultural (BIC) por el Decreto 227/2008, de 25 de noviembre (BOC nº 2008/245. Martes 9 de diciembre de 2008, incluyendo no solo el camino tradicional, sino que abarca también parte del barrio de La Jiménez.</w:t>
      </w:r>
      <w:r>
        <w:rPr>
          <w:rFonts w:ascii="Times New Roman" w:eastAsia="Times New Roman" w:hAnsi="Times New Roman" w:cs="Times New Roman"/>
          <w:sz w:val="24"/>
        </w:rPr>
        <w:t xml:space="preserve"> </w:t>
      </w:r>
    </w:p>
    <w:p w:rsidR="00025683" w:rsidRDefault="007C2AAB">
      <w:pPr>
        <w:spacing w:after="253" w:line="259" w:lineRule="auto"/>
        <w:ind w:left="10" w:firstLine="0"/>
        <w:jc w:val="left"/>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2468" name="Group 4024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965" name="Rectangle 1696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6966" name="Rectangle 1696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6967" name="Rectangle 1696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144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2468" style="width:18.7031pt;height:264.21pt;position:absolute;mso-position-horizontal-relative:page;mso-position-horizontal:absolute;margin-left:662.928pt;mso-position-vertical-relative:page;margin-top:508.71pt;" coordsize="2375,33554">
                <v:rect id="Rectangle 1696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696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696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144 de 350 </w:t>
                        </w:r>
                      </w:p>
                    </w:txbxContent>
                  </v:textbox>
                </v:rect>
                <w10:wrap type="topAndBottom"/>
              </v:group>
            </w:pict>
          </mc:Fallback>
        </mc:AlternateContent>
      </w:r>
      <w:r>
        <w:rPr>
          <w:b/>
          <w:color w:val="FF0000"/>
        </w:rPr>
        <w:t xml:space="preserve"> </w:t>
      </w:r>
    </w:p>
    <w:p w:rsidR="00025683" w:rsidRDefault="007C2AAB">
      <w:pPr>
        <w:spacing w:after="165" w:line="259" w:lineRule="auto"/>
        <w:ind w:left="0" w:right="813" w:firstLine="0"/>
        <w:jc w:val="right"/>
      </w:pPr>
      <w:r>
        <w:rPr>
          <w:noProof/>
        </w:rPr>
        <w:drawing>
          <wp:inline distT="0" distB="0" distL="0" distR="0">
            <wp:extent cx="5396186" cy="4088983"/>
            <wp:effectExtent l="0" t="0" r="0" b="0"/>
            <wp:docPr id="16962" name="Picture 16962"/>
            <wp:cNvGraphicFramePr/>
            <a:graphic xmlns:a="http://schemas.openxmlformats.org/drawingml/2006/main">
              <a:graphicData uri="http://schemas.openxmlformats.org/drawingml/2006/picture">
                <pic:pic xmlns:pic="http://schemas.openxmlformats.org/drawingml/2006/picture">
                  <pic:nvPicPr>
                    <pic:cNvPr id="16962" name="Picture 16962"/>
                    <pic:cNvPicPr/>
                  </pic:nvPicPr>
                  <pic:blipFill>
                    <a:blip r:embed="rId68"/>
                    <a:stretch>
                      <a:fillRect/>
                    </a:stretch>
                  </pic:blipFill>
                  <pic:spPr>
                    <a:xfrm>
                      <a:off x="0" y="0"/>
                      <a:ext cx="5396186" cy="4088983"/>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0" w:right="623" w:firstLine="0"/>
        <w:jc w:val="center"/>
      </w:pPr>
      <w:r>
        <w:rPr>
          <w:b/>
          <w:color w:val="FF0000"/>
        </w:rPr>
        <w:t xml:space="preserve"> </w:t>
      </w:r>
    </w:p>
    <w:p w:rsidR="00025683" w:rsidRDefault="007C2AAB">
      <w:pPr>
        <w:spacing w:after="165" w:line="259" w:lineRule="auto"/>
        <w:ind w:left="0" w:right="988" w:firstLine="0"/>
        <w:jc w:val="right"/>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2635" name="Group 4026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018" name="Rectangle 1701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019" name="Rectangle 1701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020" name="Rectangle 1702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145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2635" style="width:18.7031pt;height:264.21pt;position:absolute;mso-position-horizontal-relative:page;mso-position-horizontal:absolute;margin-left:662.928pt;mso-position-vertical-relative:page;margin-top:508.71pt;" coordsize="2375,33554">
                <v:rect id="Rectangle 1701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01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02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145 de 350 </w:t>
                        </w:r>
                      </w:p>
                    </w:txbxContent>
                  </v:textbox>
                </v:rect>
                <w10:wrap type="square"/>
              </v:group>
            </w:pict>
          </mc:Fallback>
        </mc:AlternateContent>
      </w:r>
      <w:r>
        <w:rPr>
          <w:rFonts w:ascii="Calibri" w:eastAsia="Calibri" w:hAnsi="Calibri" w:cs="Calibri"/>
          <w:noProof/>
        </w:rPr>
        <mc:AlternateContent>
          <mc:Choice Requires="wpg">
            <w:drawing>
              <wp:inline distT="0" distB="0" distL="0" distR="0">
                <wp:extent cx="5400965" cy="6198705"/>
                <wp:effectExtent l="0" t="0" r="0" b="0"/>
                <wp:docPr id="402634" name="Group 402634"/>
                <wp:cNvGraphicFramePr/>
                <a:graphic xmlns:a="http://schemas.openxmlformats.org/drawingml/2006/main">
                  <a:graphicData uri="http://schemas.microsoft.com/office/word/2010/wordprocessingGroup">
                    <wpg:wgp>
                      <wpg:cNvGrpSpPr/>
                      <wpg:grpSpPr>
                        <a:xfrm>
                          <a:off x="0" y="0"/>
                          <a:ext cx="5400965" cy="6198705"/>
                          <a:chOff x="0" y="0"/>
                          <a:chExt cx="5400965" cy="6198705"/>
                        </a:xfrm>
                      </wpg:grpSpPr>
                      <wps:wsp>
                        <wps:cNvPr id="16998" name="Rectangle 16998"/>
                        <wps:cNvSpPr/>
                        <wps:spPr>
                          <a:xfrm>
                            <a:off x="1638554" y="5042066"/>
                            <a:ext cx="50673" cy="224379"/>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999" name="Rectangle 16999"/>
                        <wps:cNvSpPr/>
                        <wps:spPr>
                          <a:xfrm>
                            <a:off x="2885567" y="6029998"/>
                            <a:ext cx="50673" cy="224381"/>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011" name="Picture 17011"/>
                          <pic:cNvPicPr/>
                        </pic:nvPicPr>
                        <pic:blipFill>
                          <a:blip r:embed="rId69"/>
                          <a:stretch>
                            <a:fillRect/>
                          </a:stretch>
                        </pic:blipFill>
                        <pic:spPr>
                          <a:xfrm>
                            <a:off x="0" y="0"/>
                            <a:ext cx="5400965" cy="4572048"/>
                          </a:xfrm>
                          <a:prstGeom prst="rect">
                            <a:avLst/>
                          </a:prstGeom>
                        </pic:spPr>
                      </pic:pic>
                      <pic:pic xmlns:pic="http://schemas.openxmlformats.org/drawingml/2006/picture">
                        <pic:nvPicPr>
                          <pic:cNvPr id="17013" name="Picture 17013"/>
                          <pic:cNvPicPr/>
                        </pic:nvPicPr>
                        <pic:blipFill>
                          <a:blip r:embed="rId70"/>
                          <a:stretch>
                            <a:fillRect/>
                          </a:stretch>
                        </pic:blipFill>
                        <pic:spPr>
                          <a:xfrm>
                            <a:off x="0" y="4739580"/>
                            <a:ext cx="1600868" cy="439089"/>
                          </a:xfrm>
                          <a:prstGeom prst="rect">
                            <a:avLst/>
                          </a:prstGeom>
                        </pic:spPr>
                      </pic:pic>
                      <pic:pic xmlns:pic="http://schemas.openxmlformats.org/drawingml/2006/picture">
                        <pic:nvPicPr>
                          <pic:cNvPr id="17015" name="Picture 17015"/>
                          <pic:cNvPicPr/>
                        </pic:nvPicPr>
                        <pic:blipFill>
                          <a:blip r:embed="rId74"/>
                          <a:stretch>
                            <a:fillRect/>
                          </a:stretch>
                        </pic:blipFill>
                        <pic:spPr>
                          <a:xfrm>
                            <a:off x="0" y="5346135"/>
                            <a:ext cx="2886456" cy="809336"/>
                          </a:xfrm>
                          <a:prstGeom prst="rect">
                            <a:avLst/>
                          </a:prstGeom>
                        </pic:spPr>
                      </pic:pic>
                    </wpg:wgp>
                  </a:graphicData>
                </a:graphic>
              </wp:inline>
            </w:drawing>
          </mc:Choice>
          <mc:Fallback xmlns:a="http://schemas.openxmlformats.org/drawingml/2006/main">
            <w:pict>
              <v:group id="Group 402634" style="width:425.273pt;height:488.087pt;mso-position-horizontal-relative:char;mso-position-vertical-relative:line" coordsize="54009,61987">
                <v:rect id="Rectangle 16998" style="position:absolute;width:506;height:2243;left:16385;top:5042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6999" style="position:absolute;width:506;height:2243;left:28855;top:6029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7011" style="position:absolute;width:54009;height:45720;left:0;top:0;" filled="f">
                  <v:imagedata r:id="rId72"/>
                </v:shape>
                <v:shape id="Picture 17013" style="position:absolute;width:16008;height:4390;left:0;top:47395;" filled="f">
                  <v:imagedata r:id="rId73"/>
                </v:shape>
                <v:shape id="Picture 17015" style="position:absolute;width:28864;height:8093;left:0;top:53461;" filled="f">
                  <v:imagedata r:id="rId74"/>
                </v:shape>
              </v:group>
            </w:pict>
          </mc:Fallback>
        </mc:AlternateContent>
      </w:r>
      <w:r>
        <w:rPr>
          <w:rFonts w:ascii="Times New Roman" w:eastAsia="Times New Roman" w:hAnsi="Times New Roman" w:cs="Times New Roman"/>
          <w:sz w:val="24"/>
        </w:rPr>
        <w:t xml:space="preserve"> </w:t>
      </w:r>
    </w:p>
    <w:p w:rsidR="00025683" w:rsidRDefault="007C2AAB">
      <w:pPr>
        <w:spacing w:after="261" w:line="259" w:lineRule="auto"/>
        <w:ind w:left="0" w:right="623" w:firstLine="0"/>
        <w:jc w:val="center"/>
      </w:pPr>
      <w:r>
        <w:rPr>
          <w:b/>
          <w:color w:val="FF0000"/>
        </w:rPr>
        <w:t xml:space="preserve"> </w:t>
      </w:r>
    </w:p>
    <w:p w:rsidR="00025683" w:rsidRDefault="007C2AAB">
      <w:pPr>
        <w:spacing w:after="12"/>
        <w:ind w:left="22" w:right="197"/>
      </w:pPr>
      <w:r>
        <w:rPr>
          <w:b/>
          <w:sz w:val="20"/>
        </w:rPr>
        <w:t xml:space="preserve">        12.</w:t>
      </w:r>
      <w:r>
        <w:rPr>
          <w:b/>
        </w:rPr>
        <w:t>ALTERNATIVA SELECCIONADA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7" w:hanging="10"/>
        <w:jc w:val="left"/>
      </w:pPr>
      <w:r>
        <w:rPr>
          <w:b/>
          <w:sz w:val="20"/>
        </w:rPr>
        <w:t>ALTERNATIVA 2: GARANTIZAR LA CONSERVACIÓN DE LOS VALORES PATRIMONIALES Y PRO-</w:t>
      </w:r>
    </w:p>
    <w:p w:rsidR="00025683" w:rsidRDefault="007C2AAB">
      <w:pPr>
        <w:spacing w:after="0" w:line="259" w:lineRule="auto"/>
        <w:ind w:left="17" w:hanging="10"/>
        <w:jc w:val="left"/>
      </w:pPr>
      <w:r>
        <w:rPr>
          <w:b/>
          <w:sz w:val="20"/>
        </w:rPr>
        <w:t>MOVER LA PROXIMIDAD DE LOS SERVICIOS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La alternativa 2 amplia el ámbito que delimita el Plan General, derivado del análisis histórico y constatada la existencia de valores patr</w:t>
      </w:r>
      <w:r>
        <w:rPr>
          <w:sz w:val="23"/>
        </w:rPr>
        <w:t xml:space="preserve">imoniales en la Calle Reverendo Padre Simón Higuera, se propone la inclusión de las parcelas con frente a esta vía hasta la Iglesia de Igueste de Candelaria y su plaza anexa.  </w:t>
      </w:r>
    </w:p>
    <w:p w:rsidR="00025683" w:rsidRDefault="007C2AAB">
      <w:pPr>
        <w:ind w:left="21" w:right="202"/>
      </w:pPr>
      <w:r>
        <w:rPr>
          <w:sz w:val="23"/>
        </w:rPr>
        <w:t>La inclusión de estos recintos viene motivada, principalmente, por la vinculaci</w:t>
      </w:r>
      <w:r>
        <w:rPr>
          <w:sz w:val="23"/>
        </w:rPr>
        <w:t xml:space="preserve">ón histórica con el </w:t>
      </w:r>
      <w:r>
        <w:rPr>
          <w:i/>
          <w:sz w:val="23"/>
        </w:rPr>
        <w:t>Camino de La Virgen</w:t>
      </w:r>
      <w:r>
        <w:rPr>
          <w:sz w:val="23"/>
        </w:rPr>
        <w:t>, siendo parte del recorrido de peregrinación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Esta alternativa se plantea con una visión estratégica, para lograr un mayor alcance en la ordenación y, por tanto, de los objetivos específicos del plan especial. Se t</w:t>
      </w:r>
      <w:r>
        <w:rPr>
          <w:sz w:val="23"/>
        </w:rPr>
        <w:t xml:space="preserve">rata de una </w:t>
      </w:r>
      <w:r>
        <w:rPr>
          <w:b/>
          <w:sz w:val="23"/>
        </w:rPr>
        <w:t xml:space="preserve">zona estratégica </w:t>
      </w:r>
      <w:r>
        <w:rPr>
          <w:sz w:val="23"/>
        </w:rPr>
        <w:t xml:space="preserve">donde se plantearía una tipología diferenciada del Caserío Tradicional estableciendo una mayor flexibilidad de los parámetros urbanísticos. De este modo se promueve el desarrollo de otros </w:t>
      </w:r>
      <w:r>
        <w:rPr>
          <w:b/>
          <w:sz w:val="23"/>
        </w:rPr>
        <w:t>usos terciarios que garanticen la proxi</w:t>
      </w:r>
      <w:r>
        <w:rPr>
          <w:b/>
          <w:sz w:val="23"/>
        </w:rPr>
        <w:t>midad de la actividad cotidiana</w:t>
      </w:r>
      <w:r>
        <w:rPr>
          <w:sz w:val="23"/>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La incorporación de estos recintos supone </w:t>
      </w:r>
      <w:r>
        <w:rPr>
          <w:b/>
          <w:sz w:val="23"/>
        </w:rPr>
        <w:t xml:space="preserve">un incremento de 18% </w:t>
      </w:r>
      <w:r>
        <w:rPr>
          <w:sz w:val="23"/>
        </w:rPr>
        <w:t xml:space="preserve">del total del ámbito del plan especial respecto a la delimitación definida en el plan general, sumando una superficie total de </w:t>
      </w:r>
      <w:r>
        <w:rPr>
          <w:b/>
          <w:sz w:val="23"/>
        </w:rPr>
        <w:t>141.567,42 m²</w:t>
      </w:r>
      <w:r>
        <w:rPr>
          <w:sz w:val="23"/>
        </w:rPr>
        <w:t>. La ampliación que se propone no implica una modificación de la clase de suelo.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159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3043" name="Group 4030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121" name="Rectangle 1712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122" name="Rectangle 1712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123" name="Rectangle 1712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146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3043" style="width:18.7031pt;height:264.21pt;position:absolute;mso-position-horizontal-relative:page;mso-position-horizontal:absolute;margin-left:662.928pt;mso-position-vertical-relative:page;margin-top:508.71pt;" coordsize="2375,33554">
                <v:rect id="Rectangle 1712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12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12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146 de 350 </w:t>
                        </w:r>
                      </w:p>
                    </w:txbxContent>
                  </v:textbox>
                </v:rect>
                <w10:wrap type="square"/>
              </v:group>
            </w:pict>
          </mc:Fallback>
        </mc:AlternateContent>
      </w:r>
      <w:r>
        <w:rPr>
          <w:sz w:val="23"/>
        </w:rPr>
        <w:t xml:space="preserve"> </w:t>
      </w:r>
    </w:p>
    <w:p w:rsidR="00025683" w:rsidRDefault="007C2AAB">
      <w:pPr>
        <w:ind w:left="21" w:right="202"/>
      </w:pPr>
      <w:r>
        <w:rPr>
          <w:sz w:val="23"/>
        </w:rPr>
        <w:t xml:space="preserve">Con la ampliación del ámbito, se amplía el alcance de los objetivos específicos del plan especial desde tres puntos de vista: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b/>
          <w:sz w:val="23"/>
        </w:rPr>
        <w:t>Preservación de los va</w:t>
      </w:r>
      <w:r>
        <w:rPr>
          <w:b/>
          <w:sz w:val="23"/>
        </w:rPr>
        <w:t xml:space="preserve">lores patrimoniales, </w:t>
      </w:r>
      <w:r>
        <w:rPr>
          <w:sz w:val="23"/>
        </w:rPr>
        <w:t>ya que se incluye un número considerable de bienes que requieren de una protección especial al encontrarse, actualmente, en peligro de desaparición.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b/>
          <w:sz w:val="23"/>
        </w:rPr>
        <w:t>Paisajístico</w:t>
      </w:r>
      <w:r>
        <w:rPr>
          <w:sz w:val="23"/>
        </w:rPr>
        <w:t>, se han incluido parcelas vinculadas al caserío tradicional do</w:t>
      </w:r>
      <w:r>
        <w:rPr>
          <w:sz w:val="23"/>
        </w:rPr>
        <w:t>nde se aprecian las características propias del paisaje rural y que se excluyeron del ámbito definido por el plan general.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b/>
          <w:sz w:val="23"/>
        </w:rPr>
        <w:t>La Movilidad</w:t>
      </w:r>
      <w:r>
        <w:rPr>
          <w:sz w:val="23"/>
        </w:rPr>
        <w:t xml:space="preserve">, la inclusión de la calle Reverendo Padre Simón Higuera garantiza la funcionalidad de todo el sistema viario </w:t>
      </w:r>
      <w:r>
        <w:rPr>
          <w:sz w:val="23"/>
        </w:rPr>
        <w:t>del Barrio de La Jiménez con una visión global. Este elemento resulta clave mejorar la relación del caserío con los equipamientos y áreas libres localizadas en el entorno de la iglesia. Concretamente; la plaza de La Libertad, el centro cultural multifuncio</w:t>
      </w:r>
      <w:r>
        <w:rPr>
          <w:sz w:val="23"/>
        </w:rPr>
        <w:t>nal “Porfirio Torres Cruz”, un parque infantil, la iglesia y plaza anexa y el terrero de lucha.</w:t>
      </w:r>
      <w:r>
        <w:rPr>
          <w:rFonts w:ascii="Times New Roman" w:eastAsia="Times New Roman" w:hAnsi="Times New Roman" w:cs="Times New Roman"/>
          <w:sz w:val="24"/>
        </w:rPr>
        <w:t xml:space="preserve"> </w:t>
      </w:r>
    </w:p>
    <w:p w:rsidR="00025683" w:rsidRDefault="007C2AAB">
      <w:pPr>
        <w:spacing w:after="0" w:line="259" w:lineRule="auto"/>
        <w:ind w:left="10" w:firstLine="0"/>
        <w:jc w:val="left"/>
      </w:pPr>
      <w:r>
        <w:rPr>
          <w:b/>
          <w:color w:val="FF0000"/>
        </w:rPr>
        <w:t xml:space="preserve"> </w:t>
      </w:r>
    </w:p>
    <w:p w:rsidR="00025683" w:rsidRDefault="007C2AAB">
      <w:pPr>
        <w:spacing w:after="179" w:line="259" w:lineRule="auto"/>
        <w:ind w:left="0" w:right="1019" w:firstLine="0"/>
        <w:jc w:val="right"/>
      </w:pPr>
      <w:r>
        <w:rPr>
          <w:noProof/>
        </w:rPr>
        <w:drawing>
          <wp:inline distT="0" distB="0" distL="0" distR="0">
            <wp:extent cx="5383904" cy="4191099"/>
            <wp:effectExtent l="0" t="0" r="0" b="0"/>
            <wp:docPr id="17192" name="Picture 17192"/>
            <wp:cNvGraphicFramePr/>
            <a:graphic xmlns:a="http://schemas.openxmlformats.org/drawingml/2006/main">
              <a:graphicData uri="http://schemas.openxmlformats.org/drawingml/2006/picture">
                <pic:pic xmlns:pic="http://schemas.openxmlformats.org/drawingml/2006/picture">
                  <pic:nvPicPr>
                    <pic:cNvPr id="17192" name="Picture 17192"/>
                    <pic:cNvPicPr/>
                  </pic:nvPicPr>
                  <pic:blipFill>
                    <a:blip r:embed="rId75"/>
                    <a:stretch>
                      <a:fillRect/>
                    </a:stretch>
                  </pic:blipFill>
                  <pic:spPr>
                    <a:xfrm>
                      <a:off x="0" y="0"/>
                      <a:ext cx="5383904" cy="4191099"/>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35" w:line="259" w:lineRule="auto"/>
        <w:ind w:left="10" w:hanging="10"/>
        <w:jc w:val="left"/>
      </w:pPr>
      <w:r>
        <w:rPr>
          <w:b/>
          <w:sz w:val="18"/>
        </w:rPr>
        <w:t>ALTERNATIVA 2 SELECCIONADA</w:t>
      </w:r>
      <w:r>
        <w:rPr>
          <w:rFonts w:ascii="Times New Roman" w:eastAsia="Times New Roman" w:hAnsi="Times New Roman" w:cs="Times New Roman"/>
          <w:sz w:val="24"/>
        </w:rPr>
        <w:t xml:space="preserve"> </w:t>
      </w:r>
    </w:p>
    <w:p w:rsidR="00025683" w:rsidRDefault="007C2AAB">
      <w:pPr>
        <w:ind w:left="21" w:right="202"/>
      </w:pPr>
      <w:r>
        <w:rPr>
          <w:sz w:val="23"/>
        </w:rPr>
        <w:t xml:space="preserve">El objetivo sería la regulación de las condiciones estéticas y de ornato de los inmuebles y espacios públicos incluidos en el </w:t>
      </w:r>
      <w:r>
        <w:rPr>
          <w:sz w:val="23"/>
        </w:rPr>
        <w:t xml:space="preserve">ámbito del plan especial considerando lo siguiente:  </w:t>
      </w:r>
    </w:p>
    <w:p w:rsidR="00025683" w:rsidRDefault="007C2AAB">
      <w:pPr>
        <w:spacing w:after="21" w:line="259" w:lineRule="auto"/>
        <w:ind w:left="14" w:firstLine="0"/>
        <w:jc w:val="left"/>
      </w:pPr>
      <w:r>
        <w:rPr>
          <w:sz w:val="23"/>
        </w:rPr>
        <w:t xml:space="preserve"> </w:t>
      </w:r>
    </w:p>
    <w:p w:rsidR="00025683" w:rsidRDefault="007C2AAB">
      <w:pPr>
        <w:numPr>
          <w:ilvl w:val="0"/>
          <w:numId w:val="50"/>
        </w:numPr>
        <w:spacing w:after="30"/>
        <w:ind w:right="202"/>
      </w:pPr>
      <w:r>
        <w:rPr>
          <w:sz w:val="23"/>
        </w:rPr>
        <w:t xml:space="preserve">Actuaciones en los paramentos exteriores de la edificación.  </w:t>
      </w:r>
    </w:p>
    <w:p w:rsidR="00025683" w:rsidRDefault="007C2AAB">
      <w:pPr>
        <w:numPr>
          <w:ilvl w:val="0"/>
          <w:numId w:val="50"/>
        </w:numPr>
        <w:spacing w:after="29"/>
        <w:ind w:right="202"/>
      </w:pPr>
      <w:r>
        <w:rPr>
          <w:sz w:val="23"/>
        </w:rPr>
        <w:t xml:space="preserve">Actuaciones en la cubierta.  </w:t>
      </w:r>
    </w:p>
    <w:p w:rsidR="00025683" w:rsidRDefault="007C2AAB">
      <w:pPr>
        <w:numPr>
          <w:ilvl w:val="0"/>
          <w:numId w:val="50"/>
        </w:numPr>
        <w:spacing w:after="31"/>
        <w:ind w:right="202"/>
      </w:pPr>
      <w:r>
        <w:rPr>
          <w:sz w:val="23"/>
        </w:rPr>
        <w:t xml:space="preserve">Actuaciones en las medianeras.  </w:t>
      </w:r>
    </w:p>
    <w:p w:rsidR="00025683" w:rsidRDefault="007C2AAB">
      <w:pPr>
        <w:numPr>
          <w:ilvl w:val="0"/>
          <w:numId w:val="50"/>
        </w:numPr>
        <w:ind w:right="202"/>
      </w:pPr>
      <w:r>
        <w:rPr>
          <w:sz w:val="23"/>
        </w:rPr>
        <w:t xml:space="preserve">Actuaciones en la fachada.  </w:t>
      </w:r>
    </w:p>
    <w:p w:rsidR="00025683" w:rsidRDefault="007C2AAB">
      <w:pPr>
        <w:numPr>
          <w:ilvl w:val="0"/>
          <w:numId w:val="50"/>
        </w:numPr>
        <w:spacing w:after="29"/>
        <w:ind w:right="202"/>
      </w:pP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2683" name="Group 4026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195" name="Rectangle 1719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196" name="Rectangle 1719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197" name="Rectangle 1719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147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2683" style="width:18.7031pt;height:264.21pt;position:absolute;mso-position-horizontal-relative:page;mso-position-horizontal:absolute;margin-left:662.928pt;mso-position-vertical-relative:page;margin-top:508.71pt;" coordsize="2375,33554">
                <v:rect id="Rectangle 1719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19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19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147 de 350 </w:t>
                        </w:r>
                      </w:p>
                    </w:txbxContent>
                  </v:textbox>
                </v:rect>
                <w10:wrap type="square"/>
              </v:group>
            </w:pict>
          </mc:Fallback>
        </mc:AlternateContent>
      </w:r>
      <w:r>
        <w:rPr>
          <w:sz w:val="23"/>
        </w:rPr>
        <w:t xml:space="preserve">Consideraciones relativas al cromatismo.  </w:t>
      </w:r>
    </w:p>
    <w:p w:rsidR="00025683" w:rsidRDefault="007C2AAB">
      <w:pPr>
        <w:numPr>
          <w:ilvl w:val="0"/>
          <w:numId w:val="50"/>
        </w:numPr>
        <w:spacing w:after="30"/>
        <w:ind w:right="202"/>
      </w:pPr>
      <w:r>
        <w:rPr>
          <w:sz w:val="23"/>
        </w:rPr>
        <w:t xml:space="preserve">Composición de la fachada.  </w:t>
      </w:r>
    </w:p>
    <w:p w:rsidR="00025683" w:rsidRDefault="007C2AAB">
      <w:pPr>
        <w:numPr>
          <w:ilvl w:val="0"/>
          <w:numId w:val="50"/>
        </w:numPr>
        <w:spacing w:after="32"/>
        <w:ind w:right="202"/>
      </w:pPr>
      <w:r>
        <w:rPr>
          <w:sz w:val="23"/>
        </w:rPr>
        <w:t xml:space="preserve">Materiales.  </w:t>
      </w:r>
    </w:p>
    <w:p w:rsidR="00025683" w:rsidRDefault="007C2AAB">
      <w:pPr>
        <w:numPr>
          <w:ilvl w:val="0"/>
          <w:numId w:val="50"/>
        </w:numPr>
        <w:spacing w:after="29"/>
        <w:ind w:right="202"/>
      </w:pPr>
      <w:r>
        <w:rPr>
          <w:sz w:val="23"/>
        </w:rPr>
        <w:t>Elementos antepue</w:t>
      </w:r>
      <w:r>
        <w:rPr>
          <w:sz w:val="23"/>
        </w:rPr>
        <w:t xml:space="preserve">stos y sobrepuestos, otros elementos decorativos.  </w:t>
      </w:r>
    </w:p>
    <w:p w:rsidR="00025683" w:rsidRDefault="007C2AAB">
      <w:pPr>
        <w:numPr>
          <w:ilvl w:val="0"/>
          <w:numId w:val="50"/>
        </w:numPr>
        <w:spacing w:after="31"/>
        <w:ind w:right="202"/>
      </w:pPr>
      <w:r>
        <w:rPr>
          <w:sz w:val="23"/>
        </w:rPr>
        <w:t xml:space="preserve">Carteles publicitarios.  </w:t>
      </w:r>
    </w:p>
    <w:p w:rsidR="00025683" w:rsidRDefault="007C2AAB">
      <w:pPr>
        <w:numPr>
          <w:ilvl w:val="0"/>
          <w:numId w:val="50"/>
        </w:numPr>
        <w:ind w:right="202"/>
      </w:pPr>
      <w:r>
        <w:rPr>
          <w:sz w:val="23"/>
        </w:rPr>
        <w:t>Instalaciones en fachada.  • Diseño de espacios libres.</w:t>
      </w:r>
      <w:r>
        <w:rPr>
          <w:rFonts w:ascii="Times New Roman" w:eastAsia="Times New Roman" w:hAnsi="Times New Roman" w:cs="Times New Roman"/>
          <w:sz w:val="24"/>
        </w:rPr>
        <w:t xml:space="preserve"> </w:t>
      </w:r>
    </w:p>
    <w:p w:rsidR="00025683" w:rsidRDefault="007C2AAB">
      <w:pPr>
        <w:numPr>
          <w:ilvl w:val="0"/>
          <w:numId w:val="50"/>
        </w:numPr>
        <w:ind w:right="202"/>
      </w:pPr>
      <w:r>
        <w:rPr>
          <w:sz w:val="23"/>
        </w:rPr>
        <w:t xml:space="preserve">Mobiliario urbano.  </w:t>
      </w:r>
    </w:p>
    <w:p w:rsidR="00025683" w:rsidRDefault="007C2AAB">
      <w:pPr>
        <w:numPr>
          <w:ilvl w:val="0"/>
          <w:numId w:val="50"/>
        </w:numPr>
        <w:spacing w:after="32"/>
        <w:ind w:right="202"/>
      </w:pPr>
      <w:r>
        <w:rPr>
          <w:sz w:val="23"/>
        </w:rPr>
        <w:t xml:space="preserve">Tratamiento de vías de plataforma única.  </w:t>
      </w:r>
    </w:p>
    <w:p w:rsidR="00025683" w:rsidRDefault="007C2AAB">
      <w:pPr>
        <w:numPr>
          <w:ilvl w:val="0"/>
          <w:numId w:val="50"/>
        </w:numPr>
        <w:ind w:right="202"/>
      </w:pPr>
      <w:r>
        <w:rPr>
          <w:sz w:val="23"/>
        </w:rPr>
        <w:t xml:space="preserve">Iluminación urbana.  </w:t>
      </w:r>
    </w:p>
    <w:p w:rsidR="00025683" w:rsidRDefault="007C2AAB">
      <w:pPr>
        <w:spacing w:after="0" w:line="259" w:lineRule="auto"/>
        <w:ind w:left="14" w:firstLine="0"/>
        <w:jc w:val="left"/>
      </w:pPr>
      <w:r>
        <w:rPr>
          <w:sz w:val="23"/>
        </w:rPr>
        <w:t xml:space="preserve"> </w:t>
      </w:r>
    </w:p>
    <w:p w:rsidR="00025683" w:rsidRDefault="007C2AAB">
      <w:pPr>
        <w:spacing w:after="0" w:line="259" w:lineRule="auto"/>
        <w:ind w:left="22" w:firstLine="0"/>
        <w:jc w:val="left"/>
      </w:pPr>
      <w:r>
        <w:rPr>
          <w:b/>
          <w:sz w:val="20"/>
        </w:rPr>
        <w:t xml:space="preserve"> </w:t>
      </w:r>
    </w:p>
    <w:p w:rsidR="00025683" w:rsidRDefault="007C2AAB">
      <w:pPr>
        <w:spacing w:line="249" w:lineRule="auto"/>
        <w:ind w:left="17" w:right="198" w:hanging="10"/>
      </w:pPr>
      <w:r>
        <w:rPr>
          <w:b/>
          <w:sz w:val="20"/>
        </w:rPr>
        <w:t xml:space="preserve">       13.</w:t>
      </w:r>
      <w:r>
        <w:rPr>
          <w:b/>
          <w:sz w:val="23"/>
        </w:rPr>
        <w:t>OBJETO DEL PLAN ESPECIAL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Respecto a la ordenación, el plan especial como instrumento de desarrollo mantiene las clases y categorías del suelo definidas por el plan general en el que incluyen suelo urbano consolidado y suelo rústico.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En base a estas c</w:t>
      </w:r>
      <w:r>
        <w:rPr>
          <w:sz w:val="23"/>
        </w:rPr>
        <w:t xml:space="preserve">lases de suelo, la ordenación del plan especial se dirige a garantizar la conservación de los valores patrimoniales y promover la proximidad de los servicios existentes. En este sentido, cabe destacar las líneas estratégicas que se resumen a continuación: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Régimen de usos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Movilidad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Espacios Libres y Equipamientos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Regulación de la edificación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Protección del Patrimonio: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 xml:space="preserve">Régimen cautelar de protección </w:t>
      </w:r>
      <w:r>
        <w:rPr>
          <w:rFonts w:ascii="Times New Roman" w:eastAsia="Times New Roman" w:hAnsi="Times New Roman" w:cs="Times New Roman"/>
          <w:sz w:val="24"/>
        </w:rPr>
        <w:t xml:space="preserve"> </w:t>
      </w:r>
    </w:p>
    <w:p w:rsidR="00025683" w:rsidRDefault="007C2AAB">
      <w:pPr>
        <w:spacing w:after="0" w:line="259" w:lineRule="auto"/>
        <w:ind w:left="19" w:firstLine="0"/>
        <w:jc w:val="left"/>
      </w:pPr>
      <w:r>
        <w:rPr>
          <w:sz w:val="23"/>
        </w:rPr>
        <w:t xml:space="preserve"> </w:t>
      </w:r>
    </w:p>
    <w:p w:rsidR="00025683" w:rsidRDefault="007C2AAB">
      <w:pPr>
        <w:ind w:left="21" w:right="202"/>
      </w:pPr>
      <w:r>
        <w:rPr>
          <w:rFonts w:ascii="Times New Roman" w:eastAsia="Times New Roman" w:hAnsi="Times New Roman" w:cs="Times New Roman"/>
          <w:sz w:val="23"/>
        </w:rPr>
        <w:t xml:space="preserve">                •</w:t>
      </w:r>
      <w:r>
        <w:rPr>
          <w:sz w:val="23"/>
        </w:rPr>
        <w:t>Inventario de Bienes Patrimoniales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3153" name="Group 4031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307" name="Rectangle 1730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308" name="Rectangle 1730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309" name="Rectangle 1730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148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3153" style="width:18.7031pt;height:264.21pt;position:absolute;mso-position-horizontal-relative:page;mso-position-horizontal:absolute;margin-left:662.928pt;mso-position-vertical-relative:page;margin-top:508.71pt;" coordsize="2375,33554">
                <v:rect id="Rectangle 1730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3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3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148 de 350 </w:t>
                        </w:r>
                      </w:p>
                    </w:txbxContent>
                  </v:textbox>
                </v:rect>
                <w10:wrap type="square"/>
              </v:group>
            </w:pict>
          </mc:Fallback>
        </mc:AlternateContent>
      </w:r>
      <w:r>
        <w:rPr>
          <w:sz w:val="23"/>
        </w:rPr>
        <w:t xml:space="preserve"> </w:t>
      </w:r>
    </w:p>
    <w:p w:rsidR="00025683" w:rsidRDefault="007C2AAB">
      <w:pPr>
        <w:ind w:left="21" w:right="202"/>
      </w:pPr>
      <w:r>
        <w:rPr>
          <w:sz w:val="23"/>
        </w:rPr>
        <w:t>Por un lado, para e</w:t>
      </w:r>
      <w:r>
        <w:rPr>
          <w:sz w:val="23"/>
        </w:rPr>
        <w:t xml:space="preserve">stas edificaciones identificadas en el inventario de bienes patrimoniales culturales del tomo I de información se establece un régimen específico transitorio, en tanto no se actualice el catálogo municipal vigente. </w:t>
      </w:r>
    </w:p>
    <w:p w:rsidR="00025683" w:rsidRDefault="007C2AAB">
      <w:pPr>
        <w:ind w:left="21" w:right="202"/>
      </w:pPr>
      <w:r>
        <w:rPr>
          <w:sz w:val="23"/>
        </w:rPr>
        <w:t>Por otro lado, se mejoran las condicione</w:t>
      </w:r>
      <w:r>
        <w:rPr>
          <w:sz w:val="23"/>
        </w:rPr>
        <w:t xml:space="preserve">s del sistema de movilidad para mejorar su funcionalidad y aproximar los equipamientos existentes a las personas residentes en el caserío de La Jiménez.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Paralelamente, se amplía la superficie de espacios libres y sus condiciones de accesibilidad para f</w:t>
      </w:r>
      <w:r>
        <w:rPr>
          <w:sz w:val="23"/>
        </w:rPr>
        <w:t xml:space="preserve">avorecer la integración paisajística del suelo urbano y garantizar el acceso a pequeñas zonas de estancia, localizadas a lo largo de las vías con pendientes pronunciadas.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 xml:space="preserve">Se incorpora un nuevo equipamiento para rehabilitar una construcción con valores </w:t>
      </w:r>
      <w:r>
        <w:rPr>
          <w:sz w:val="23"/>
        </w:rPr>
        <w:t xml:space="preserve">patrimoniales que formará parte de una estrategia de conexión del Lomo Acoroma, con los equipamientos y espacios libres existentes.  </w:t>
      </w:r>
    </w:p>
    <w:p w:rsidR="00025683" w:rsidRDefault="007C2AAB">
      <w:pPr>
        <w:spacing w:after="242" w:line="259" w:lineRule="auto"/>
        <w:ind w:left="10" w:firstLine="0"/>
        <w:jc w:val="left"/>
      </w:pPr>
      <w:r>
        <w:rPr>
          <w:sz w:val="23"/>
        </w:rPr>
        <w:t xml:space="preserve"> </w:t>
      </w:r>
    </w:p>
    <w:p w:rsidR="00025683" w:rsidRDefault="007C2AAB">
      <w:pPr>
        <w:spacing w:after="257"/>
        <w:ind w:left="21" w:right="698"/>
      </w:pPr>
      <w:r>
        <w:rPr>
          <w:sz w:val="23"/>
        </w:rPr>
        <w:t>Se promueve la flexibilización del uso residencial para permitir el desarrollo de modelos residenciales colaborativos como el cohousing, dada su creciente implantación y demanda.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12"/>
        <w:ind w:left="22" w:right="197"/>
      </w:pPr>
      <w:r>
        <w:rPr>
          <w:b/>
          <w:sz w:val="20"/>
        </w:rPr>
        <w:t xml:space="preserve">          14.</w:t>
      </w:r>
      <w:r>
        <w:rPr>
          <w:b/>
        </w:rPr>
        <w:t>ACTUACIONES PROPUESTAS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21" w:right="202"/>
      </w:pPr>
      <w:r>
        <w:rPr>
          <w:sz w:val="23"/>
        </w:rPr>
        <w:t>La totalidad de las actuaciones u</w:t>
      </w:r>
      <w:r>
        <w:rPr>
          <w:sz w:val="23"/>
        </w:rPr>
        <w:t xml:space="preserve">rbanísticas constituyen en los términos del artículo 259 de la LSENPC, actuaciones urbanísticas aisladas (AUA), a ejecutar como obras públicas ordinarias. </w:t>
      </w:r>
    </w:p>
    <w:p w:rsidR="00025683" w:rsidRDefault="007C2AAB">
      <w:pPr>
        <w:spacing w:after="0" w:line="259" w:lineRule="auto"/>
        <w:ind w:left="14" w:firstLine="0"/>
        <w:jc w:val="left"/>
      </w:pPr>
      <w:r>
        <w:rPr>
          <w:color w:val="8A1C3F"/>
          <w:sz w:val="23"/>
        </w:rPr>
        <w:t xml:space="preserve"> </w:t>
      </w:r>
    </w:p>
    <w:p w:rsidR="00025683" w:rsidRDefault="007C2AAB">
      <w:pPr>
        <w:numPr>
          <w:ilvl w:val="0"/>
          <w:numId w:val="51"/>
        </w:numPr>
        <w:ind w:right="202"/>
      </w:pPr>
      <w:r>
        <w:rPr>
          <w:b/>
          <w:sz w:val="23"/>
        </w:rPr>
        <w:t xml:space="preserve">Actuaciones de mejora y acondicionamiento de espacios libres y víarios existentes: </w:t>
      </w:r>
      <w:r>
        <w:rPr>
          <w:sz w:val="23"/>
        </w:rPr>
        <w:t>Se trata de intervenciones en el espacio público donde las condiciones actuales hacen necesarias la ejecución de obras destinadas a mejorar la calidad del entorno urbano. Son obras de reparación de pavimentos en vías peatonales, rampas y escaleras, de sust</w:t>
      </w:r>
      <w:r>
        <w:rPr>
          <w:sz w:val="23"/>
        </w:rPr>
        <w:t>itución de mobiliario urbano y elementos de señalización en mal estado de conservación y obras de embellecimiento como pintado y reposición de vegetación. La finalidad de estas actuaciones es mejorar la accesibilidad, la seguridad y funcionalidad para toda</w:t>
      </w:r>
      <w:r>
        <w:rPr>
          <w:sz w:val="23"/>
        </w:rPr>
        <w:t xml:space="preserve">s las personas. </w:t>
      </w:r>
      <w:r>
        <w:rPr>
          <w:rFonts w:ascii="Times New Roman" w:eastAsia="Times New Roman" w:hAnsi="Times New Roman" w:cs="Times New Roman"/>
          <w:sz w:val="24"/>
        </w:rPr>
        <w:t xml:space="preserve"> </w:t>
      </w:r>
    </w:p>
    <w:p w:rsidR="00025683" w:rsidRDefault="007C2AAB">
      <w:pPr>
        <w:numPr>
          <w:ilvl w:val="0"/>
          <w:numId w:val="51"/>
        </w:numPr>
        <w:ind w:right="202"/>
      </w:pPr>
      <w:r>
        <w:rPr>
          <w:b/>
          <w:sz w:val="23"/>
        </w:rPr>
        <w:t xml:space="preserve">Actuaciones de renovación y reforma de víarios existentes: </w:t>
      </w:r>
      <w:r>
        <w:rPr>
          <w:sz w:val="23"/>
        </w:rPr>
        <w:t>Se distinguen de las anteriores por el alcance de las obras, ya que implica una transformación integral del espacio público, tanto de la calidad ambiental, como de su funcionalida</w:t>
      </w:r>
      <w:r>
        <w:rPr>
          <w:sz w:val="23"/>
        </w:rPr>
        <w:t xml:space="preserve">d. Además de reordenar las vías y sus elementos, estas actuaciones incluyen el soterramiento y mejora de las instalaciones existentes. </w:t>
      </w:r>
      <w:r>
        <w:rPr>
          <w:rFonts w:ascii="Times New Roman" w:eastAsia="Times New Roman" w:hAnsi="Times New Roman" w:cs="Times New Roman"/>
          <w:sz w:val="24"/>
        </w:rPr>
        <w:t xml:space="preserve"> </w:t>
      </w:r>
    </w:p>
    <w:p w:rsidR="00025683" w:rsidRDefault="007C2AAB">
      <w:pPr>
        <w:numPr>
          <w:ilvl w:val="0"/>
          <w:numId w:val="51"/>
        </w:numPr>
        <w:ind w:right="202"/>
      </w:pP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3558" name="Group 4035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407" name="Rectangle 1740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408" name="Rectangle 1740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409" name="Rectangle 1740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149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3558" style="width:18.7031pt;height:264.21pt;position:absolute;mso-position-horizontal-relative:page;mso-position-horizontal:absolute;margin-left:662.928pt;mso-position-vertical-relative:page;margin-top:508.71pt;" coordsize="2375,33554">
                <v:rect id="Rectangle 1740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4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4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149 de 350 </w:t>
                        </w:r>
                      </w:p>
                    </w:txbxContent>
                  </v:textbox>
                </v:rect>
                <w10:wrap type="square"/>
              </v:group>
            </w:pict>
          </mc:Fallback>
        </mc:AlternateContent>
      </w:r>
      <w:r>
        <w:rPr>
          <w:b/>
          <w:sz w:val="23"/>
        </w:rPr>
        <w:t xml:space="preserve">Actuaciones para la obtención y ejecución de nuevos espacios libres, víarios y equipamientos: </w:t>
      </w:r>
      <w:r>
        <w:rPr>
          <w:sz w:val="23"/>
        </w:rPr>
        <w:t>Previo a la ejecución de los nuevos espacios libres, víarios y equi</w:t>
      </w:r>
      <w:r>
        <w:rPr>
          <w:sz w:val="23"/>
        </w:rPr>
        <w:t>pamientos definidos en la ordenación, se llevará a cabo la obtención de estos suelos mediante el sistema de gestión definido en el programa de actuaciones. La finalidad de estas actuaciones es implementar el sistema de espacios libres denominados “apartade</w:t>
      </w:r>
      <w:r>
        <w:rPr>
          <w:sz w:val="23"/>
        </w:rPr>
        <w:t>ros”, mejorar la funcionalidad del sistema víario conectando las calles La Jiménez - La Morrita y ampliar las dotaciones a través de la rehabilitación y ampliación de un inmueble con valores patrimoniales culturales, a la vez que se mejora la conexión de L</w:t>
      </w:r>
      <w:r>
        <w:rPr>
          <w:sz w:val="23"/>
        </w:rPr>
        <w:t xml:space="preserve">omo Acoroma con la calle El Pico.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Las actuaciones en el espacio público que se proponen en el plan se representan en el plano de ordenación OP-4 “Actuaciones urbanísticas aisladas”, identificadas con un código (AUAnº), su denominación y el objeto que l</w:t>
      </w:r>
      <w:r>
        <w:rPr>
          <w:sz w:val="23"/>
        </w:rPr>
        <w:t xml:space="preserve">a definen. Se describen en el Programa de Actuaciones incorporado al Tomo II.5 “Estudio Económico Financiero”.  </w:t>
      </w:r>
    </w:p>
    <w:p w:rsidR="00025683" w:rsidRDefault="007C2AAB">
      <w:pPr>
        <w:spacing w:after="235"/>
        <w:ind w:left="21" w:right="695"/>
      </w:pPr>
      <w:r>
        <w:rPr>
          <w:sz w:val="23"/>
        </w:rPr>
        <w:t xml:space="preserve">En resumen, se han definido un total de </w:t>
      </w:r>
      <w:r>
        <w:rPr>
          <w:b/>
          <w:sz w:val="23"/>
        </w:rPr>
        <w:t>19 actuaciones</w:t>
      </w:r>
      <w:r>
        <w:rPr>
          <w:sz w:val="23"/>
        </w:rPr>
        <w:t>, de las cuales, una, está destinada a la ejecución de una dotación y el resto, son actua</w:t>
      </w:r>
      <w:r>
        <w:rPr>
          <w:sz w:val="23"/>
        </w:rPr>
        <w:t>ciones en espacios libres y viarios. Se propone se realicen mediante obras públicas ordinarias</w:t>
      </w:r>
      <w:r>
        <w:rPr>
          <w:rFonts w:ascii="Times New Roman" w:eastAsia="Times New Roman" w:hAnsi="Times New Roman" w:cs="Times New Roman"/>
          <w:sz w:val="24"/>
        </w:rPr>
        <w:t xml:space="preserve"> </w:t>
      </w:r>
    </w:p>
    <w:p w:rsidR="00025683" w:rsidRDefault="007C2AAB">
      <w:pPr>
        <w:spacing w:after="244" w:line="259" w:lineRule="auto"/>
        <w:ind w:left="10" w:firstLine="0"/>
        <w:jc w:val="left"/>
      </w:pPr>
      <w:r>
        <w:rPr>
          <w:b/>
          <w:color w:val="FF0000"/>
        </w:rPr>
        <w:t xml:space="preserve"> </w:t>
      </w:r>
    </w:p>
    <w:p w:rsidR="00025683" w:rsidRDefault="007C2AAB">
      <w:pPr>
        <w:spacing w:after="0" w:line="259" w:lineRule="auto"/>
        <w:ind w:left="0" w:right="623" w:firstLine="0"/>
        <w:jc w:val="center"/>
      </w:pPr>
      <w:r>
        <w:rPr>
          <w:b/>
          <w:color w:val="FF0000"/>
        </w:rPr>
        <w:t xml:space="preserve"> </w:t>
      </w:r>
    </w:p>
    <w:p w:rsidR="00025683" w:rsidRDefault="007C2AAB">
      <w:pPr>
        <w:spacing w:after="168" w:line="259" w:lineRule="auto"/>
        <w:ind w:left="0" w:right="827" w:firstLine="0"/>
        <w:jc w:val="right"/>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3117" name="Group 4031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445" name="Rectangle 1744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446" name="Rectangle 1744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447" name="Rectangle 1744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150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3117" style="width:18.7031pt;height:264.21pt;position:absolute;mso-position-horizontal-relative:page;mso-position-horizontal:absolute;margin-left:662.928pt;mso-position-vertical-relative:page;margin-top:508.71pt;" coordsize="2375,33554">
                <v:rect id="Rectangle 1744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44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44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150 de 350 </w:t>
                        </w:r>
                      </w:p>
                    </w:txbxContent>
                  </v:textbox>
                </v:rect>
                <w10:wrap type="topAndBottom"/>
              </v:group>
            </w:pict>
          </mc:Fallback>
        </mc:AlternateContent>
      </w:r>
      <w:r>
        <w:rPr>
          <w:noProof/>
        </w:rPr>
        <w:drawing>
          <wp:inline distT="0" distB="0" distL="0" distR="0">
            <wp:extent cx="5382975" cy="4809678"/>
            <wp:effectExtent l="0" t="0" r="0" b="0"/>
            <wp:docPr id="17442" name="Picture 17442"/>
            <wp:cNvGraphicFramePr/>
            <a:graphic xmlns:a="http://schemas.openxmlformats.org/drawingml/2006/main">
              <a:graphicData uri="http://schemas.openxmlformats.org/drawingml/2006/picture">
                <pic:pic xmlns:pic="http://schemas.openxmlformats.org/drawingml/2006/picture">
                  <pic:nvPicPr>
                    <pic:cNvPr id="17442" name="Picture 17442"/>
                    <pic:cNvPicPr/>
                  </pic:nvPicPr>
                  <pic:blipFill>
                    <a:blip r:embed="rId76"/>
                    <a:stretch>
                      <a:fillRect/>
                    </a:stretch>
                  </pic:blipFill>
                  <pic:spPr>
                    <a:xfrm>
                      <a:off x="0" y="0"/>
                      <a:ext cx="5382975" cy="4809678"/>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4448" w:firstLine="0"/>
        <w:jc w:val="left"/>
      </w:pPr>
      <w:r>
        <w:rPr>
          <w:b/>
          <w:color w:val="FF0000"/>
        </w:rPr>
        <w:t xml:space="preserve"> </w:t>
      </w:r>
    </w:p>
    <w:p w:rsidR="00025683" w:rsidRDefault="007C2AAB">
      <w:pPr>
        <w:spacing w:after="165" w:line="259" w:lineRule="auto"/>
        <w:ind w:left="0" w:right="988" w:firstLine="0"/>
        <w:jc w:val="right"/>
      </w:pPr>
      <w:r>
        <w:rPr>
          <w:noProof/>
        </w:rPr>
        <w:drawing>
          <wp:inline distT="0" distB="0" distL="0" distR="0">
            <wp:extent cx="5386428" cy="6000051"/>
            <wp:effectExtent l="0" t="0" r="0" b="0"/>
            <wp:docPr id="17477" name="Picture 17477"/>
            <wp:cNvGraphicFramePr/>
            <a:graphic xmlns:a="http://schemas.openxmlformats.org/drawingml/2006/main">
              <a:graphicData uri="http://schemas.openxmlformats.org/drawingml/2006/picture">
                <pic:pic xmlns:pic="http://schemas.openxmlformats.org/drawingml/2006/picture">
                  <pic:nvPicPr>
                    <pic:cNvPr id="17477" name="Picture 17477"/>
                    <pic:cNvPicPr/>
                  </pic:nvPicPr>
                  <pic:blipFill>
                    <a:blip r:embed="rId77"/>
                    <a:stretch>
                      <a:fillRect/>
                    </a:stretch>
                  </pic:blipFill>
                  <pic:spPr>
                    <a:xfrm>
                      <a:off x="0" y="0"/>
                      <a:ext cx="5386428" cy="600005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244" w:line="259" w:lineRule="auto"/>
        <w:ind w:left="4448" w:firstLine="0"/>
        <w:jc w:val="left"/>
      </w:pP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2178" name="Group 4021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480" name="Rectangle 1748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481" name="Rectangle 1748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482" name="Rectangle 1748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w:t>
                              </w:r>
                              <w:r>
                                <w:rPr>
                                  <w:sz w:val="12"/>
                                </w:rPr>
                                <w:t xml:space="preserve">forma esPublico Gestiona | Página 151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2178" style="width:18.7031pt;height:264.21pt;position:absolute;mso-position-horizontal-relative:page;mso-position-horizontal:absolute;margin-left:662.928pt;mso-position-vertical-relative:page;margin-top:508.71pt;" coordsize="2375,33554">
                <v:rect id="Rectangle 1748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48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48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151 de 350 </w:t>
                        </w:r>
                      </w:p>
                    </w:txbxContent>
                  </v:textbox>
                </v:rect>
                <w10:wrap type="topAndBottom"/>
              </v:group>
            </w:pict>
          </mc:Fallback>
        </mc:AlternateContent>
      </w:r>
      <w:r>
        <w:rPr>
          <w:b/>
          <w:color w:val="FF0000"/>
        </w:rPr>
        <w:t xml:space="preserve"> </w:t>
      </w:r>
    </w:p>
    <w:p w:rsidR="00025683" w:rsidRDefault="007C2AAB">
      <w:pPr>
        <w:spacing w:after="0" w:line="259" w:lineRule="auto"/>
        <w:ind w:left="4448" w:firstLine="0"/>
        <w:jc w:val="left"/>
      </w:pPr>
      <w:r>
        <w:rPr>
          <w:b/>
          <w:color w:val="FF0000"/>
        </w:rPr>
        <w:t xml:space="preserve"> </w:t>
      </w:r>
    </w:p>
    <w:p w:rsidR="00025683" w:rsidRDefault="007C2AAB">
      <w:pPr>
        <w:spacing w:after="165" w:line="259" w:lineRule="auto"/>
        <w:ind w:left="0" w:right="811" w:firstLine="0"/>
        <w:jc w:val="right"/>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1918" name="Group 4019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517" name="Rectangle 1751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518" name="Rectangle 1751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519" name="Rectangle 1751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152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1918" style="width:18.7031pt;height:264.21pt;position:absolute;mso-position-horizontal-relative:page;mso-position-horizontal:absolute;margin-left:662.928pt;mso-position-vertical-relative:page;margin-top:508.71pt;" coordsize="2375,33554">
                <v:rect id="Rectangle 1751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51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51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152 de 350 </w:t>
                        </w:r>
                      </w:p>
                    </w:txbxContent>
                  </v:textbox>
                </v:rect>
                <w10:wrap type="topAndBottom"/>
              </v:group>
            </w:pict>
          </mc:Fallback>
        </mc:AlternateContent>
      </w:r>
      <w:r>
        <w:rPr>
          <w:rFonts w:ascii="Calibri" w:eastAsia="Calibri" w:hAnsi="Calibri" w:cs="Calibri"/>
          <w:noProof/>
        </w:rPr>
        <mc:AlternateContent>
          <mc:Choice Requires="wpg">
            <w:drawing>
              <wp:inline distT="0" distB="0" distL="0" distR="0">
                <wp:extent cx="5489025" cy="6701086"/>
                <wp:effectExtent l="0" t="0" r="0" b="0"/>
                <wp:docPr id="401917" name="Group 401917"/>
                <wp:cNvGraphicFramePr/>
                <a:graphic xmlns:a="http://schemas.openxmlformats.org/drawingml/2006/main">
                  <a:graphicData uri="http://schemas.microsoft.com/office/word/2010/wordprocessingGroup">
                    <wpg:wgp>
                      <wpg:cNvGrpSpPr/>
                      <wpg:grpSpPr>
                        <a:xfrm>
                          <a:off x="0" y="0"/>
                          <a:ext cx="5489025" cy="6701086"/>
                          <a:chOff x="0" y="0"/>
                          <a:chExt cx="5489025" cy="6701086"/>
                        </a:xfrm>
                      </wpg:grpSpPr>
                      <wps:wsp>
                        <wps:cNvPr id="17508" name="Rectangle 17508"/>
                        <wps:cNvSpPr/>
                        <wps:spPr>
                          <a:xfrm>
                            <a:off x="5411470" y="4540733"/>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512" name="Picture 17512"/>
                          <pic:cNvPicPr/>
                        </pic:nvPicPr>
                        <pic:blipFill>
                          <a:blip r:embed="rId78"/>
                          <a:stretch>
                            <a:fillRect/>
                          </a:stretch>
                        </pic:blipFill>
                        <pic:spPr>
                          <a:xfrm>
                            <a:off x="0" y="0"/>
                            <a:ext cx="5401057" cy="4677156"/>
                          </a:xfrm>
                          <a:prstGeom prst="rect">
                            <a:avLst/>
                          </a:prstGeom>
                        </pic:spPr>
                      </pic:pic>
                      <pic:pic xmlns:pic="http://schemas.openxmlformats.org/drawingml/2006/picture">
                        <pic:nvPicPr>
                          <pic:cNvPr id="17514" name="Picture 17514"/>
                          <pic:cNvPicPr/>
                        </pic:nvPicPr>
                        <pic:blipFill>
                          <a:blip r:embed="rId79"/>
                          <a:stretch>
                            <a:fillRect/>
                          </a:stretch>
                        </pic:blipFill>
                        <pic:spPr>
                          <a:xfrm>
                            <a:off x="112776" y="4844847"/>
                            <a:ext cx="5376249" cy="1856239"/>
                          </a:xfrm>
                          <a:prstGeom prst="rect">
                            <a:avLst/>
                          </a:prstGeom>
                        </pic:spPr>
                      </pic:pic>
                    </wpg:wgp>
                  </a:graphicData>
                </a:graphic>
              </wp:inline>
            </w:drawing>
          </mc:Choice>
          <mc:Fallback xmlns:a="http://schemas.openxmlformats.org/drawingml/2006/main">
            <w:pict>
              <v:group id="Group 401917" style="width:432.207pt;height:527.645pt;mso-position-horizontal-relative:char;mso-position-vertical-relative:line" coordsize="54890,67010">
                <v:rect id="Rectangle 17508" style="position:absolute;width:506;height:2243;left:54114;top:45407;"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7512" style="position:absolute;width:54010;height:46771;left:0;top:0;" filled="f">
                  <v:imagedata r:id="rId84"/>
                </v:shape>
                <v:shape id="Picture 17514" style="position:absolute;width:53762;height:18562;left:1127;top:48448;" filled="f">
                  <v:imagedata r:id="rId85"/>
                </v:shape>
              </v:group>
            </w:pict>
          </mc:Fallback>
        </mc:AlternateContent>
      </w:r>
      <w:r>
        <w:rPr>
          <w:rFonts w:ascii="Times New Roman" w:eastAsia="Times New Roman" w:hAnsi="Times New Roman" w:cs="Times New Roman"/>
          <w:sz w:val="24"/>
        </w:rPr>
        <w:t xml:space="preserve"> </w:t>
      </w:r>
    </w:p>
    <w:p w:rsidR="00025683" w:rsidRDefault="007C2AAB">
      <w:pPr>
        <w:spacing w:after="0" w:line="259" w:lineRule="auto"/>
        <w:ind w:left="4448" w:firstLine="0"/>
        <w:jc w:val="left"/>
      </w:pPr>
      <w:r>
        <w:rPr>
          <w:b/>
          <w:color w:val="FF0000"/>
        </w:rPr>
        <w:t xml:space="preserve"> </w:t>
      </w:r>
    </w:p>
    <w:p w:rsidR="00025683" w:rsidRDefault="007C2AAB">
      <w:pPr>
        <w:spacing w:after="0" w:line="259" w:lineRule="auto"/>
        <w:ind w:left="9" w:firstLine="0"/>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3451" name="Group 4034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550" name="Rectangle 1755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551" name="Rectangle 1755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552" name="Rectangle 1755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153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3451" style="width:18.7031pt;height:264.21pt;position:absolute;mso-position-horizontal-relative:page;mso-position-horizontal:absolute;margin-left:662.928pt;mso-position-vertical-relative:page;margin-top:508.71pt;" coordsize="2375,33554">
                <v:rect id="Rectangle 1755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55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55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153 de 350 </w:t>
                        </w:r>
                      </w:p>
                    </w:txbxContent>
                  </v:textbox>
                </v:rect>
                <w10:wrap type="topAndBottom"/>
              </v:group>
            </w:pict>
          </mc:Fallback>
        </mc:AlternateContent>
      </w:r>
      <w:r>
        <w:rPr>
          <w:noProof/>
        </w:rPr>
        <w:drawing>
          <wp:inline distT="0" distB="0" distL="0" distR="0">
            <wp:extent cx="5557954" cy="7686913"/>
            <wp:effectExtent l="0" t="0" r="0" b="0"/>
            <wp:docPr id="17547" name="Picture 17547"/>
            <wp:cNvGraphicFramePr/>
            <a:graphic xmlns:a="http://schemas.openxmlformats.org/drawingml/2006/main">
              <a:graphicData uri="http://schemas.openxmlformats.org/drawingml/2006/picture">
                <pic:pic xmlns:pic="http://schemas.openxmlformats.org/drawingml/2006/picture">
                  <pic:nvPicPr>
                    <pic:cNvPr id="17547" name="Picture 17547"/>
                    <pic:cNvPicPr/>
                  </pic:nvPicPr>
                  <pic:blipFill>
                    <a:blip r:embed="rId80"/>
                    <a:stretch>
                      <a:fillRect/>
                    </a:stretch>
                  </pic:blipFill>
                  <pic:spPr>
                    <a:xfrm>
                      <a:off x="0" y="0"/>
                      <a:ext cx="5557954" cy="7686913"/>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7" w:hanging="10"/>
        <w:jc w:val="left"/>
      </w:pPr>
      <w:r>
        <w:rPr>
          <w:b/>
          <w:sz w:val="20"/>
        </w:rPr>
        <w:t xml:space="preserve">15. ALCANCE DE LAS ALTERACIONES EN RELACIÓN CON LA ORDENACIÓN ESTABLECIDA EN </w:t>
      </w:r>
    </w:p>
    <w:p w:rsidR="00025683" w:rsidRDefault="007C2AAB">
      <w:pPr>
        <w:spacing w:after="0" w:line="259" w:lineRule="auto"/>
        <w:ind w:left="17" w:hanging="10"/>
        <w:jc w:val="left"/>
      </w:pP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3426" name="Group 4034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588" name="Rectangle 1758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589" name="Rectangle 1758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590" name="Rectangle 1759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w:t>
                              </w:r>
                              <w:r>
                                <w:rPr>
                                  <w:sz w:val="12"/>
                                </w:rPr>
                                <w:t xml:space="preserve">| Página 154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3426" style="width:18.7031pt;height:264.21pt;position:absolute;mso-position-horizontal-relative:page;mso-position-horizontal:absolute;margin-left:662.928pt;mso-position-vertical-relative:page;margin-top:508.71pt;" coordsize="2375,33554">
                <v:rect id="Rectangle 1758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58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59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154 de 350 </w:t>
                        </w:r>
                      </w:p>
                    </w:txbxContent>
                  </v:textbox>
                </v:rect>
                <w10:wrap type="topAndBottom"/>
              </v:group>
            </w:pict>
          </mc:Fallback>
        </mc:AlternateContent>
      </w:r>
      <w:r>
        <w:rPr>
          <w:b/>
          <w:sz w:val="20"/>
        </w:rPr>
        <w:t xml:space="preserve">EL PLAN GENERAL </w:t>
      </w:r>
      <w:r>
        <w:rPr>
          <w:rFonts w:ascii="Times New Roman" w:eastAsia="Times New Roman" w:hAnsi="Times New Roman" w:cs="Times New Roman"/>
          <w:sz w:val="24"/>
        </w:rPr>
        <w:t xml:space="preserve"> </w:t>
      </w:r>
    </w:p>
    <w:p w:rsidR="00025683" w:rsidRDefault="007C2AAB">
      <w:pPr>
        <w:spacing w:after="48" w:line="442" w:lineRule="auto"/>
        <w:ind w:left="9" w:right="976" w:firstLine="0"/>
        <w:jc w:val="left"/>
      </w:pPr>
      <w:r>
        <w:rPr>
          <w:noProof/>
        </w:rPr>
        <w:drawing>
          <wp:inline distT="0" distB="0" distL="0" distR="0">
            <wp:extent cx="5419632" cy="6627668"/>
            <wp:effectExtent l="0" t="0" r="0" b="0"/>
            <wp:docPr id="17585" name="Picture 17585"/>
            <wp:cNvGraphicFramePr/>
            <a:graphic xmlns:a="http://schemas.openxmlformats.org/drawingml/2006/main">
              <a:graphicData uri="http://schemas.openxmlformats.org/drawingml/2006/picture">
                <pic:pic xmlns:pic="http://schemas.openxmlformats.org/drawingml/2006/picture">
                  <pic:nvPicPr>
                    <pic:cNvPr id="17585" name="Picture 17585"/>
                    <pic:cNvPicPr/>
                  </pic:nvPicPr>
                  <pic:blipFill>
                    <a:blip r:embed="rId81"/>
                    <a:stretch>
                      <a:fillRect/>
                    </a:stretch>
                  </pic:blipFill>
                  <pic:spPr>
                    <a:xfrm>
                      <a:off x="0" y="0"/>
                      <a:ext cx="5419632" cy="6627668"/>
                    </a:xfrm>
                    <a:prstGeom prst="rect">
                      <a:avLst/>
                    </a:prstGeom>
                  </pic:spPr>
                </pic:pic>
              </a:graphicData>
            </a:graphic>
          </wp:inline>
        </w:drawing>
      </w:r>
      <w:r>
        <w:rPr>
          <w:rFonts w:ascii="Times New Roman" w:eastAsia="Times New Roman" w:hAnsi="Times New Roman" w:cs="Times New Roman"/>
          <w:sz w:val="24"/>
        </w:rPr>
        <w:t xml:space="preserve"> </w:t>
      </w:r>
      <w:r>
        <w:rPr>
          <w:b/>
          <w:color w:val="FF0000"/>
        </w:rPr>
        <w:t xml:space="preserve"> </w:t>
      </w:r>
    </w:p>
    <w:p w:rsidR="00025683" w:rsidRDefault="007C2AAB">
      <w:pPr>
        <w:spacing w:after="0" w:line="259" w:lineRule="auto"/>
        <w:ind w:left="0" w:right="623" w:firstLine="0"/>
        <w:jc w:val="center"/>
      </w:pPr>
      <w:r>
        <w:rPr>
          <w:b/>
          <w:color w:val="FF0000"/>
        </w:rPr>
        <w:t xml:space="preserve"> </w:t>
      </w:r>
    </w:p>
    <w:p w:rsidR="00025683" w:rsidRDefault="007C2AAB">
      <w:pPr>
        <w:spacing w:after="256" w:line="259" w:lineRule="auto"/>
        <w:ind w:left="4448" w:firstLine="0"/>
        <w:jc w:val="left"/>
      </w:pP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3521" name="Group 4035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624" name="Rectangle 1762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625" name="Rectangle 1762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626" name="Rectangle 1762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155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3521" style="width:18.7031pt;height:264.21pt;position:absolute;mso-position-horizontal-relative:page;mso-position-horizontal:absolute;margin-left:662.928pt;mso-position-vertical-relative:page;margin-top:508.71pt;" coordsize="2375,33554">
                <v:rect id="Rectangle 1762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62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62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155 de 350 </w:t>
                        </w:r>
                      </w:p>
                    </w:txbxContent>
                  </v:textbox>
                </v:rect>
                <w10:wrap type="topAndBottom"/>
              </v:group>
            </w:pict>
          </mc:Fallback>
        </mc:AlternateContent>
      </w:r>
      <w:r>
        <w:rPr>
          <w:b/>
          <w:color w:val="FF0000"/>
        </w:rPr>
        <w:t xml:space="preserve"> </w:t>
      </w:r>
    </w:p>
    <w:p w:rsidR="00025683" w:rsidRDefault="007C2AAB">
      <w:pPr>
        <w:spacing w:after="0" w:line="259" w:lineRule="auto"/>
        <w:ind w:left="0" w:right="902" w:firstLine="0"/>
        <w:jc w:val="right"/>
      </w:pPr>
      <w:r>
        <w:rPr>
          <w:noProof/>
        </w:rPr>
        <w:drawing>
          <wp:inline distT="0" distB="0" distL="0" distR="0">
            <wp:extent cx="5256869" cy="6789572"/>
            <wp:effectExtent l="0" t="0" r="0" b="0"/>
            <wp:docPr id="17621" name="Picture 17621"/>
            <wp:cNvGraphicFramePr/>
            <a:graphic xmlns:a="http://schemas.openxmlformats.org/drawingml/2006/main">
              <a:graphicData uri="http://schemas.openxmlformats.org/drawingml/2006/picture">
                <pic:pic xmlns:pic="http://schemas.openxmlformats.org/drawingml/2006/picture">
                  <pic:nvPicPr>
                    <pic:cNvPr id="17621" name="Picture 17621"/>
                    <pic:cNvPicPr/>
                  </pic:nvPicPr>
                  <pic:blipFill>
                    <a:blip r:embed="rId82"/>
                    <a:stretch>
                      <a:fillRect/>
                    </a:stretch>
                  </pic:blipFill>
                  <pic:spPr>
                    <a:xfrm>
                      <a:off x="0" y="0"/>
                      <a:ext cx="5256869" cy="6789572"/>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187" w:line="259" w:lineRule="auto"/>
        <w:ind w:left="0" w:right="1471" w:firstLine="0"/>
        <w:jc w:val="right"/>
      </w:pPr>
      <w:r>
        <w:rPr>
          <w:noProof/>
        </w:rPr>
        <w:drawing>
          <wp:inline distT="0" distB="0" distL="0" distR="0">
            <wp:extent cx="5095959" cy="1438611"/>
            <wp:effectExtent l="0" t="0" r="0" b="0"/>
            <wp:docPr id="17717" name="Picture 17717"/>
            <wp:cNvGraphicFramePr/>
            <a:graphic xmlns:a="http://schemas.openxmlformats.org/drawingml/2006/main">
              <a:graphicData uri="http://schemas.openxmlformats.org/drawingml/2006/picture">
                <pic:pic xmlns:pic="http://schemas.openxmlformats.org/drawingml/2006/picture">
                  <pic:nvPicPr>
                    <pic:cNvPr id="17717" name="Picture 17717"/>
                    <pic:cNvPicPr/>
                  </pic:nvPicPr>
                  <pic:blipFill>
                    <a:blip r:embed="rId83"/>
                    <a:stretch>
                      <a:fillRect/>
                    </a:stretch>
                  </pic:blipFill>
                  <pic:spPr>
                    <a:xfrm>
                      <a:off x="0" y="0"/>
                      <a:ext cx="5095959" cy="143861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12"/>
        <w:ind w:left="22" w:right="197"/>
      </w:pPr>
      <w:r>
        <w:rPr>
          <w:b/>
          <w:sz w:val="20"/>
        </w:rPr>
        <w:t xml:space="preserve">      16.</w:t>
      </w:r>
      <w:r>
        <w:rPr>
          <w:b/>
        </w:rPr>
        <w:t>CONCLUSIONES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21" w:right="202"/>
      </w:pPr>
      <w:r>
        <w:rPr>
          <w:sz w:val="23"/>
        </w:rPr>
        <w:t xml:space="preserve">De acuerdo a todo lo expuesto anteriormente, se informa </w:t>
      </w:r>
      <w:r>
        <w:rPr>
          <w:b/>
          <w:sz w:val="23"/>
        </w:rPr>
        <w:t xml:space="preserve">FAVORABLE </w:t>
      </w:r>
      <w:r>
        <w:rPr>
          <w:sz w:val="23"/>
        </w:rPr>
        <w:t xml:space="preserve">la aprobación inicial del Plan Especial de Reforma Interior (PEPRI) La Jiménez </w:t>
      </w:r>
      <w:r>
        <w:rPr>
          <w:rFonts w:ascii="Times New Roman" w:eastAsia="Times New Roman" w:hAnsi="Times New Roman" w:cs="Times New Roman"/>
          <w:sz w:val="24"/>
        </w:rPr>
        <w:t xml:space="preserve"> </w:t>
      </w:r>
      <w:r>
        <w:rPr>
          <w:sz w:val="23"/>
        </w:rPr>
        <w:t xml:space="preserve">Igueste, T.M. de Candelaria.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Se propone dar traslado a la Concejalía de Cultura, I</w:t>
      </w:r>
      <w:r>
        <w:rPr>
          <w:sz w:val="23"/>
        </w:rPr>
        <w:t xml:space="preserve">dentidad Canaria, Patrimonio Histórico, Fiestas y Deporte, para que se inicien los trámites necesarios para la inclusión en el Catálogo Municipales de Bienes Patrimoniales Culturales, de los bienes recogidos en el inventario: </w:t>
      </w:r>
    </w:p>
    <w:p w:rsidR="00025683" w:rsidRDefault="007C2AAB">
      <w:pPr>
        <w:spacing w:after="0" w:line="259" w:lineRule="auto"/>
        <w:ind w:left="14" w:firstLine="0"/>
        <w:jc w:val="left"/>
      </w:pPr>
      <w:r>
        <w:rPr>
          <w:b/>
          <w:sz w:val="23"/>
        </w:rPr>
        <w:t xml:space="preserve"> </w:t>
      </w:r>
    </w:p>
    <w:p w:rsidR="00025683" w:rsidRDefault="007C2AAB">
      <w:pPr>
        <w:spacing w:line="249" w:lineRule="auto"/>
        <w:ind w:left="17" w:right="198" w:hanging="10"/>
      </w:pPr>
      <w:r>
        <w:rPr>
          <w:b/>
          <w:sz w:val="23"/>
        </w:rPr>
        <w:t>Tomo I.3 Anexo 4. Inventari</w:t>
      </w:r>
      <w:r>
        <w:rPr>
          <w:b/>
          <w:sz w:val="23"/>
        </w:rPr>
        <w:t>o de bienes integrantes del patrimonio cultural del barrio de La Jiménez, La Sabinita y Lomo Acoroma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3819" name="Group 4038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720" name="Rectangle 1772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721" name="Rectangle 1772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722" name="Rectangle 1772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156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3819" style="width:18.7031pt;height:264.21pt;position:absolute;mso-position-horizontal-relative:page;mso-position-horizontal:absolute;margin-left:662.928pt;mso-position-vertical-relative:page;margin-top:508.71pt;" coordsize="2375,33554">
                <v:rect id="Rectangle 1772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72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72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156 de 350 </w:t>
                        </w:r>
                      </w:p>
                    </w:txbxContent>
                  </v:textbox>
                </v:rect>
                <w10:wrap type="square"/>
              </v:group>
            </w:pict>
          </mc:Fallback>
        </mc:AlternateContent>
      </w:r>
      <w:r>
        <w:rPr>
          <w:sz w:val="23"/>
        </w:rPr>
        <w:t>En este sentido, en tanto no se actualice el catálogo de protección, solo serán posibles intervenciones de mantenimiento, conservación, consolidación, restauraci</w:t>
      </w:r>
      <w:r>
        <w:rPr>
          <w:sz w:val="23"/>
        </w:rPr>
        <w:t xml:space="preserve">ón, rehabilitación y reconstrucción. La naturaleza cautelar del régimen de protección determina la limitación de las intervenciones permitidas en estos inmuebles.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Se prohíben expresamente las intervenciones de reestructuración, remonta y ampliación, y p</w:t>
      </w:r>
      <w:r>
        <w:rPr>
          <w:sz w:val="23"/>
        </w:rPr>
        <w:t>or supuesto, la demolición. En este sentido, se establecen condiciones adicionales al deber de conservación basadas en la presencia de valores culturales.</w:t>
      </w:r>
      <w:r>
        <w:t>…”</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SEGUNDO. Abrir un período de información pública por plazo de un mes mediante anuncio en el Bo</w:t>
      </w:r>
      <w:r>
        <w:t xml:space="preserve">letín Oficial de Canarias y en el periódico de mayor difusión. </w:t>
      </w:r>
    </w:p>
    <w:p w:rsidR="00025683" w:rsidRDefault="007C2AAB">
      <w:pPr>
        <w:ind w:left="14" w:right="200"/>
      </w:pPr>
      <w:r>
        <w:t xml:space="preserve">Asimismo, estará disponible en la sede electrónica de este Ayuntamiento https://sedeelectronica.candelaria.es/publico/tablon. </w:t>
      </w:r>
    </w:p>
    <w:p w:rsidR="00025683" w:rsidRDefault="007C2AAB">
      <w:pPr>
        <w:spacing w:after="0" w:line="259" w:lineRule="auto"/>
        <w:ind w:left="14" w:firstLine="0"/>
        <w:jc w:val="left"/>
      </w:pPr>
      <w:r>
        <w:t xml:space="preserve"> </w:t>
      </w:r>
    </w:p>
    <w:p w:rsidR="00025683" w:rsidRDefault="007C2AAB">
      <w:pPr>
        <w:ind w:left="14" w:right="200"/>
      </w:pPr>
      <w:r>
        <w:t>TERCERO. Solicitar, simultáneamente al trámite de información p</w:t>
      </w:r>
      <w:r>
        <w:t xml:space="preserve">ública, los informes, dictámenes u otro tipo de pronunciamientos a órganos y Entidades administrativas gestores de intereses públicos afectados, previstos legalmente como preceptivos. </w:t>
      </w:r>
    </w:p>
    <w:p w:rsidR="00025683" w:rsidRDefault="007C2AAB">
      <w:pPr>
        <w:spacing w:after="0" w:line="259" w:lineRule="auto"/>
        <w:ind w:left="14" w:firstLine="0"/>
        <w:jc w:val="left"/>
      </w:pPr>
      <w:r>
        <w:t xml:space="preserve"> </w:t>
      </w:r>
    </w:p>
    <w:p w:rsidR="00025683" w:rsidRDefault="007C2AAB">
      <w:pPr>
        <w:ind w:left="14" w:right="200"/>
      </w:pPr>
      <w:r>
        <w:t xml:space="preserve">CUARTO.- </w:t>
      </w:r>
      <w:r>
        <w:t>Ordenar la suspensión facultativa del otorgamiento de las licencias de obras de edificación (excluyendo las permitidas por la Ley 4/2017, de 13 de julio, del Suelo y de los Espacios Naturales Protegidos de Canarias, en las situaciones legales de las constr</w:t>
      </w:r>
      <w:r>
        <w:t>ucciones preexistentes y en la situación de fuera de ordenación y las provisionales permitidas conforme al artículo 32 de la misma Ley), así como la suspensión de la autorización de obras de urbanización (excluyendo la mera conservación y mantenimiento) en</w:t>
      </w:r>
      <w:r>
        <w:t xml:space="preserve"> todo el ámbito de la modificación. </w:t>
      </w:r>
    </w:p>
    <w:p w:rsidR="00025683" w:rsidRDefault="007C2AAB">
      <w:pPr>
        <w:spacing w:after="241"/>
        <w:ind w:left="14" w:right="200"/>
      </w:pPr>
      <w:r>
        <w:t>Esta suspensión surtirá efectos desde el día siguiente a la publicación del anuncio en el Boletín Oficial, y tendrá un plazo de un (1) año.</w:t>
      </w:r>
      <w:r>
        <w:rPr>
          <w:rFonts w:ascii="Times New Roman" w:eastAsia="Times New Roman" w:hAnsi="Times New Roman" w:cs="Times New Roman"/>
          <w:sz w:val="24"/>
        </w:rPr>
        <w:t xml:space="preserve"> </w:t>
      </w:r>
    </w:p>
    <w:p w:rsidR="00025683" w:rsidRDefault="007C2AAB">
      <w:pPr>
        <w:ind w:left="14" w:right="200"/>
      </w:pPr>
      <w:r>
        <w:t xml:space="preserve">QUINTO.- </w:t>
      </w:r>
      <w:r>
        <w:t xml:space="preserve">Ordenar la publicación de este acuerdo de suspensión en el Boletín Oficial de Canarias y en, al menos, dos de los diarios de mayor difusión en la provincia. </w:t>
      </w:r>
    </w:p>
    <w:p w:rsidR="00025683" w:rsidRDefault="007C2AAB">
      <w:pPr>
        <w:spacing w:after="0" w:line="259" w:lineRule="auto"/>
        <w:ind w:left="14" w:firstLine="0"/>
        <w:jc w:val="left"/>
      </w:pPr>
      <w:r>
        <w:t xml:space="preserve"> </w:t>
      </w:r>
    </w:p>
    <w:p w:rsidR="00025683" w:rsidRDefault="007C2AAB">
      <w:pPr>
        <w:ind w:left="14" w:right="200"/>
      </w:pPr>
      <w:r>
        <w:t>SEXTO.- Dar traslado a la Concejalía de Cultura, Identidad Canaria, Patrimonio Histórico, Fiesta</w:t>
      </w:r>
      <w:r>
        <w:t xml:space="preserve">s y Deporte, para que se inicien los trámites necesarios para la inclusión en el Catálogo Municipales de Bienes Patrimoniales Culturales, de los bienes recogidos en el inventario: </w:t>
      </w:r>
    </w:p>
    <w:p w:rsidR="00025683" w:rsidRDefault="007C2AAB">
      <w:pPr>
        <w:spacing w:after="0" w:line="259" w:lineRule="auto"/>
        <w:ind w:left="14" w:firstLine="0"/>
        <w:jc w:val="left"/>
      </w:pPr>
      <w:r>
        <w:rPr>
          <w:b/>
          <w:sz w:val="23"/>
        </w:rPr>
        <w:t xml:space="preserve"> </w:t>
      </w:r>
    </w:p>
    <w:p w:rsidR="00025683" w:rsidRDefault="007C2AAB">
      <w:pPr>
        <w:spacing w:after="0" w:line="259" w:lineRule="auto"/>
        <w:ind w:left="14" w:firstLine="0"/>
        <w:jc w:val="left"/>
      </w:pPr>
      <w:r>
        <w:rPr>
          <w:b/>
          <w:sz w:val="23"/>
        </w:rPr>
        <w:t xml:space="preserve"> </w:t>
      </w:r>
    </w:p>
    <w:p w:rsidR="00025683" w:rsidRDefault="007C2AAB">
      <w:pPr>
        <w:spacing w:line="249" w:lineRule="auto"/>
        <w:ind w:left="17" w:right="198" w:hanging="10"/>
      </w:pPr>
      <w:r>
        <w:rPr>
          <w:b/>
          <w:sz w:val="23"/>
        </w:rPr>
        <w:t>“…Tomo I.3 Anexo 4. Inventario de bienes integrantes del patrimonio cul</w:t>
      </w:r>
      <w:r>
        <w:rPr>
          <w:b/>
          <w:sz w:val="23"/>
        </w:rPr>
        <w:t>tural del barrio de La Jiménez, La Sabinita y Lomo Acoroma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3"/>
        </w:rPr>
        <w:t xml:space="preserve"> </w:t>
      </w:r>
    </w:p>
    <w:p w:rsidR="00025683" w:rsidRDefault="007C2AAB">
      <w:pPr>
        <w:ind w:left="21" w:right="202"/>
      </w:pPr>
      <w:r>
        <w:rPr>
          <w:sz w:val="23"/>
        </w:rPr>
        <w:t>En este sentido, en tanto no se actualice el catálogo de protección, solo serán posibles intervenciones de mantenimiento, conservación, consolidación, restauración, rehabilitación y reconstrucci</w:t>
      </w:r>
      <w:r>
        <w:rPr>
          <w:sz w:val="23"/>
        </w:rPr>
        <w:t xml:space="preserve">ón. La naturaleza cautelar del régimen de protección determina la limitación de las </w:t>
      </w:r>
      <w:r>
        <w:t>intervenciones permitidas en estos inmuebles.</w:t>
      </w:r>
      <w:r>
        <w:rPr>
          <w:rFonts w:ascii="Times New Roman" w:eastAsia="Times New Roman" w:hAnsi="Times New Roman" w:cs="Times New Roman"/>
          <w:sz w:val="24"/>
        </w:rPr>
        <w:t xml:space="preserve"> </w:t>
      </w:r>
    </w:p>
    <w:p w:rsidR="00025683" w:rsidRDefault="007C2AAB">
      <w:pPr>
        <w:ind w:left="14" w:right="200"/>
      </w:pPr>
      <w:r>
        <w:t>Se prohíben expresamente las intervenciones de reestructuración, remonta y ampliación, y por supuesto, la demolición. En este</w:t>
      </w:r>
      <w:r>
        <w:t xml:space="preserve"> sentido, se establecen condiciones adicionales al deber de conservación basadas en la presencia de valores culturales…”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272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4026" name="Group 4040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826" name="Rectangle 1782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827" name="Rectangle 1782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828" name="Rectangle 1782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157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4026" style="width:18.7031pt;height:264.21pt;position:absolute;mso-position-horizontal-relative:page;mso-position-horizontal:absolute;margin-left:662.928pt;mso-position-vertical-relative:page;margin-top:508.71pt;" coordsize="2375,33554">
                <v:rect id="Rectangle 1782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82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82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157 de 350 </w:t>
                        </w:r>
                      </w:p>
                    </w:txbxContent>
                  </v:textbox>
                </v:rect>
                <w10:wrap type="square"/>
              </v:group>
            </w:pict>
          </mc:Fallback>
        </mc:AlternateContent>
      </w:r>
      <w:r>
        <w:t xml:space="preserve"> </w:t>
      </w:r>
    </w:p>
    <w:p w:rsidR="00025683" w:rsidRDefault="007C2AAB">
      <w:pPr>
        <w:spacing w:after="0" w:line="259" w:lineRule="auto"/>
        <w:ind w:left="14" w:firstLine="0"/>
        <w:jc w:val="left"/>
      </w:pPr>
      <w:r>
        <w:t xml:space="preserve"> </w:t>
      </w:r>
    </w:p>
    <w:p w:rsidR="00025683" w:rsidRDefault="007C2AAB">
      <w:pPr>
        <w:ind w:left="14" w:right="200"/>
      </w:pPr>
      <w:r>
        <w:t>SÉPTIMO.- Contra el acuerdo de suspensión del otorgamiento de licencias, se podrá interponer recurso potestativo de reposición ante el órgano que lo dictó en</w:t>
      </w:r>
      <w:r>
        <w:t xml:space="preserve"> el plazo de un mes a contar desde el día siguiente de su notificación o publicación, o recurso contencioso-administrativo ante la Jurisdicción Contenciosa-administrativa, en el plazo de dos meses a contar desde el día siguiente de su notificación o public</w:t>
      </w:r>
      <w:r>
        <w:t xml:space="preserve">ación. </w:t>
      </w:r>
    </w:p>
    <w:p w:rsidR="00025683" w:rsidRDefault="007C2AAB">
      <w:pPr>
        <w:spacing w:after="242" w:line="259" w:lineRule="auto"/>
        <w:ind w:left="10" w:firstLine="0"/>
        <w:jc w:val="left"/>
      </w:pPr>
      <w:r>
        <w:t xml:space="preserve"> </w:t>
      </w:r>
    </w:p>
    <w:p w:rsidR="00025683" w:rsidRDefault="007C2AAB">
      <w:pPr>
        <w:spacing w:after="247"/>
        <w:ind w:left="14" w:right="200"/>
      </w:pPr>
      <w:r>
        <w:t>Por lo que se eleva a esta propuesta al Pleno del Ayuntamiento, que resolverá como mejor proceda.”.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sz w:val="24"/>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12"/>
        <w:ind w:left="14" w:right="197" w:firstLine="708"/>
      </w:pPr>
      <w:r>
        <w:rPr>
          <w:b/>
        </w:rPr>
        <w:t xml:space="preserve">DICTAMEN FAVORABLE DE 22 DE DICIEMBRE DE LA COMISIÓN INFORMATIVA DE P. y </w:t>
      </w:r>
      <w:r>
        <w:rPr>
          <w:b/>
        </w:rPr>
        <w:t>G. URBANÍSTICA Y AMBIENTAL, OBRAS Y SERVICIOS PÚBLICOS.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722" w:right="200"/>
      </w:pPr>
      <w:r>
        <w:t xml:space="preserve">Votos a favor: 4. </w:t>
      </w:r>
    </w:p>
    <w:p w:rsidR="00025683" w:rsidRDefault="007C2AAB">
      <w:pPr>
        <w:ind w:left="14" w:right="200" w:firstLine="708"/>
      </w:pPr>
      <w:r>
        <w:t xml:space="preserve">4 concejales del Grupo Socialista, Don Reinaldo José Triviño Blanco, Don Airam Pérez Chinea, Doña Margarita Eva Tendero Barroso y Doña María del Carmen Clemente Díaz. </w:t>
      </w:r>
    </w:p>
    <w:p w:rsidR="00025683" w:rsidRDefault="007C2AAB">
      <w:pPr>
        <w:spacing w:after="0" w:line="259" w:lineRule="auto"/>
        <w:ind w:left="14" w:firstLine="0"/>
        <w:jc w:val="left"/>
      </w:pPr>
      <w:r>
        <w:t xml:space="preserve"> </w:t>
      </w:r>
    </w:p>
    <w:p w:rsidR="00025683" w:rsidRDefault="007C2AAB">
      <w:pPr>
        <w:ind w:left="722" w:right="200"/>
      </w:pPr>
      <w:r>
        <w:t>Votos en</w:t>
      </w:r>
      <w:r>
        <w:t xml:space="preserve"> contra: 0. </w:t>
      </w:r>
    </w:p>
    <w:p w:rsidR="00025683" w:rsidRDefault="007C2AAB">
      <w:pPr>
        <w:spacing w:after="0" w:line="259" w:lineRule="auto"/>
        <w:ind w:left="722" w:firstLine="0"/>
        <w:jc w:val="left"/>
      </w:pPr>
      <w:r>
        <w:t xml:space="preserve"> </w:t>
      </w:r>
    </w:p>
    <w:p w:rsidR="00025683" w:rsidRDefault="007C2AAB">
      <w:pPr>
        <w:ind w:left="722" w:right="200"/>
      </w:pPr>
      <w:r>
        <w:t xml:space="preserve">Abstenciones: 3. </w:t>
      </w:r>
    </w:p>
    <w:p w:rsidR="00025683" w:rsidRDefault="007C2AAB">
      <w:pPr>
        <w:spacing w:after="0" w:line="259" w:lineRule="auto"/>
        <w:ind w:left="722" w:firstLine="0"/>
        <w:jc w:val="left"/>
      </w:pPr>
      <w:r>
        <w:t xml:space="preserve"> </w:t>
      </w:r>
    </w:p>
    <w:p w:rsidR="00025683" w:rsidRDefault="007C2AAB">
      <w:pPr>
        <w:ind w:left="14" w:right="200" w:firstLine="708"/>
      </w:pPr>
      <w:r>
        <w:t xml:space="preserve">2 de los concejales del Grupo Popular, Don Jacobo López Fariña y Doña Sheila Castellano Batista.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(USP), Doña Violeta López Jiménez.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12"/>
        <w:ind w:left="722" w:right="2172"/>
      </w:pPr>
      <w:r>
        <w:rPr>
          <w:b/>
        </w:rPr>
        <w:t xml:space="preserve">JUNTA DE PORTAVOCES DE 22 DE DICIEMBRE DE 2025. </w:t>
      </w:r>
      <w:r>
        <w:t xml:space="preserve">Quedó oída. </w:t>
      </w:r>
    </w:p>
    <w:p w:rsidR="00025683" w:rsidRDefault="007C2AAB">
      <w:pPr>
        <w:spacing w:after="0" w:line="259" w:lineRule="auto"/>
        <w:ind w:left="14" w:firstLine="0"/>
        <w:jc w:val="left"/>
      </w:pPr>
      <w: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12"/>
        <w:ind w:left="722" w:right="197"/>
      </w:pPr>
      <w:r>
        <w:rPr>
          <w:b/>
        </w:rPr>
        <w:t xml:space="preserve">VOTACIÓN EN EL PLENO DE 29 DE DICIEMBRE DE 2025. </w:t>
      </w:r>
    </w:p>
    <w:p w:rsidR="00025683" w:rsidRDefault="007C2AAB">
      <w:pPr>
        <w:spacing w:after="0" w:line="259" w:lineRule="auto"/>
        <w:ind w:left="14" w:firstLine="0"/>
        <w:jc w:val="left"/>
      </w:pPr>
      <w:r>
        <w:rPr>
          <w:b/>
        </w:rPr>
        <w:t xml:space="preserve"> </w:t>
      </w:r>
    </w:p>
    <w:p w:rsidR="00025683" w:rsidRDefault="007C2AAB">
      <w:pPr>
        <w:ind w:left="722" w:right="200"/>
      </w:pPr>
      <w:r>
        <w:rPr>
          <w:rFonts w:ascii="Calibri" w:eastAsia="Calibri" w:hAnsi="Calibri" w:cs="Calibri"/>
          <w:noProof/>
        </w:rPr>
        <mc:AlternateContent>
          <mc:Choice Requires="wpg">
            <w:drawing>
              <wp:anchor distT="0" distB="0" distL="114300" distR="114300" simplePos="0" relativeHeight="2518282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3690" name="Group 4036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931" name="Rectangle 1793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7932" name="Rectangle 1793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7933" name="Rectangle 1793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158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3690" style="width:18.7031pt;height:264.21pt;position:absolute;mso-position-horizontal-relative:page;mso-position-horizontal:absolute;margin-left:662.928pt;mso-position-vertical-relative:page;margin-top:508.71pt;" coordsize="2375,33554">
                <v:rect id="Rectangle 1793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793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793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158 de 350 </w:t>
                        </w:r>
                      </w:p>
                    </w:txbxContent>
                  </v:textbox>
                </v:rect>
                <w10:wrap type="square"/>
              </v:group>
            </w:pict>
          </mc:Fallback>
        </mc:AlternateContent>
      </w:r>
      <w:r>
        <w:t xml:space="preserve">Votos a favor: 12. </w:t>
      </w:r>
    </w:p>
    <w:p w:rsidR="00025683" w:rsidRDefault="007C2AAB">
      <w:pPr>
        <w:ind w:left="14" w:right="200" w:firstLine="708"/>
      </w:pPr>
      <w:r>
        <w:t>11 concejales del Grupo Socialista: Dª. María Concepción Brito Núñez, D. Jorge Baute Delgado, D. José Francisco Pinto Ramos, Dª. Olivia Conce</w:t>
      </w:r>
      <w:r>
        <w:t xml:space="preserve">pción Pérez, D. Reinaldo José Triviño Blanco, D. Manuel Alberto González Pestano, Dª. Margarita Eva Tendero Barroso, D. Airam Pérez Chinea, Dª. María del Carmen Clemente Díaz, D. Olegario Francisco Alonso Bello, Dª. Mónica Monserrat Yanes Delgado.  </w:t>
      </w:r>
    </w:p>
    <w:p w:rsidR="00025683" w:rsidRDefault="007C2AAB">
      <w:pPr>
        <w:spacing w:after="0" w:line="259" w:lineRule="auto"/>
        <w:ind w:left="14" w:firstLine="0"/>
        <w:jc w:val="left"/>
      </w:pPr>
      <w:r>
        <w:t xml:space="preserve"> </w:t>
      </w:r>
    </w:p>
    <w:p w:rsidR="00025683" w:rsidRDefault="007C2AAB">
      <w:pPr>
        <w:ind w:left="722" w:right="200"/>
      </w:pPr>
      <w:r>
        <w:t>1 de</w:t>
      </w:r>
      <w:r>
        <w:t xml:space="preserve">l concejal del Grupo Mixto (Vox), D. José Tortosa Pallarés. </w:t>
      </w:r>
    </w:p>
    <w:p w:rsidR="00025683" w:rsidRDefault="007C2AAB">
      <w:pPr>
        <w:spacing w:after="0" w:line="259" w:lineRule="auto"/>
        <w:ind w:left="722" w:firstLine="0"/>
        <w:jc w:val="left"/>
      </w:pPr>
      <w:r>
        <w:t xml:space="preserve"> </w:t>
      </w:r>
    </w:p>
    <w:p w:rsidR="00025683" w:rsidRDefault="007C2AAB">
      <w:pPr>
        <w:ind w:left="722" w:right="200"/>
      </w:pPr>
      <w:r>
        <w:t xml:space="preserve">Votos en contra: 0. </w:t>
      </w:r>
    </w:p>
    <w:p w:rsidR="00025683" w:rsidRDefault="007C2AAB">
      <w:pPr>
        <w:spacing w:after="0" w:line="259" w:lineRule="auto"/>
        <w:ind w:left="722" w:firstLine="0"/>
        <w:jc w:val="left"/>
      </w:pPr>
      <w:r>
        <w:t xml:space="preserve"> </w:t>
      </w:r>
    </w:p>
    <w:p w:rsidR="00025683" w:rsidRDefault="007C2AAB">
      <w:pPr>
        <w:ind w:left="722" w:right="200"/>
      </w:pPr>
      <w:r>
        <w:t xml:space="preserve">Abstenciones: 7. </w:t>
      </w:r>
    </w:p>
    <w:p w:rsidR="00025683" w:rsidRDefault="007C2AAB">
      <w:pPr>
        <w:spacing w:after="0" w:line="259" w:lineRule="auto"/>
        <w:ind w:left="722" w:firstLine="0"/>
        <w:jc w:val="left"/>
      </w:pPr>
      <w:r>
        <w:t xml:space="preserve"> </w:t>
      </w:r>
    </w:p>
    <w:p w:rsidR="00025683" w:rsidRDefault="007C2AAB">
      <w:pPr>
        <w:ind w:left="14" w:right="200" w:firstLine="708"/>
      </w:pPr>
      <w:r>
        <w:t xml:space="preserve">5 concejales del Grupo Popular: D. Jacobo López Fariña, D. Miguel Eduardo Hernández Chitty, Dª. Raquel Martín Castro, Dª. María Carlota Díaz González y D. José Daniel Sosa González.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(CC), Doña Ángela Cruz Perera. </w:t>
      </w:r>
    </w:p>
    <w:p w:rsidR="00025683" w:rsidRDefault="007C2AAB">
      <w:pPr>
        <w:spacing w:after="0" w:line="259" w:lineRule="auto"/>
        <w:ind w:left="14" w:firstLine="0"/>
        <w:jc w:val="left"/>
      </w:pPr>
      <w:r>
        <w:t xml:space="preserve"> </w:t>
      </w:r>
    </w:p>
    <w:p w:rsidR="00025683" w:rsidRDefault="007C2AAB">
      <w:pPr>
        <w:ind w:left="722" w:right="200"/>
      </w:pPr>
      <w:r>
        <w:t>1 de la concejal del Grupo Mixto (USP), Dª. Violeta López Jiménez.</w:t>
      </w:r>
      <w:r>
        <w:rPr>
          <w:rFonts w:ascii="Times New Roman" w:eastAsia="Times New Roman" w:hAnsi="Times New Roman" w:cs="Times New Roman"/>
          <w:sz w:val="24"/>
        </w:rPr>
        <w:t xml:space="preserve"> </w:t>
      </w:r>
    </w:p>
    <w:p w:rsidR="00025683" w:rsidRDefault="007C2AAB">
      <w:pPr>
        <w:spacing w:after="103" w:line="259" w:lineRule="auto"/>
        <w:ind w:left="1433" w:firstLine="0"/>
        <w:jc w:val="left"/>
      </w:pPr>
      <w:r>
        <w:rPr>
          <w:b/>
        </w:rPr>
        <w:t xml:space="preserve"> </w:t>
      </w:r>
    </w:p>
    <w:p w:rsidR="00025683" w:rsidRDefault="007C2AAB">
      <w:pPr>
        <w:spacing w:after="0" w:line="259" w:lineRule="auto"/>
        <w:ind w:left="722" w:firstLine="0"/>
        <w:jc w:val="left"/>
      </w:pPr>
      <w:r>
        <w:rPr>
          <w:color w:val="FF0000"/>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33" w:firstLine="0"/>
        <w:jc w:val="left"/>
      </w:pPr>
      <w:r>
        <w:rPr>
          <w:b/>
        </w:rPr>
        <w:t xml:space="preserve"> </w:t>
      </w:r>
    </w:p>
    <w:p w:rsidR="00025683" w:rsidRDefault="007C2AAB">
      <w:pPr>
        <w:spacing w:after="100" w:line="259" w:lineRule="auto"/>
        <w:ind w:left="1433" w:firstLine="0"/>
        <w:jc w:val="left"/>
      </w:pPr>
      <w:r>
        <w:rPr>
          <w:b/>
        </w:rPr>
        <w:t xml:space="preserve"> </w:t>
      </w:r>
    </w:p>
    <w:p w:rsidR="00025683" w:rsidRDefault="007C2AAB">
      <w:pPr>
        <w:spacing w:after="98" w:line="259" w:lineRule="auto"/>
        <w:ind w:left="1433" w:firstLine="0"/>
        <w:jc w:val="left"/>
      </w:pPr>
      <w:r>
        <w:rPr>
          <w:b/>
        </w:rPr>
        <w:t xml:space="preserve"> </w:t>
      </w:r>
    </w:p>
    <w:p w:rsidR="00025683" w:rsidRDefault="007C2AAB">
      <w:pPr>
        <w:spacing w:after="108"/>
        <w:ind w:left="1433" w:right="197"/>
      </w:pPr>
      <w:r>
        <w:rPr>
          <w:b/>
        </w:rPr>
        <w:t xml:space="preserve">ACUERDO DEL PLENO DE 29 DE DICIEMBRE DE 2025.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PRIMERO: Aprobar inicialmente el Plan Especial de </w:t>
      </w:r>
      <w:r>
        <w:rPr>
          <w:b/>
        </w:rPr>
        <w:t>Reforma Interior (PEPRI) de La Jiménez, en el término municipal de Candelaria, según lo indicado en el informe técnico favorable emitido con fecha 15/12/2025</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SEGUNDO: Abrir un período de información pública por plazo de un mes mediante anuncio en</w:t>
      </w:r>
      <w:r>
        <w:rPr>
          <w:b/>
        </w:rPr>
        <w:t xml:space="preserve"> el Boletín Oficial de Canarias y en el periódico de mayor difusión.</w:t>
      </w:r>
      <w:r>
        <w:rPr>
          <w:rFonts w:ascii="Times New Roman" w:eastAsia="Times New Roman" w:hAnsi="Times New Roman" w:cs="Times New Roman"/>
          <w:sz w:val="24"/>
        </w:rPr>
        <w:t xml:space="preserve"> </w:t>
      </w:r>
    </w:p>
    <w:p w:rsidR="00025683" w:rsidRDefault="007C2AAB">
      <w:pPr>
        <w:spacing w:after="12"/>
        <w:ind w:left="14" w:right="197"/>
      </w:pPr>
      <w:r>
        <w:rPr>
          <w:b/>
        </w:rPr>
        <w:t xml:space="preserve">Asimismo, </w:t>
      </w:r>
      <w:r>
        <w:rPr>
          <w:b/>
        </w:rPr>
        <w:tab/>
        <w:t xml:space="preserve">estará </w:t>
      </w:r>
      <w:r>
        <w:rPr>
          <w:b/>
        </w:rPr>
        <w:tab/>
        <w:t xml:space="preserve">disponible </w:t>
      </w:r>
      <w:r>
        <w:rPr>
          <w:b/>
        </w:rPr>
        <w:tab/>
        <w:t xml:space="preserve">en </w:t>
      </w:r>
      <w:r>
        <w:rPr>
          <w:b/>
        </w:rPr>
        <w:tab/>
        <w:t xml:space="preserve">la </w:t>
      </w:r>
      <w:r>
        <w:rPr>
          <w:b/>
        </w:rPr>
        <w:tab/>
        <w:t xml:space="preserve">sede </w:t>
      </w:r>
      <w:r>
        <w:rPr>
          <w:b/>
        </w:rPr>
        <w:tab/>
        <w:t xml:space="preserve">electrónica </w:t>
      </w:r>
      <w:r>
        <w:rPr>
          <w:b/>
        </w:rPr>
        <w:tab/>
        <w:t xml:space="preserve">de </w:t>
      </w:r>
      <w:r>
        <w:rPr>
          <w:b/>
        </w:rPr>
        <w:tab/>
        <w:t xml:space="preserve">este </w:t>
      </w:r>
      <w:r>
        <w:rPr>
          <w:b/>
        </w:rPr>
        <w:tab/>
        <w:t>Ayuntamiento https://sedeelectronica.candelaria.es/publico/tablon.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TERCERO: Solicitar, simultáneamente al tr</w:t>
      </w:r>
      <w:r>
        <w:rPr>
          <w:b/>
        </w:rPr>
        <w:t>ámite de información pública, los informes, dictámenes u otro tipo de pronunciamientos a órganos y Entidades administrativas gestores de intereses públicos afectados, previstos legalmente como preceptivos.</w:t>
      </w:r>
      <w:r>
        <w:rPr>
          <w:rFonts w:ascii="Times New Roman" w:eastAsia="Times New Roman" w:hAnsi="Times New Roman" w:cs="Times New Roman"/>
          <w:sz w:val="24"/>
        </w:rPr>
        <w:t xml:space="preserve"> </w:t>
      </w:r>
    </w:p>
    <w:p w:rsidR="00025683" w:rsidRDefault="007C2AAB">
      <w:pPr>
        <w:spacing w:after="0" w:line="259" w:lineRule="auto"/>
        <w:ind w:left="722" w:firstLine="0"/>
        <w:jc w:val="left"/>
      </w:pPr>
      <w:r>
        <w:rPr>
          <w:b/>
        </w:rPr>
        <w:t xml:space="preserve"> </w:t>
      </w:r>
    </w:p>
    <w:p w:rsidR="00025683" w:rsidRDefault="007C2AAB">
      <w:pPr>
        <w:spacing w:after="12"/>
        <w:ind w:left="14" w:right="197"/>
      </w:pPr>
      <w:r>
        <w:rPr>
          <w:rFonts w:ascii="Calibri" w:eastAsia="Calibri" w:hAnsi="Calibri" w:cs="Calibri"/>
          <w:noProof/>
        </w:rPr>
        <mc:AlternateContent>
          <mc:Choice Requires="wpg">
            <w:drawing>
              <wp:anchor distT="0" distB="0" distL="114300" distR="114300" simplePos="0" relativeHeight="2518292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4666" name="Group 4046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059" name="Rectangle 1805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060" name="Rectangle 1806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061" name="Rectangle 1806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159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4666" style="width:18.7031pt;height:264.21pt;position:absolute;mso-position-horizontal-relative:page;mso-position-horizontal:absolute;margin-left:662.928pt;mso-position-vertical-relative:page;margin-top:508.71pt;" coordsize="2375,33554">
                <v:rect id="Rectangle 1805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06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06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159 de 350 </w:t>
                        </w:r>
                      </w:p>
                    </w:txbxContent>
                  </v:textbox>
                </v:rect>
                <w10:wrap type="square"/>
              </v:group>
            </w:pict>
          </mc:Fallback>
        </mc:AlternateContent>
      </w:r>
      <w:r>
        <w:rPr>
          <w:b/>
        </w:rPr>
        <w:t xml:space="preserve">       CUARTO: Ordenar la suspensión facultativa del otorgamiento de las licencias de obras de edificaci</w:t>
      </w:r>
      <w:r>
        <w:rPr>
          <w:b/>
        </w:rPr>
        <w:t>ón (excluyendo las permitidas por la Ley 4/2017, de 13 de julio, del Suelo y de los Espacios Naturales Protegidos de Canarias, en las situaciones legales de las construcciones preexistentes y en la situación de fuera de ordenación y las provisionales permi</w:t>
      </w:r>
      <w:r>
        <w:rPr>
          <w:b/>
        </w:rPr>
        <w:t xml:space="preserve">tidas conforme al artículo 32 de la misma Ley), así como la suspensión de la autorización de obras de urbanización (excluyendo la mera conservación y mantenimiento) en todo el ámbito de la modificación. </w:t>
      </w:r>
    </w:p>
    <w:p w:rsidR="00025683" w:rsidRDefault="007C2AAB">
      <w:pPr>
        <w:spacing w:after="0" w:line="259" w:lineRule="auto"/>
        <w:ind w:left="14" w:firstLine="0"/>
        <w:jc w:val="left"/>
      </w:pPr>
      <w:r>
        <w:rPr>
          <w:b/>
        </w:rPr>
        <w:t xml:space="preserve"> </w:t>
      </w:r>
    </w:p>
    <w:p w:rsidR="00025683" w:rsidRDefault="007C2AAB">
      <w:pPr>
        <w:spacing w:after="12"/>
        <w:ind w:left="14" w:right="197" w:firstLine="708"/>
      </w:pPr>
      <w:r>
        <w:rPr>
          <w:b/>
        </w:rPr>
        <w:t xml:space="preserve">Esta suspensión surtirá efectos desde el día siguiente a la publicación del anuncio en el Boletín Oficial, y tendrá un plazo de un (1) año.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QUINTO:  Ordenar la publicación de este acuerdo de suspensión en el Boletín Oficial de Canarias y en, al m</w:t>
      </w:r>
      <w:r>
        <w:rPr>
          <w:b/>
        </w:rPr>
        <w:t xml:space="preserve">enos, dos de los diarios de mayor difusión en la provincia. </w:t>
      </w:r>
    </w:p>
    <w:p w:rsidR="00025683" w:rsidRDefault="007C2AAB">
      <w:pPr>
        <w:spacing w:after="0" w:line="259" w:lineRule="auto"/>
        <w:ind w:left="722" w:firstLine="0"/>
        <w:jc w:val="left"/>
      </w:pPr>
      <w:r>
        <w:rPr>
          <w:b/>
        </w:rPr>
        <w:t xml:space="preserve"> </w:t>
      </w:r>
    </w:p>
    <w:p w:rsidR="00025683" w:rsidRDefault="007C2AAB">
      <w:pPr>
        <w:spacing w:after="12"/>
        <w:ind w:left="14" w:right="197"/>
      </w:pPr>
      <w:r>
        <w:rPr>
          <w:b/>
        </w:rPr>
        <w:t xml:space="preserve">       SEXTO: Dar traslado a la Concejalía de Cultura, Identidad Canaria, Patrimonio Histórico, Fiestas y Deporte, para que se inicien los trámites necesarios para la inclusión en el Catálogo M</w:t>
      </w:r>
      <w:r>
        <w:rPr>
          <w:b/>
        </w:rPr>
        <w:t>unicipales de Bienes Patrimoniales Culturales, de los bienes recogidos en el inventario</w:t>
      </w:r>
      <w:r>
        <w:rPr>
          <w:rFonts w:ascii="Times New Roman" w:eastAsia="Times New Roman" w:hAnsi="Times New Roman" w:cs="Times New Roman"/>
          <w:sz w:val="24"/>
        </w:rPr>
        <w:t xml:space="preserve"> </w:t>
      </w:r>
    </w:p>
    <w:p w:rsidR="00025683" w:rsidRDefault="007C2AAB">
      <w:pPr>
        <w:spacing w:after="0" w:line="259" w:lineRule="auto"/>
        <w:ind w:left="722" w:firstLine="0"/>
        <w:jc w:val="left"/>
      </w:pPr>
      <w:r>
        <w:rPr>
          <w:b/>
        </w:rPr>
        <w:t xml:space="preserve"> </w:t>
      </w:r>
    </w:p>
    <w:p w:rsidR="00025683" w:rsidRDefault="007C2AAB">
      <w:pPr>
        <w:spacing w:after="12"/>
        <w:ind w:left="14" w:right="197"/>
      </w:pPr>
      <w:r>
        <w:rPr>
          <w:b/>
        </w:rPr>
        <w:t xml:space="preserve">       SÉPTIMO: Contra el acuerdo de suspensión del otorgamiento de licencias, se podrá interponer recurso potestativo de reposición ante el órgano que lo dictó en e</w:t>
      </w:r>
      <w:r>
        <w:rPr>
          <w:b/>
        </w:rPr>
        <w:t>l plazo de un mes a contar desde el día siguiente de su notificación o publicación, o recurso contencioso-administrativo ante la Jurisdicción Contenciosa-administrativa, en el plazo de dos meses a contar desde el día siguiente de su notificación o publicac</w:t>
      </w:r>
      <w:r>
        <w:rPr>
          <w:b/>
        </w:rPr>
        <w:t>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38" w:line="259" w:lineRule="auto"/>
        <w:ind w:left="14" w:firstLine="0"/>
        <w:jc w:val="left"/>
      </w:pPr>
      <w:r>
        <w:rPr>
          <w:b/>
        </w:rPr>
        <w:t xml:space="preserve"> </w:t>
      </w:r>
    </w:p>
    <w:p w:rsidR="00025683" w:rsidRDefault="007C2AAB">
      <w:pPr>
        <w:spacing w:after="4" w:line="245" w:lineRule="auto"/>
        <w:ind w:left="9" w:right="193" w:hanging="10"/>
      </w:pPr>
      <w:r>
        <w:rPr>
          <w:rFonts w:ascii="Calibri" w:eastAsia="Calibri" w:hAnsi="Calibri" w:cs="Calibri"/>
          <w:noProof/>
        </w:rPr>
        <mc:AlternateContent>
          <mc:Choice Requires="wpg">
            <w:drawing>
              <wp:anchor distT="0" distB="0" distL="114300" distR="114300" simplePos="0" relativeHeight="251830272" behindDoc="1" locked="0" layoutInCell="1" allowOverlap="1">
                <wp:simplePos x="0" y="0"/>
                <wp:positionH relativeFrom="column">
                  <wp:posOffset>9144</wp:posOffset>
                </wp:positionH>
                <wp:positionV relativeFrom="paragraph">
                  <wp:posOffset>194896</wp:posOffset>
                </wp:positionV>
                <wp:extent cx="5941391" cy="414528"/>
                <wp:effectExtent l="0" t="0" r="0" b="0"/>
                <wp:wrapNone/>
                <wp:docPr id="404667" name="Group 404667"/>
                <wp:cNvGraphicFramePr/>
                <a:graphic xmlns:a="http://schemas.openxmlformats.org/drawingml/2006/main">
                  <a:graphicData uri="http://schemas.microsoft.com/office/word/2010/wordprocessingGroup">
                    <wpg:wgp>
                      <wpg:cNvGrpSpPr/>
                      <wpg:grpSpPr>
                        <a:xfrm>
                          <a:off x="0" y="0"/>
                          <a:ext cx="5941391" cy="414528"/>
                          <a:chOff x="0" y="0"/>
                          <a:chExt cx="5941391" cy="414528"/>
                        </a:xfrm>
                      </wpg:grpSpPr>
                      <wps:wsp>
                        <wps:cNvPr id="446878" name="Shape 446878"/>
                        <wps:cNvSpPr/>
                        <wps:spPr>
                          <a:xfrm>
                            <a:off x="772617" y="0"/>
                            <a:ext cx="5168774" cy="210312"/>
                          </a:xfrm>
                          <a:custGeom>
                            <a:avLst/>
                            <a:gdLst/>
                            <a:ahLst/>
                            <a:cxnLst/>
                            <a:rect l="0" t="0" r="0" b="0"/>
                            <a:pathLst>
                              <a:path w="5168774" h="210312">
                                <a:moveTo>
                                  <a:pt x="0" y="0"/>
                                </a:moveTo>
                                <a:lnTo>
                                  <a:pt x="5168774" y="0"/>
                                </a:lnTo>
                                <a:lnTo>
                                  <a:pt x="5168774"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6879" name="Shape 446879"/>
                        <wps:cNvSpPr/>
                        <wps:spPr>
                          <a:xfrm>
                            <a:off x="0" y="204216"/>
                            <a:ext cx="928116" cy="210312"/>
                          </a:xfrm>
                          <a:custGeom>
                            <a:avLst/>
                            <a:gdLst/>
                            <a:ahLst/>
                            <a:cxnLst/>
                            <a:rect l="0" t="0" r="0" b="0"/>
                            <a:pathLst>
                              <a:path w="928116" h="210312">
                                <a:moveTo>
                                  <a:pt x="0" y="0"/>
                                </a:moveTo>
                                <a:lnTo>
                                  <a:pt x="928116" y="0"/>
                                </a:lnTo>
                                <a:lnTo>
                                  <a:pt x="928116"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w:pict>
              <v:group id="Group 404667" style="width:467.826pt;height:32.64pt;position:absolute;z-index:-2147483615;mso-position-horizontal-relative:text;mso-position-horizontal:absolute;margin-left:0.720001pt;mso-position-vertical-relative:text;margin-top:15.3462pt;" coordsize="59413,4145">
                <v:shape id="Shape 446880" style="position:absolute;width:51687;height:2103;left:7726;top:0;" coordsize="5168774,210312" path="m0,0l5168774,0l5168774,210312l0,210312l0,0">
                  <v:stroke weight="0pt" endcap="square" joinstyle="miter" miterlimit="10" on="false" color="#000000" opacity="0"/>
                  <v:fill on="true" color="#f5f7f9"/>
                </v:shape>
                <v:shape id="Shape 446881" style="position:absolute;width:9281;height:2103;left:0;top:2042;" coordsize="928116,210312" path="m0,0l928116,0l928116,210312l0,210312l0,0">
                  <v:stroke weight="0pt" endcap="square" joinstyle="miter" miterlimit="10" on="false" color="#000000" opacity="0"/>
                  <v:fill on="true" color="#f5f7f9"/>
                </v:shape>
              </v:group>
            </w:pict>
          </mc:Fallback>
        </mc:AlternateContent>
      </w:r>
      <w:r>
        <w:rPr>
          <w:b/>
          <w:sz w:val="28"/>
        </w:rPr>
        <w:t xml:space="preserve">7.- </w:t>
      </w:r>
      <w:r>
        <w:rPr>
          <w:b/>
          <w:sz w:val="28"/>
          <w:u w:val="single" w:color="000000"/>
        </w:rPr>
        <w:t>Expediente 3111/2023</w:t>
      </w:r>
      <w:r>
        <w:rPr>
          <w:b/>
          <w:sz w:val="28"/>
        </w:rPr>
        <w:t>. Propuesta de la Alcaldesa-Presidenta al Pleno de la Aprobación inicial Plan Especial Parque periurbano La Vera de Igueste.</w:t>
      </w:r>
      <w:r>
        <w:rPr>
          <w:rFonts w:ascii="Times New Roman" w:eastAsia="Times New Roman" w:hAnsi="Times New Roman" w:cs="Times New Roman"/>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0" w:line="259" w:lineRule="auto"/>
        <w:ind w:left="14" w:firstLine="0"/>
        <w:jc w:val="left"/>
      </w:pPr>
      <w:r>
        <w:rPr>
          <w:b/>
        </w:rPr>
        <w:t xml:space="preserve"> </w:t>
      </w:r>
    </w:p>
    <w:p w:rsidR="00025683" w:rsidRDefault="007C2AAB">
      <w:pPr>
        <w:spacing w:after="1" w:line="249" w:lineRule="auto"/>
        <w:ind w:left="17" w:right="197" w:hanging="10"/>
      </w:pPr>
      <w:r>
        <w:rPr>
          <w:b/>
          <w:sz w:val="24"/>
        </w:rPr>
        <w:t>Consta en el expediente Informe Jurídico emitido por Dª. Olga Fernández Méndez</w:t>
      </w:r>
      <w:r>
        <w:rPr>
          <w:b/>
          <w:sz w:val="24"/>
        </w:rPr>
        <w:t xml:space="preserve">Bencomo, que desempeña el puesto de trabajo de Técnico de Administración General, de 17 de diciembre de 2025, del siguiente tenor literal: </w:t>
      </w:r>
    </w:p>
    <w:p w:rsidR="00025683" w:rsidRDefault="007C2AAB">
      <w:pPr>
        <w:spacing w:after="0" w:line="259" w:lineRule="auto"/>
        <w:ind w:left="14" w:firstLine="0"/>
        <w:jc w:val="left"/>
      </w:pPr>
      <w:r>
        <w:rPr>
          <w:b/>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pStyle w:val="Ttulo4"/>
        <w:ind w:left="274" w:right="458"/>
      </w:pPr>
      <w:r>
        <w:t>“INFORME JURÍDICO</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La Técnico de Administración General Olga Fernández Méndez- Bencomo, en el expediente anter</w:t>
      </w:r>
      <w:r>
        <w:t xml:space="preserve">iormente indicado emite el siguiente informe conformado por el Secretario General Octavio Manuel Fernández Hernández: </w:t>
      </w:r>
    </w:p>
    <w:p w:rsidR="00025683" w:rsidRDefault="007C2AAB">
      <w:pPr>
        <w:spacing w:after="0" w:line="259" w:lineRule="auto"/>
        <w:ind w:left="14" w:firstLine="0"/>
        <w:jc w:val="left"/>
      </w:pPr>
      <w:r>
        <w:rPr>
          <w:b/>
        </w:rPr>
        <w:t xml:space="preserve"> </w:t>
      </w:r>
    </w:p>
    <w:p w:rsidR="00025683" w:rsidRDefault="007C2AAB">
      <w:pPr>
        <w:pStyle w:val="Ttulo4"/>
        <w:ind w:left="274" w:right="463"/>
      </w:pPr>
      <w:r>
        <w:t xml:space="preserve">ANTECEDENTES </w:t>
      </w:r>
    </w:p>
    <w:p w:rsidR="00025683" w:rsidRDefault="007C2AAB">
      <w:pPr>
        <w:spacing w:after="0" w:line="259" w:lineRule="auto"/>
        <w:ind w:left="14" w:firstLine="0"/>
        <w:jc w:val="left"/>
      </w:pPr>
      <w:r>
        <w:t xml:space="preserve"> </w:t>
      </w:r>
    </w:p>
    <w:p w:rsidR="00025683" w:rsidRDefault="007C2AAB">
      <w:pPr>
        <w:ind w:left="14" w:right="200"/>
      </w:pPr>
      <w:r>
        <w:t>Visto el expediente número 3111/2023 que se tramita en esta Corporación en relación a la aprobación del Plan Especial d</w:t>
      </w:r>
      <w:r>
        <w:t xml:space="preserve">e Ordenación del Parque Periurbano de La Vera de Igueste, y teniendo en cuenta que: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312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4668" name="Group 4046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190" name="Rectangle 1819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191" name="Rectangle 1819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192" name="Rectangle 1819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160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4668" style="width:18.7031pt;height:264.21pt;position:absolute;mso-position-horizontal-relative:page;mso-position-horizontal:absolute;margin-left:662.928pt;mso-position-vertical-relative:page;margin-top:508.71pt;" coordsize="2375,33554">
                <v:rect id="Rectangle 1819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19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19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160 de 350 </w:t>
                        </w:r>
                      </w:p>
                    </w:txbxContent>
                  </v:textbox>
                </v:rect>
                <w10:wrap type="square"/>
              </v:group>
            </w:pict>
          </mc:Fallback>
        </mc:AlternateContent>
      </w:r>
      <w:r>
        <w:rPr>
          <w:b/>
        </w:rPr>
        <w:t xml:space="preserve"> </w:t>
      </w:r>
    </w:p>
    <w:p w:rsidR="00025683" w:rsidRDefault="007C2AAB">
      <w:pPr>
        <w:spacing w:after="3" w:line="238" w:lineRule="auto"/>
        <w:ind w:left="9" w:hanging="10"/>
        <w:jc w:val="left"/>
      </w:pPr>
      <w:r>
        <w:rPr>
          <w:b/>
        </w:rPr>
        <w:t xml:space="preserve">PRIMERO. - </w:t>
      </w:r>
      <w:r>
        <w:t>El Plan General de Ordenación vigente en Candelaria, aprobado definitivamente el 10 de noviembre de 2006 y publicado el 10 de mayo de 2007 en el BOC</w:t>
      </w:r>
      <w:r>
        <w:t xml:space="preserve"> nº 92 y el 17 de mayo de 2007 en el BOP nº 71 (en adelante, PGO) delimita un área de 62.940 m² en la zona de Vera de Igueste, bajo el Camino de Candelaria, cuya ordenación pormenorizada queda remitida a un Plan Especial.</w:t>
      </w:r>
      <w:r>
        <w:rPr>
          <w:rFonts w:ascii="Times New Roman" w:eastAsia="Times New Roman" w:hAnsi="Times New Roman" w:cs="Times New Roman"/>
          <w:sz w:val="24"/>
        </w:rPr>
        <w:t xml:space="preserve"> </w:t>
      </w:r>
    </w:p>
    <w:p w:rsidR="00025683" w:rsidRDefault="007C2AAB">
      <w:pPr>
        <w:ind w:left="14" w:right="200"/>
      </w:pPr>
      <w:r>
        <w:t>El suelo se clasifica en su integridad como Suelo Rústico, con categoría de SR de Protección Ambiental y subcategoría de Protección Paisajística. Su calificación es de Parque Periurbano y uso característico Zona Verde con Dotaciones, con usos complementari</w:t>
      </w:r>
      <w:r>
        <w:t xml:space="preserve">os centro de interpretación, deportes al aire libre, pequeño restaurante y usos de servicio. </w:t>
      </w:r>
    </w:p>
    <w:p w:rsidR="00025683" w:rsidRDefault="007C2AAB">
      <w:pPr>
        <w:spacing w:after="0" w:line="259" w:lineRule="auto"/>
        <w:ind w:left="14" w:firstLine="0"/>
        <w:jc w:val="left"/>
      </w:pPr>
      <w:r>
        <w:t xml:space="preserve"> </w:t>
      </w:r>
    </w:p>
    <w:p w:rsidR="00025683" w:rsidRDefault="007C2AAB">
      <w:pPr>
        <w:ind w:left="14" w:right="200"/>
      </w:pPr>
      <w:r>
        <w:t>Tal y como se recoge en la Ficha correspondiente del Plan General de Ordenación, se trata de un plan especial de iniciativa pública en su desarrollo y ejecución</w:t>
      </w:r>
      <w:r>
        <w:t xml:space="preserve">, con un plazo previsto para su elaboración y aprobación de 5 años, y de 15 años para su completa ejecución.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SEGUNDO. - </w:t>
      </w:r>
      <w:r>
        <w:t xml:space="preserve">Mediante acuerdo del Pleno adoptado en sesión celebrada el </w:t>
      </w:r>
      <w:r>
        <w:rPr>
          <w:b/>
        </w:rPr>
        <w:t>30 de marzo de 2023</w:t>
      </w:r>
      <w:r>
        <w:t xml:space="preserve">, se encargó a </w:t>
      </w:r>
      <w:r>
        <w:rPr>
          <w:b/>
        </w:rPr>
        <w:t>Gestión y Planeamiento Territorial y Med</w:t>
      </w:r>
      <w:r>
        <w:rPr>
          <w:b/>
        </w:rPr>
        <w:t>ioambiental, S.A. (GESPLAN)</w:t>
      </w:r>
      <w:r>
        <w:t xml:space="preserve">, adscrita a la </w:t>
      </w:r>
      <w:r>
        <w:rPr>
          <w:b/>
        </w:rPr>
        <w:t>Consejería de Transición Ecológica, Lucha contra el Cambio Climático y Planificación Territorial del Gobierno de Canarias</w:t>
      </w:r>
      <w:r>
        <w:t>, la elaboración del Plan Especial de Ordenación del Parque Periurbano de La Vera de Igueste</w:t>
      </w:r>
      <w:r>
        <w:t>.</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TERCERO</w:t>
      </w:r>
      <w:r>
        <w:t xml:space="preserve">. Mediante acuerdo de la Comisión Autonómica de Evaluación Ambiental, de fecha 22 de mayo de 2025, se </w:t>
      </w:r>
      <w:r>
        <w:rPr>
          <w:b/>
        </w:rPr>
        <w:t xml:space="preserve">resuelve </w:t>
      </w:r>
      <w:r>
        <w:t xml:space="preserve">formular, por delegación del Ayuntamiento de Candelaria, el </w:t>
      </w:r>
      <w:r>
        <w:rPr>
          <w:b/>
        </w:rPr>
        <w:t xml:space="preserve">Documento de Alcance </w:t>
      </w:r>
      <w:r>
        <w:t xml:space="preserve">del procedimiento de </w:t>
      </w:r>
      <w:r>
        <w:rPr>
          <w:b/>
        </w:rPr>
        <w:t>Evaluación Ambiental Estratégic</w:t>
      </w:r>
      <w:r>
        <w:rPr>
          <w:b/>
        </w:rPr>
        <w:t xml:space="preserve">a Ordinaria </w:t>
      </w:r>
      <w:r>
        <w:t xml:space="preserve">del </w:t>
      </w:r>
      <w:r>
        <w:rPr>
          <w:i/>
        </w:rPr>
        <w:t>Plan Especial de Ordenación del Parque Periurbano de la Vera de Igueste</w:t>
      </w:r>
      <w:r>
        <w:t>, en el término municipal de Candelaria, que se incorpora como Anexo al presente acuerdo.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CUARTO.</w:t>
      </w:r>
      <w:r>
        <w:t>- Obra en el expediente la siguiente documentación para la aprobación</w:t>
      </w:r>
      <w:r>
        <w:t xml:space="preserve"> inicial: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Tomo I.A Memoria de Información y Diagnóstico  </w:t>
      </w:r>
    </w:p>
    <w:p w:rsidR="00025683" w:rsidRDefault="007C2AAB">
      <w:pPr>
        <w:ind w:left="14" w:right="200"/>
      </w:pPr>
      <w:r>
        <w:t xml:space="preserve">Tomo I.B.1 Planos de Información </w:t>
      </w:r>
    </w:p>
    <w:p w:rsidR="00025683" w:rsidRDefault="007C2AAB">
      <w:pPr>
        <w:spacing w:after="0" w:line="259" w:lineRule="auto"/>
        <w:ind w:left="14" w:firstLine="0"/>
        <w:jc w:val="left"/>
      </w:pPr>
      <w:r>
        <w:t xml:space="preserve"> </w:t>
      </w:r>
    </w:p>
    <w:p w:rsidR="00025683" w:rsidRDefault="007C2AAB">
      <w:pPr>
        <w:ind w:left="14" w:right="5454"/>
      </w:pPr>
      <w:r>
        <w:t xml:space="preserve">Documento para Aprobación Inicial: Tomo II C – Normativa </w:t>
      </w:r>
    </w:p>
    <w:p w:rsidR="00025683" w:rsidRDefault="007C2AAB">
      <w:pPr>
        <w:ind w:left="14" w:right="200"/>
      </w:pPr>
      <w:r>
        <w:t xml:space="preserve">Tomo I.B.2 Planos de Diagnóstico  </w:t>
      </w:r>
    </w:p>
    <w:p w:rsidR="00025683" w:rsidRDefault="007C2AAB">
      <w:pPr>
        <w:ind w:left="14" w:right="200"/>
      </w:pPr>
      <w:r>
        <w:t xml:space="preserve">Anexo I Tomo I Análisis Histórico  </w:t>
      </w:r>
    </w:p>
    <w:p w:rsidR="00025683" w:rsidRDefault="007C2AAB">
      <w:pPr>
        <w:ind w:left="14" w:right="200"/>
      </w:pPr>
      <w:r>
        <w:t>Anexo II Tomo I Análisis Patr</w:t>
      </w:r>
      <w:r>
        <w:t xml:space="preserve">imonial  </w:t>
      </w:r>
    </w:p>
    <w:p w:rsidR="00025683" w:rsidRDefault="007C2AAB">
      <w:pPr>
        <w:ind w:left="14" w:right="200"/>
      </w:pPr>
      <w:r>
        <w:t xml:space="preserve">Anexo II Tomo I Análisis Socioeconómico </w:t>
      </w:r>
    </w:p>
    <w:p w:rsidR="00025683" w:rsidRDefault="007C2AAB">
      <w:pPr>
        <w:spacing w:after="0" w:line="259" w:lineRule="auto"/>
        <w:ind w:left="14" w:firstLine="0"/>
        <w:jc w:val="left"/>
      </w:pPr>
      <w: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t xml:space="preserve">Tomo II.B Planos de Ordenación  </w:t>
      </w:r>
    </w:p>
    <w:p w:rsidR="00025683" w:rsidRDefault="007C2AAB">
      <w:pPr>
        <w:ind w:left="14" w:right="200"/>
      </w:pPr>
      <w:r>
        <w:t xml:space="preserve">Tomo II.C Normativa  </w:t>
      </w:r>
    </w:p>
    <w:p w:rsidR="00025683" w:rsidRDefault="007C2AAB">
      <w:pPr>
        <w:spacing w:after="0" w:line="259" w:lineRule="auto"/>
        <w:ind w:left="14" w:firstLine="0"/>
        <w:jc w:val="left"/>
      </w:pPr>
      <w:r>
        <w:t xml:space="preserve"> </w:t>
      </w:r>
    </w:p>
    <w:p w:rsidR="00025683" w:rsidRDefault="007C2AAB">
      <w:pPr>
        <w:ind w:left="14" w:right="200"/>
      </w:pPr>
      <w:r>
        <w:t xml:space="preserve">Tomo II.D Informe de Sostenibilidad Económica  </w:t>
      </w:r>
    </w:p>
    <w:p w:rsidR="00025683" w:rsidRDefault="007C2AAB">
      <w:pPr>
        <w:spacing w:after="0" w:line="259" w:lineRule="auto"/>
        <w:ind w:left="14" w:firstLine="0"/>
        <w:jc w:val="left"/>
      </w:pPr>
      <w:r>
        <w:t xml:space="preserve"> </w:t>
      </w:r>
    </w:p>
    <w:p w:rsidR="00025683" w:rsidRDefault="007C2AAB">
      <w:pPr>
        <w:ind w:left="14" w:right="200"/>
      </w:pPr>
      <w:r>
        <w:t xml:space="preserve">Anexo I Tomo II Criterios de diseño para el Parque Periurbano de La Vera de Igueste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323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4340" name="Group 4043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318" name="Rectangle 1831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319" name="Rectangle 1831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320" name="Rectangle 1832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161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4340" style="width:18.7031pt;height:264.21pt;position:absolute;mso-position-horizontal-relative:page;mso-position-horizontal:absolute;margin-left:662.928pt;mso-position-vertical-relative:page;margin-top:508.71pt;" coordsize="2375,33554">
                <v:rect id="Rectangle 1831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31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32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161 de 350 </w:t>
                        </w:r>
                      </w:p>
                    </w:txbxContent>
                  </v:textbox>
                </v:rect>
                <w10:wrap type="square"/>
              </v:group>
            </w:pict>
          </mc:Fallback>
        </mc:AlternateContent>
      </w: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 xml:space="preserve">Tomo III.B Planos de Información Ambiental  </w:t>
      </w:r>
    </w:p>
    <w:p w:rsidR="00025683" w:rsidRDefault="007C2AAB">
      <w:pPr>
        <w:ind w:left="14" w:right="200"/>
      </w:pPr>
      <w:r>
        <w:t xml:space="preserve">Anexo I Tomo III Resumen no Técnico del Estudio </w:t>
      </w:r>
      <w:r>
        <w:t xml:space="preserve">Ambiental Estratégico  </w:t>
      </w:r>
    </w:p>
    <w:p w:rsidR="00025683" w:rsidRDefault="007C2AAB">
      <w:pPr>
        <w:ind w:left="14" w:right="200"/>
      </w:pPr>
      <w:r>
        <w:t xml:space="preserve">Anexo II Tomo III Análisis de Integración Paisajística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QUINTO</w:t>
      </w:r>
      <w:r>
        <w:t>.- Consta en el expediente informe técnico emitido por la Arquitecta Municipal de fecha 15/12/2025 que transcrito literalmente dice:</w:t>
      </w:r>
      <w:r>
        <w:rPr>
          <w:rFonts w:ascii="Times New Roman" w:eastAsia="Times New Roman" w:hAnsi="Times New Roman" w:cs="Times New Roman"/>
          <w:sz w:val="24"/>
        </w:rPr>
        <w:t xml:space="preserve"> </w:t>
      </w:r>
    </w:p>
    <w:p w:rsidR="00025683" w:rsidRDefault="007C2AAB">
      <w:pPr>
        <w:ind w:left="14" w:right="200"/>
      </w:pPr>
      <w:r>
        <w:t xml:space="preserve">“…Visto el expediente antedicho, Nayra Guzmán Hernández, arquitecta municipal, emite el siguiente informe: </w:t>
      </w:r>
    </w:p>
    <w:p w:rsidR="00025683" w:rsidRDefault="007C2AAB">
      <w:pPr>
        <w:spacing w:after="0" w:line="259" w:lineRule="auto"/>
        <w:ind w:left="14" w:firstLine="0"/>
        <w:jc w:val="left"/>
      </w:pPr>
      <w:r>
        <w:t xml:space="preserve"> </w:t>
      </w:r>
    </w:p>
    <w:p w:rsidR="00025683" w:rsidRDefault="007C2AAB">
      <w:pPr>
        <w:ind w:left="14" w:right="200"/>
      </w:pPr>
      <w:r>
        <w:t xml:space="preserve">ANTECEDENTES  </w:t>
      </w:r>
    </w:p>
    <w:p w:rsidR="00025683" w:rsidRDefault="007C2AAB">
      <w:pPr>
        <w:spacing w:after="0" w:line="259" w:lineRule="auto"/>
        <w:ind w:left="14" w:firstLine="0"/>
        <w:jc w:val="left"/>
      </w:pPr>
      <w:r>
        <w:t xml:space="preserve"> </w:t>
      </w:r>
    </w:p>
    <w:p w:rsidR="00025683" w:rsidRDefault="007C2AAB">
      <w:pPr>
        <w:ind w:left="14" w:right="200"/>
      </w:pPr>
      <w:r>
        <w:t>Con fecha 23 de enero de 2025, la Ilma. Sra. Viceconsejera de Política Territorial y Reto Demográfico ha dictado Resolución nº 14</w:t>
      </w:r>
      <w:r>
        <w:t xml:space="preserve"> por la que se inicia el procedimiento de Evaluación Ambiental Estratégica Ordinaria del Plan Especial Parque Periurbano La Vera de Igueste, Candelaria, se sometió a consultas de las administraciones públicas afectadas y de las personas interesadas. Se pub</w:t>
      </w:r>
      <w:r>
        <w:t xml:space="preserve">licó la resolución en los boletines oficiales y en la sede electrónica, durante el plazo de 45 días hábiles. </w:t>
      </w:r>
    </w:p>
    <w:p w:rsidR="00025683" w:rsidRDefault="007C2AAB">
      <w:pPr>
        <w:spacing w:after="0" w:line="259" w:lineRule="auto"/>
        <w:ind w:left="14" w:firstLine="0"/>
        <w:jc w:val="left"/>
      </w:pPr>
      <w:r>
        <w:t xml:space="preserve"> </w:t>
      </w:r>
    </w:p>
    <w:p w:rsidR="00025683" w:rsidRDefault="007C2AAB">
      <w:pPr>
        <w:ind w:left="14" w:right="200"/>
      </w:pPr>
      <w:r>
        <w:t xml:space="preserve">La Comisión Autonómica de Evaluación Ambiental, en sesión celebrada el 22 de mayo de 2025, acuerda formular, por delegación del Ayuntamiento de </w:t>
      </w:r>
      <w:r>
        <w:t xml:space="preserve">Candelaria, el DOCUMENTO DE ALCANCE en el procedimiento de la Evaluación Ambiental Estratégica Ordinaria del Plan Especial de Ordenación del Parque Periurbano de la Vera de Igueste, en el Término Municipal de Candelaria que se incorpora como Anexo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DOC</w:t>
      </w:r>
      <w:r>
        <w:t>UMENTACIÓN INTEGRANTE DE LA APROBACION INICIAL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Con fecha 22 de octubre de 2025 y con registro de entrada 2025-S-RC-2806, Ainoha Castro Díaz, en representación de GESPLAN S.A, aporta los siguientes documentos, para la aprobación inicial:  </w:t>
      </w:r>
    </w:p>
    <w:p w:rsidR="00025683" w:rsidRDefault="007C2AAB">
      <w:pPr>
        <w:ind w:left="14" w:right="200"/>
      </w:pPr>
      <w:r>
        <w:t>Documento de I</w:t>
      </w:r>
      <w:r>
        <w:t xml:space="preserve">nformación:  </w:t>
      </w:r>
    </w:p>
    <w:p w:rsidR="00025683" w:rsidRDefault="007C2AAB">
      <w:pPr>
        <w:ind w:left="14" w:right="200"/>
      </w:pPr>
      <w:r>
        <w:t xml:space="preserve">Tomo I.A Memoria de Información y Diagnóstico  </w:t>
      </w:r>
    </w:p>
    <w:p w:rsidR="00025683" w:rsidRDefault="007C2AAB">
      <w:pPr>
        <w:ind w:left="14" w:right="200"/>
      </w:pPr>
      <w:r>
        <w:t xml:space="preserve">Tomo I.B.1 Planos de Información </w:t>
      </w:r>
    </w:p>
    <w:p w:rsidR="00025683" w:rsidRDefault="007C2AAB">
      <w:pPr>
        <w:spacing w:after="0" w:line="259" w:lineRule="auto"/>
        <w:ind w:left="14" w:firstLine="0"/>
        <w:jc w:val="left"/>
      </w:pPr>
      <w:r>
        <w:t xml:space="preserve"> </w:t>
      </w:r>
    </w:p>
    <w:p w:rsidR="00025683" w:rsidRDefault="007C2AAB">
      <w:pPr>
        <w:ind w:left="14" w:right="5454"/>
      </w:pPr>
      <w:r>
        <w:t xml:space="preserve">Documento para Aprobación Inicial: Tomo II C – Normativa </w:t>
      </w:r>
    </w:p>
    <w:p w:rsidR="00025683" w:rsidRDefault="007C2AAB">
      <w:pPr>
        <w:ind w:left="14" w:right="200"/>
      </w:pPr>
      <w:r>
        <w:t xml:space="preserve">Tomo I.B.2 Planos de Diagnóstico  </w:t>
      </w:r>
    </w:p>
    <w:p w:rsidR="00025683" w:rsidRDefault="007C2AAB">
      <w:pPr>
        <w:ind w:left="14" w:right="200"/>
      </w:pPr>
      <w:r>
        <w:t xml:space="preserve">Anexo I Tomo I Análisis Histórico  </w:t>
      </w:r>
    </w:p>
    <w:p w:rsidR="00025683" w:rsidRDefault="007C2AAB">
      <w:pPr>
        <w:ind w:left="14" w:right="200"/>
      </w:pPr>
      <w:r>
        <w:t>Anexo II Tomo I Análisis Patr</w:t>
      </w:r>
      <w:r>
        <w:t xml:space="preserve">imonial  </w:t>
      </w:r>
    </w:p>
    <w:p w:rsidR="00025683" w:rsidRDefault="007C2AAB">
      <w:pPr>
        <w:ind w:left="14" w:right="200"/>
      </w:pPr>
      <w:r>
        <w:t xml:space="preserve">Anexo II Tomo I Análisis Socioeconómico </w:t>
      </w:r>
    </w:p>
    <w:p w:rsidR="00025683" w:rsidRDefault="007C2AAB">
      <w:pPr>
        <w:spacing w:after="0" w:line="259" w:lineRule="auto"/>
        <w:ind w:left="14" w:firstLine="0"/>
        <w:jc w:val="left"/>
      </w:pPr>
      <w: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333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4895" name="Group 4048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442" name="Rectangle 1844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443" name="Rectangle 1844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444" name="Rectangle 1844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162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4895" style="width:18.7031pt;height:264.21pt;position:absolute;mso-position-horizontal-relative:page;mso-position-horizontal:absolute;margin-left:662.928pt;mso-position-vertical-relative:page;margin-top:508.71pt;" coordsize="2375,33554">
                <v:rect id="Rectangle 1844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44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44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162 de 350 </w:t>
                        </w:r>
                      </w:p>
                    </w:txbxContent>
                  </v:textbox>
                </v:rect>
                <w10:wrap type="square"/>
              </v:group>
            </w:pict>
          </mc:Fallback>
        </mc:AlternateContent>
      </w:r>
      <w:r>
        <w:t xml:space="preserve">Tomo II.B Planos de Ordenación  </w:t>
      </w:r>
    </w:p>
    <w:p w:rsidR="00025683" w:rsidRDefault="007C2AAB">
      <w:pPr>
        <w:ind w:left="14" w:right="200"/>
      </w:pPr>
      <w:r>
        <w:t xml:space="preserve">Tomo II.C Normativa  </w:t>
      </w:r>
    </w:p>
    <w:p w:rsidR="00025683" w:rsidRDefault="007C2AAB">
      <w:pPr>
        <w:ind w:left="14" w:right="200"/>
      </w:pPr>
      <w:r>
        <w:t xml:space="preserve">Tomo II.D Informe de Sostenibilidad Económica  </w:t>
      </w:r>
    </w:p>
    <w:p w:rsidR="00025683" w:rsidRDefault="007C2AAB">
      <w:pPr>
        <w:ind w:left="14" w:right="200"/>
      </w:pPr>
      <w:r>
        <w:t>Anexo I Tomo II Criterios de diseño para el Parque Periurb</w:t>
      </w:r>
      <w:r>
        <w:t xml:space="preserve">ano de La Vera de Igueste  </w:t>
      </w:r>
    </w:p>
    <w:p w:rsidR="00025683" w:rsidRDefault="007C2AAB">
      <w:pPr>
        <w:spacing w:after="0" w:line="259" w:lineRule="auto"/>
        <w:ind w:left="14" w:firstLine="0"/>
        <w:jc w:val="left"/>
      </w:pP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 xml:space="preserve">Tomo III.B Planos de Información Ambiental  </w:t>
      </w:r>
    </w:p>
    <w:p w:rsidR="00025683" w:rsidRDefault="007C2AAB">
      <w:pPr>
        <w:ind w:left="14" w:right="200"/>
      </w:pPr>
      <w:r>
        <w:t xml:space="preserve">Anexo I Tomo III Resumen no Técnico del Estudio Ambiental Estratégico  </w:t>
      </w:r>
    </w:p>
    <w:p w:rsidR="00025683" w:rsidRDefault="007C2AAB">
      <w:pPr>
        <w:ind w:left="14" w:right="200"/>
      </w:pPr>
      <w:r>
        <w:t>Anexo II Tomo III Análisis de Integración P</w:t>
      </w:r>
      <w:r>
        <w:t xml:space="preserve">aisajística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OBJETO DE LA MODIFICACION  </w:t>
      </w:r>
    </w:p>
    <w:p w:rsidR="00025683" w:rsidRDefault="007C2AAB">
      <w:pPr>
        <w:spacing w:after="0" w:line="259" w:lineRule="auto"/>
        <w:ind w:left="14" w:firstLine="0"/>
        <w:jc w:val="left"/>
      </w:pPr>
      <w:r>
        <w:t xml:space="preserve"> </w:t>
      </w:r>
    </w:p>
    <w:p w:rsidR="00025683" w:rsidRDefault="007C2AAB">
      <w:pPr>
        <w:ind w:left="14" w:right="200"/>
      </w:pPr>
      <w:r>
        <w:t>El Plan Especial del Parque Periurbano de La Vera de Igueste (en adelante PEPP de La Vera de Igueste) está concebido como Instrumento urbanístico de desarrollo de las determinaciones previstas por el vigente Plan General de Ordenación de Candelaria en el á</w:t>
      </w:r>
      <w:r>
        <w:t xml:space="preserve">mbito “PE Parque Periurbano La Vera de Igueste”, teniendo como objetivo desarrollar y completar las determinaciones de ordenación pormenorizada en su ámbito. </w:t>
      </w:r>
    </w:p>
    <w:p w:rsidR="00025683" w:rsidRDefault="007C2AAB">
      <w:pPr>
        <w:spacing w:after="0" w:line="259" w:lineRule="auto"/>
        <w:ind w:left="14" w:firstLine="0"/>
        <w:jc w:val="left"/>
      </w:pPr>
      <w:r>
        <w:t xml:space="preserve"> </w:t>
      </w:r>
    </w:p>
    <w:p w:rsidR="00025683" w:rsidRDefault="007C2AAB">
      <w:pPr>
        <w:ind w:left="14" w:right="200"/>
      </w:pPr>
      <w:r>
        <w:t>El ámbito del Plan Especial recoge los terrenos al este del camino La Candelaria, entre el Barr</w:t>
      </w:r>
      <w:r>
        <w:t xml:space="preserve">anco de los Mocanes y el Barranco de Chajarche con una superficie de 62.940 m2s.  </w:t>
      </w:r>
    </w:p>
    <w:p w:rsidR="00025683" w:rsidRDefault="007C2AAB">
      <w:pPr>
        <w:spacing w:after="0" w:line="259" w:lineRule="auto"/>
        <w:ind w:left="14" w:firstLine="0"/>
        <w:jc w:val="left"/>
      </w:pPr>
      <w:r>
        <w:t xml:space="preserve"> </w:t>
      </w:r>
    </w:p>
    <w:p w:rsidR="00025683" w:rsidRDefault="007C2AAB">
      <w:pPr>
        <w:ind w:left="14" w:right="200"/>
      </w:pPr>
      <w:r>
        <w:t>El ámbito del Plan Especial tiene una franja al borde del camino La Candelaria contenido en la delimitación del Bien de Interés Cultural (BIC) en la categoría de Sitio His</w:t>
      </w:r>
      <w:r>
        <w:t xml:space="preserve">tórico, a favor del Camino de Candelaria, declarado mediante el Decreto 227/2008, de 25 de noviembre, del Gobierno de Canarias y publicado en el BOC nº245 de 9 de diciembre de 2008.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Los terrenos incluidos en el ámbito del PEPP de La Vera de Igueste est</w:t>
      </w:r>
      <w:r>
        <w:t xml:space="preserve">án categorizados por el PGO de Candelaria, en su mayor parte, como Suelo Rústico de Protección Ambiental en la subcategoría de Protección Paisajística (SRPP).  </w:t>
      </w:r>
    </w:p>
    <w:p w:rsidR="00025683" w:rsidRDefault="007C2AAB">
      <w:pPr>
        <w:ind w:left="14" w:right="200"/>
      </w:pPr>
      <w:r>
        <w:t>La franja de terrenos incluida en la delimitación del BIC del Camino La Candelaria están catego</w:t>
      </w:r>
      <w:r>
        <w:t xml:space="preserve">rizados por el PGO de Candelaria como Suelo Rústico de Protección Ambiental en la subcategoría de Protección Cultural (SRPC)  </w:t>
      </w:r>
    </w:p>
    <w:p w:rsidR="00025683" w:rsidRDefault="007C2AAB">
      <w:pPr>
        <w:spacing w:after="0" w:line="259" w:lineRule="auto"/>
        <w:ind w:left="14" w:firstLine="0"/>
        <w:jc w:val="left"/>
      </w:pPr>
      <w:r>
        <w:t xml:space="preserve"> </w:t>
      </w:r>
    </w:p>
    <w:p w:rsidR="00025683" w:rsidRDefault="007C2AAB">
      <w:pPr>
        <w:ind w:left="14" w:right="200"/>
      </w:pPr>
      <w:r>
        <w:t>El Parque Periurbano de La Vera de Igueste está reconocido desde el PGO de Candelaria como Espacio Libre Público de Sistema Gen</w:t>
      </w:r>
      <w:r>
        <w:t xml:space="preserve">eral, en la categoría de Parque Periurbano.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343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5143" name="Group 4051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502" name="Rectangle 1850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503" name="Rectangle 1850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504" name="Rectangle 1850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163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5143" style="width:18.7031pt;height:264.21pt;position:absolute;mso-position-horizontal-relative:page;mso-position-horizontal:absolute;margin-left:662.928pt;mso-position-vertical-relative:page;margin-top:508.71pt;" coordsize="2375,33554">
                <v:rect id="Rectangle 1850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50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50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163 de 350 </w:t>
                        </w:r>
                      </w:p>
                    </w:txbxContent>
                  </v:textbox>
                </v:rect>
                <w10:wrap type="square"/>
              </v:group>
            </w:pict>
          </mc:Fallback>
        </mc:AlternateContent>
      </w:r>
      <w:r>
        <w:t xml:space="preserve"> </w:t>
      </w:r>
    </w:p>
    <w:p w:rsidR="00025683" w:rsidRDefault="007C2AAB">
      <w:pPr>
        <w:spacing w:after="0" w:line="259" w:lineRule="auto"/>
        <w:ind w:left="0" w:right="983" w:firstLine="0"/>
        <w:jc w:val="right"/>
      </w:pPr>
      <w:r>
        <w:rPr>
          <w:noProof/>
        </w:rPr>
        <w:drawing>
          <wp:inline distT="0" distB="0" distL="0" distR="0">
            <wp:extent cx="5387433" cy="4181673"/>
            <wp:effectExtent l="0" t="0" r="0" b="0"/>
            <wp:docPr id="18499" name="Picture 18499"/>
            <wp:cNvGraphicFramePr/>
            <a:graphic xmlns:a="http://schemas.openxmlformats.org/drawingml/2006/main">
              <a:graphicData uri="http://schemas.openxmlformats.org/drawingml/2006/picture">
                <pic:pic xmlns:pic="http://schemas.openxmlformats.org/drawingml/2006/picture">
                  <pic:nvPicPr>
                    <pic:cNvPr id="18499" name="Picture 18499"/>
                    <pic:cNvPicPr/>
                  </pic:nvPicPr>
                  <pic:blipFill>
                    <a:blip r:embed="rId86"/>
                    <a:stretch>
                      <a:fillRect/>
                    </a:stretch>
                  </pic:blipFill>
                  <pic:spPr>
                    <a:xfrm>
                      <a:off x="0" y="0"/>
                      <a:ext cx="5387433" cy="4181673"/>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Suelo rustico de protección paisajística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015" w:firstLine="0"/>
        <w:jc w:val="right"/>
      </w:pPr>
      <w:r>
        <w:rPr>
          <w:noProof/>
        </w:rPr>
        <w:drawing>
          <wp:inline distT="0" distB="0" distL="0" distR="0">
            <wp:extent cx="5384105" cy="3724585"/>
            <wp:effectExtent l="0" t="0" r="0" b="0"/>
            <wp:docPr id="18535" name="Picture 18535"/>
            <wp:cNvGraphicFramePr/>
            <a:graphic xmlns:a="http://schemas.openxmlformats.org/drawingml/2006/main">
              <a:graphicData uri="http://schemas.openxmlformats.org/drawingml/2006/picture">
                <pic:pic xmlns:pic="http://schemas.openxmlformats.org/drawingml/2006/picture">
                  <pic:nvPicPr>
                    <pic:cNvPr id="18535" name="Picture 18535"/>
                    <pic:cNvPicPr/>
                  </pic:nvPicPr>
                  <pic:blipFill>
                    <a:blip r:embed="rId87"/>
                    <a:stretch>
                      <a:fillRect/>
                    </a:stretch>
                  </pic:blipFill>
                  <pic:spPr>
                    <a:xfrm>
                      <a:off x="0" y="0"/>
                      <a:ext cx="5384105" cy="3724585"/>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353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5490" name="Group 4054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538" name="Rectangle 1853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539" name="Rectangle 1853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540" name="Rectangle 1854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164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5490" style="width:18.7031pt;height:264.21pt;position:absolute;mso-position-horizontal-relative:page;mso-position-horizontal:absolute;margin-left:662.928pt;mso-position-vertical-relative:page;margin-top:508.71pt;" coordsize="2375,33554">
                <v:rect id="Rectangle 1853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53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54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164 de 350 </w:t>
                        </w:r>
                      </w:p>
                    </w:txbxContent>
                  </v:textbox>
                </v:rect>
                <w10:wrap type="topAndBottom"/>
              </v:group>
            </w:pict>
          </mc:Fallback>
        </mc:AlternateContent>
      </w:r>
      <w:r>
        <w:t>Parque periurbano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pPr>
      <w:r>
        <w:rPr>
          <w:rFonts w:ascii="Calibri" w:eastAsia="Calibri" w:hAnsi="Calibri" w:cs="Calibri"/>
          <w:noProof/>
        </w:rPr>
        <mc:AlternateContent>
          <mc:Choice Requires="wpg">
            <w:drawing>
              <wp:anchor distT="0" distB="0" distL="114300" distR="114300" simplePos="0" relativeHeight="25183641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5408" name="Group 4054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571" name="Rectangle 1857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572" name="Rectangle 1857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573" name="Rectangle 1857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165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5408" style="width:18.7031pt;height:264.21pt;position:absolute;mso-position-horizontal-relative:page;mso-position-horizontal:absolute;margin-left:662.928pt;mso-position-vertical-relative:page;margin-top:508.71pt;" coordsize="2375,33554">
                <v:rect id="Rectangle 1857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57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57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165 de 350 </w:t>
                        </w:r>
                      </w:p>
                    </w:txbxContent>
                  </v:textbox>
                </v:rect>
                <w10:wrap type="topAndBottom"/>
              </v:group>
            </w:pict>
          </mc:Fallback>
        </mc:AlternateContent>
      </w:r>
      <w:r>
        <w:rPr>
          <w:noProof/>
        </w:rPr>
        <w:drawing>
          <wp:inline distT="0" distB="0" distL="0" distR="0">
            <wp:extent cx="5373338" cy="8011935"/>
            <wp:effectExtent l="0" t="0" r="0" b="0"/>
            <wp:docPr id="18568" name="Picture 18568"/>
            <wp:cNvGraphicFramePr/>
            <a:graphic xmlns:a="http://schemas.openxmlformats.org/drawingml/2006/main">
              <a:graphicData uri="http://schemas.openxmlformats.org/drawingml/2006/picture">
                <pic:pic xmlns:pic="http://schemas.openxmlformats.org/drawingml/2006/picture">
                  <pic:nvPicPr>
                    <pic:cNvPr id="18568" name="Picture 18568"/>
                    <pic:cNvPicPr/>
                  </pic:nvPicPr>
                  <pic:blipFill>
                    <a:blip r:embed="rId88"/>
                    <a:stretch>
                      <a:fillRect/>
                    </a:stretch>
                  </pic:blipFill>
                  <pic:spPr>
                    <a:xfrm>
                      <a:off x="0" y="0"/>
                      <a:ext cx="5373338" cy="8011935"/>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ALTERNATIVA SELECCIONADA </w:t>
      </w:r>
    </w:p>
    <w:p w:rsidR="00025683" w:rsidRDefault="007C2AAB">
      <w:pPr>
        <w:spacing w:after="0" w:line="259" w:lineRule="auto"/>
        <w:ind w:left="14" w:firstLine="0"/>
        <w:jc w:val="left"/>
      </w:pPr>
      <w:r>
        <w:t xml:space="preserve"> </w:t>
      </w:r>
    </w:p>
    <w:p w:rsidR="00025683" w:rsidRDefault="007C2AAB">
      <w:pPr>
        <w:ind w:left="14" w:right="200"/>
      </w:pPr>
      <w:r>
        <w:t>El ámbito del Parque Periurbano de Pasacola, se encuentra íntegramente incluido en el Bien de Interés Cultural (BIC) del Camino de Candelaria, en atención a sus elementos patrimoniales existentes, su valor cultural y ambiental, así como a la presencia de l</w:t>
      </w:r>
      <w:r>
        <w:t xml:space="preserve">os vestigios del antiguo caserío de Pasacola, considerado el primer asentamiento humano en las medianías del municipio. Por esta razón, la propuesta de ordenación se fundamenta en un modelo de intervención mínima, respetuoso con la memoria histórica y los </w:t>
      </w:r>
      <w:r>
        <w:t xml:space="preserve">valores ambientales del lugar. En este marco, se prioriza la restauración del paisaje agrario tradicional y la activación de usos compatibles con el carácter patrimonial y productivo del entorno.  </w:t>
      </w:r>
    </w:p>
    <w:p w:rsidR="00025683" w:rsidRDefault="007C2AAB">
      <w:pPr>
        <w:spacing w:after="0" w:line="259" w:lineRule="auto"/>
        <w:ind w:left="14" w:firstLine="0"/>
        <w:jc w:val="left"/>
      </w:pPr>
      <w:r>
        <w:t xml:space="preserve"> </w:t>
      </w:r>
    </w:p>
    <w:p w:rsidR="00025683" w:rsidRDefault="007C2AAB">
      <w:pPr>
        <w:ind w:left="14" w:right="200"/>
      </w:pPr>
      <w:r>
        <w:t>De forma complementaria, el Parque Periurbano de La Vera</w:t>
      </w:r>
      <w:r>
        <w:t xml:space="preserve"> de Igueste se concibe como un ámbito destinado a usos recreativos, de esparcimiento, descanso y contemplación del paisaje, planteados siempre con un nivel de baja intensidad e intervención en el territorio, de manera que resulten compatibles con los valor</w:t>
      </w:r>
      <w:r>
        <w:t xml:space="preserve">es patrimoniales y ambientales del conjunto. </w:t>
      </w:r>
    </w:p>
    <w:p w:rsidR="00025683" w:rsidRDefault="007C2AAB">
      <w:pPr>
        <w:spacing w:after="0" w:line="259" w:lineRule="auto"/>
        <w:ind w:left="14" w:firstLine="0"/>
        <w:jc w:val="left"/>
      </w:pPr>
      <w:r>
        <w:t xml:space="preserve"> </w:t>
      </w:r>
    </w:p>
    <w:p w:rsidR="00025683" w:rsidRDefault="007C2AAB">
      <w:pPr>
        <w:ind w:left="14" w:right="200"/>
      </w:pPr>
      <w:r>
        <w:t>Se opta por la Alternativa 2, cuya ordenación plantea una propuesta de intervención moderada que incorpora instalaciones destinadas a favorecer el uso ciudadano en ciertas zonas del parque. Dichas instalacion</w:t>
      </w:r>
      <w:r>
        <w:t>es estarán orientadas tanto a los vecinos de los barrios cercanos como a la ciudadanía del municipio en general, posibilitando actividades de descanso, esparcimiento y juego infantil, y ofreciendo, además, un espacio de reposo para los senderistas que reco</w:t>
      </w:r>
      <w:r>
        <w:t>rran el Camino de La Candelaria.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374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5770" name="Group 4057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673" name="Rectangle 1867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674" name="Rectangle 1867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675" name="Rectangle 1867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166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5770" style="width:18.7031pt;height:264.21pt;position:absolute;mso-position-horizontal-relative:page;mso-position-horizontal:absolute;margin-left:662.928pt;mso-position-vertical-relative:page;margin-top:508.71pt;" coordsize="2375,33554">
                <v:rect id="Rectangle 1867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67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67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166 de 350 </w:t>
                        </w:r>
                      </w:p>
                    </w:txbxContent>
                  </v:textbox>
                </v:rect>
                <w10:wrap type="square"/>
              </v:group>
            </w:pict>
          </mc:Fallback>
        </mc:AlternateContent>
      </w:r>
      <w:r>
        <w:rPr>
          <w:b/>
        </w:rPr>
        <w:t xml:space="preserve"> </w:t>
      </w:r>
    </w:p>
    <w:p w:rsidR="00025683" w:rsidRDefault="007C2AAB">
      <w:pPr>
        <w:ind w:left="14" w:right="200"/>
      </w:pPr>
      <w:r>
        <w:t>Por otra parte, resulta imprescindible garantizar la coordinación y complementariedad entre la propuesta de ordenación del Parque Periurbano de La Vera de Igueste y la del Parque Periurbano de Pasacola, cuyos planes especiales se encuentran en proceso de r</w:t>
      </w:r>
      <w:r>
        <w:t xml:space="preserve">edacción de manera simultánea </w:t>
      </w:r>
    </w:p>
    <w:p w:rsidR="00025683" w:rsidRDefault="007C2AAB">
      <w:pPr>
        <w:spacing w:after="0" w:line="259" w:lineRule="auto"/>
        <w:ind w:left="14" w:firstLine="0"/>
        <w:jc w:val="left"/>
      </w:pPr>
      <w:r>
        <w:t xml:space="preserve"> </w:t>
      </w:r>
    </w:p>
    <w:p w:rsidR="00025683" w:rsidRDefault="007C2AAB">
      <w:pPr>
        <w:ind w:left="14" w:right="200"/>
      </w:pPr>
      <w:r>
        <w:t xml:space="preserve">Con esta alternativa se resuelve la accesibilidad a la zona, mediante la incorporación de una zona de aparcamientos destinada a dar servicio a ambos parques.  </w:t>
      </w:r>
    </w:p>
    <w:p w:rsidR="00025683" w:rsidRDefault="007C2AAB">
      <w:pPr>
        <w:spacing w:after="3" w:line="238" w:lineRule="auto"/>
        <w:ind w:left="9" w:hanging="10"/>
        <w:jc w:val="left"/>
      </w:pPr>
      <w:r>
        <w:t>La intervención se orientará prioritariamente a la recualificac</w:t>
      </w:r>
      <w:r>
        <w:t xml:space="preserve">ión del paisaje, mediante la recuperación del carácter agrícola tradicional del espacio y la regeneración ambiental y paisajística del entorno, garantizando al mismo tiempo la protección de la vegetación potencial y de los hábitats naturales existentes. </w:t>
      </w:r>
    </w:p>
    <w:p w:rsidR="00025683" w:rsidRDefault="007C2AAB">
      <w:pPr>
        <w:spacing w:after="0" w:line="259" w:lineRule="auto"/>
        <w:ind w:left="14" w:firstLine="0"/>
        <w:jc w:val="left"/>
      </w:pPr>
      <w:r>
        <w:t xml:space="preserve"> </w:t>
      </w:r>
    </w:p>
    <w:p w:rsidR="00025683" w:rsidRDefault="007C2AAB">
      <w:pPr>
        <w:ind w:left="14" w:right="200"/>
      </w:pPr>
      <w:r>
        <w:t>En lo que respecta al transporte público se propone ubicar una nueva parada de la línea 2 del Taxi compartido de Candelaria en las proximidades del parque. Está parada deberá contar con algún tipo de infraestructura como una marquesina que proporcione som</w:t>
      </w:r>
      <w:r>
        <w:t>bra a los usuarios y haga más agradable la espera. Esta medida tiene como objetivo mejorar la conectividad actual del parque con el resto del municipio, facilitando el acceso y fomentando el uso del transporte público para llegar al área del Parque Periurb</w:t>
      </w:r>
      <w:r>
        <w:t xml:space="preserve">ano de La Vera de Igueste.  </w:t>
      </w:r>
    </w:p>
    <w:p w:rsidR="00025683" w:rsidRDefault="007C2AAB">
      <w:pPr>
        <w:spacing w:after="0" w:line="259" w:lineRule="auto"/>
        <w:ind w:left="14" w:firstLine="0"/>
        <w:jc w:val="left"/>
      </w:pPr>
      <w:r>
        <w:t xml:space="preserve"> </w:t>
      </w:r>
    </w:p>
    <w:p w:rsidR="00025683" w:rsidRDefault="007C2AAB">
      <w:pPr>
        <w:ind w:left="14" w:right="200"/>
      </w:pPr>
      <w:r>
        <w:t>La accesibilidad en el interior del Parque Periurbano de La Vera de Igueste se fundamenta en la regeneración de los senderos y caminos que se conservan, ampliándose para la creación de recorridos que permitan la incorporación</w:t>
      </w:r>
      <w:r>
        <w:t xml:space="preserve"> de circuitos y aparatos saludables, así como descubrir las áreas regeneradas y los valores del paisaje.  </w:t>
      </w:r>
    </w:p>
    <w:p w:rsidR="00025683" w:rsidRDefault="007C2AAB">
      <w:pPr>
        <w:spacing w:after="0" w:line="259" w:lineRule="auto"/>
        <w:ind w:left="14" w:firstLine="0"/>
        <w:jc w:val="left"/>
      </w:pPr>
      <w:r>
        <w:t xml:space="preserve"> </w:t>
      </w:r>
    </w:p>
    <w:p w:rsidR="00025683" w:rsidRDefault="007C2AAB">
      <w:pPr>
        <w:ind w:left="14" w:right="200"/>
      </w:pPr>
      <w:r>
        <w:t xml:space="preserve">Se propone la creación de cuatro miradores: el Mirador de La Jiménez, vinculado al acceso peatonal junto al Camino de </w:t>
      </w:r>
      <w:r>
        <w:t>La Candelaria; los miradores de Las Caletillas y de Candelaria, situados al sur del ámbito y asociados a los recorridos peatonales propuestos; y, por último, el Mirador de Igueste, ubicado al noreste y vinculado al área de recuperación del cultivo tradicio</w:t>
      </w:r>
      <w:r>
        <w:t xml:space="preserve">nal. </w:t>
      </w:r>
    </w:p>
    <w:p w:rsidR="00025683" w:rsidRDefault="007C2AAB">
      <w:pPr>
        <w:spacing w:after="0" w:line="259" w:lineRule="auto"/>
        <w:ind w:left="14" w:firstLine="0"/>
        <w:jc w:val="left"/>
      </w:pPr>
      <w:r>
        <w:t xml:space="preserve"> </w:t>
      </w:r>
    </w:p>
    <w:p w:rsidR="00025683" w:rsidRDefault="007C2AAB">
      <w:pPr>
        <w:ind w:left="14" w:right="200"/>
      </w:pPr>
      <w:r>
        <w:t xml:space="preserve">En este marco, se han definido cuatro zonas de ordenación, sobre las cuales se establecen las condiciones de intervención que servirán de guía para el desarrollo del futuro proyecto de ejecución del Parque Periurbano, asegurando que cada actuación </w:t>
      </w:r>
      <w:r>
        <w:t>respete el entorno y contribuya a la integración paisajística, funcional y cultural del espacio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3846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5611" name="Group 4056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725" name="Rectangle 1872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726" name="Rectangle 1872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727" name="Rectangle 1872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167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5611" style="width:18.7031pt;height:264.21pt;position:absolute;mso-position-horizontal-relative:page;mso-position-horizontal:absolute;margin-left:662.928pt;mso-position-vertical-relative:page;margin-top:508.71pt;" coordsize="2375,33554">
                <v:rect id="Rectangle 1872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72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72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167 de 350 </w:t>
                        </w:r>
                      </w:p>
                    </w:txbxContent>
                  </v:textbox>
                </v:rect>
                <w10:wrap type="topAndBottom"/>
              </v:group>
            </w:pict>
          </mc:Fallback>
        </mc:AlternateContent>
      </w:r>
      <w:r>
        <w:rPr>
          <w:b/>
        </w:rPr>
        <w:t xml:space="preserve"> </w:t>
      </w:r>
    </w:p>
    <w:p w:rsidR="00025683" w:rsidRDefault="007C2AAB">
      <w:pPr>
        <w:spacing w:after="0" w:line="259" w:lineRule="auto"/>
        <w:ind w:left="0" w:right="566" w:firstLine="0"/>
        <w:jc w:val="right"/>
      </w:pPr>
      <w:r>
        <w:rPr>
          <w:noProof/>
        </w:rPr>
        <w:drawing>
          <wp:inline distT="0" distB="0" distL="0" distR="0">
            <wp:extent cx="5657675" cy="5678481"/>
            <wp:effectExtent l="0" t="0" r="0" b="0"/>
            <wp:docPr id="18722" name="Picture 18722"/>
            <wp:cNvGraphicFramePr/>
            <a:graphic xmlns:a="http://schemas.openxmlformats.org/drawingml/2006/main">
              <a:graphicData uri="http://schemas.openxmlformats.org/drawingml/2006/picture">
                <pic:pic xmlns:pic="http://schemas.openxmlformats.org/drawingml/2006/picture">
                  <pic:nvPicPr>
                    <pic:cNvPr id="18722" name="Picture 18722"/>
                    <pic:cNvPicPr/>
                  </pic:nvPicPr>
                  <pic:blipFill>
                    <a:blip r:embed="rId89"/>
                    <a:stretch>
                      <a:fillRect/>
                    </a:stretch>
                  </pic:blipFill>
                  <pic:spPr>
                    <a:xfrm>
                      <a:off x="0" y="0"/>
                      <a:ext cx="5657675" cy="567848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Zona A – Bancales tradicionales  </w:t>
      </w:r>
    </w:p>
    <w:p w:rsidR="00025683" w:rsidRDefault="007C2AAB">
      <w:pPr>
        <w:spacing w:after="0" w:line="259" w:lineRule="auto"/>
        <w:ind w:left="14" w:firstLine="0"/>
        <w:jc w:val="left"/>
      </w:pPr>
      <w:r>
        <w:t xml:space="preserve"> </w:t>
      </w:r>
    </w:p>
    <w:p w:rsidR="00025683" w:rsidRDefault="007C2AAB">
      <w:pPr>
        <w:ind w:left="14" w:right="200"/>
      </w:pPr>
      <w:r>
        <w:t>Incluye las áreas de bancales originales que, por su estado de conservación, resulten susceptibles de recuperación</w:t>
      </w:r>
      <w:r>
        <w:t xml:space="preserve">. Se prevé la restauración de muros y bancales, así como de los sistemas de riego tradicionales existentes, con el fin de recuperar el carácter agrícola de la zona.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Zona B – Área de aparcamiento  </w:t>
      </w:r>
    </w:p>
    <w:p w:rsidR="00025683" w:rsidRDefault="007C2AAB">
      <w:pPr>
        <w:spacing w:after="0" w:line="259" w:lineRule="auto"/>
        <w:ind w:left="14" w:firstLine="0"/>
        <w:jc w:val="left"/>
      </w:pPr>
      <w:r>
        <w:t xml:space="preserve"> </w:t>
      </w:r>
    </w:p>
    <w:p w:rsidR="00025683" w:rsidRDefault="007C2AAB">
      <w:pPr>
        <w:ind w:left="14" w:right="200"/>
      </w:pPr>
      <w:r>
        <w:t>Área que albergará zona de estacionamiento para veh</w:t>
      </w:r>
      <w:r>
        <w:t>ículos que de servicio tanto al Parque de La Vera de Igueste como al cercano parque de Pasacola. 65 plazas aproximadamente.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Zona C – Área recreativa  </w:t>
      </w:r>
    </w:p>
    <w:p w:rsidR="00025683" w:rsidRDefault="007C2AAB">
      <w:pPr>
        <w:spacing w:after="0" w:line="259" w:lineRule="auto"/>
        <w:ind w:left="14" w:firstLine="0"/>
        <w:jc w:val="left"/>
      </w:pPr>
      <w:r>
        <w:t xml:space="preserve"> </w:t>
      </w:r>
    </w:p>
    <w:p w:rsidR="00025683" w:rsidRDefault="007C2AAB">
      <w:pPr>
        <w:ind w:left="14" w:right="200"/>
      </w:pPr>
      <w:r>
        <w:t xml:space="preserve">En la zona central del parque, donde las estructuras de bancales se han perdido prácticamente del </w:t>
      </w:r>
      <w:r>
        <w:t>todo, se incorporará una zona recreativa para el esparcimiento con áreas de estancia, picnic, juegos infantiles y actividades deportivas, así como la incorporación de nuevos senderos y caminos que favorezcan su conexión interna y permitan el paseo y la prá</w:t>
      </w:r>
      <w:r>
        <w:t xml:space="preserve">ctica de la carrera a pie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Zona D – Rehabilitación ambiental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394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5514" name="Group 4055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832" name="Rectangle 1883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833" name="Rectangle 1883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834" name="Rectangle 1883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168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5514" style="width:18.7031pt;height:264.21pt;position:absolute;mso-position-horizontal-relative:page;mso-position-horizontal:absolute;margin-left:662.928pt;mso-position-vertical-relative:page;margin-top:508.71pt;" coordsize="2375,33554">
                <v:rect id="Rectangle 1883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83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83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168 de 350 </w:t>
                        </w:r>
                      </w:p>
                    </w:txbxContent>
                  </v:textbox>
                </v:rect>
                <w10:wrap type="square"/>
              </v:group>
            </w:pict>
          </mc:Fallback>
        </mc:AlternateContent>
      </w:r>
      <w:r>
        <w:t xml:space="preserve"> </w:t>
      </w:r>
    </w:p>
    <w:p w:rsidR="00025683" w:rsidRDefault="007C2AAB">
      <w:pPr>
        <w:ind w:left="14" w:right="200"/>
      </w:pPr>
      <w:r>
        <w:t xml:space="preserve">En los restantes terrenos que conforman el plan especial, se plantea exclusivamente la regeneración y limpieza del entorno, priorizando la conservación y el mantenimiento de los hábitats naturales existentes.  </w:t>
      </w:r>
    </w:p>
    <w:p w:rsidR="00025683" w:rsidRDefault="007C2AAB">
      <w:pPr>
        <w:spacing w:after="0" w:line="259" w:lineRule="auto"/>
        <w:ind w:left="14" w:firstLine="0"/>
        <w:jc w:val="left"/>
      </w:pPr>
      <w:r>
        <w:t xml:space="preserve"> </w:t>
      </w:r>
    </w:p>
    <w:p w:rsidR="00025683" w:rsidRDefault="007C2AAB">
      <w:pPr>
        <w:ind w:left="14" w:right="200"/>
      </w:pPr>
      <w:r>
        <w:t xml:space="preserve">En las áreas susceptibles de revegetación, </w:t>
      </w:r>
      <w:r>
        <w:t xml:space="preserve">se fomentará la plantación de especies autóctonas propias del piso bioclimático, así como se procederá a la eliminación de especies invasoras detectadas.  </w:t>
      </w:r>
    </w:p>
    <w:p w:rsidR="00025683" w:rsidRDefault="007C2AAB">
      <w:pPr>
        <w:spacing w:after="0" w:line="259" w:lineRule="auto"/>
        <w:ind w:left="14" w:firstLine="0"/>
        <w:jc w:val="left"/>
      </w:pPr>
      <w:r>
        <w:t xml:space="preserve"> </w:t>
      </w:r>
    </w:p>
    <w:p w:rsidR="00025683" w:rsidRDefault="007C2AAB">
      <w:pPr>
        <w:ind w:left="14" w:right="200"/>
      </w:pPr>
      <w:r>
        <w:t>La movilidad y accesibilidad al Parque de La Vera de Igueste dependen actualmente del camino de Ca</w:t>
      </w:r>
      <w:r>
        <w:t xml:space="preserve">ndelaria, único viario de acceso. Este camino también da servicio al futuro Parque de Pasacola, situado en las proximidades.  </w:t>
      </w:r>
    </w:p>
    <w:p w:rsidR="00025683" w:rsidRDefault="007C2AAB">
      <w:pPr>
        <w:spacing w:after="0" w:line="259" w:lineRule="auto"/>
        <w:ind w:left="14" w:firstLine="0"/>
        <w:jc w:val="left"/>
      </w:pPr>
      <w:r>
        <w:t xml:space="preserve"> </w:t>
      </w:r>
    </w:p>
    <w:p w:rsidR="00025683" w:rsidRDefault="007C2AAB">
      <w:pPr>
        <w:ind w:left="14" w:right="200"/>
      </w:pPr>
      <w:r>
        <w:t>Se ha considerado fundamental, para la ordenación y el planteamiento de la movilidad de la zona, entender ambos parques como pr</w:t>
      </w:r>
      <w:r>
        <w:t>opuestas complementarias. En este sentido, la zona de aparcamientos prevista, estará destinada a cubrir las necesidades de estacionamiento de ambos espacios. Desde dicho aparcamiento, el acceso al Parque de Pasacola será prioritariamente peatonal, atendien</w:t>
      </w:r>
      <w:r>
        <w:t>do a la consideración del camino de Candelaria como sitio histórico.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704" w:firstLine="0"/>
        <w:jc w:val="right"/>
      </w:pPr>
      <w:r>
        <w:rPr>
          <w:noProof/>
        </w:rPr>
        <w:drawing>
          <wp:inline distT="0" distB="0" distL="0" distR="0">
            <wp:extent cx="4943805" cy="6030341"/>
            <wp:effectExtent l="0" t="0" r="0" b="0"/>
            <wp:docPr id="18864" name="Picture 18864"/>
            <wp:cNvGraphicFramePr/>
            <a:graphic xmlns:a="http://schemas.openxmlformats.org/drawingml/2006/main">
              <a:graphicData uri="http://schemas.openxmlformats.org/drawingml/2006/picture">
                <pic:pic xmlns:pic="http://schemas.openxmlformats.org/drawingml/2006/picture">
                  <pic:nvPicPr>
                    <pic:cNvPr id="18864" name="Picture 18864"/>
                    <pic:cNvPicPr/>
                  </pic:nvPicPr>
                  <pic:blipFill>
                    <a:blip r:embed="rId90"/>
                    <a:stretch>
                      <a:fillRect/>
                    </a:stretch>
                  </pic:blipFill>
                  <pic:spPr>
                    <a:xfrm>
                      <a:off x="0" y="0"/>
                      <a:ext cx="4943805" cy="603034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405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7336" name="Group 4073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867" name="Rectangle 1886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868" name="Rectangle 1886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869" name="Rectangle 1886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169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336" style="width:18.7031pt;height:264.21pt;position:absolute;mso-position-horizontal-relative:page;mso-position-horizontal:absolute;margin-left:662.928pt;mso-position-vertical-relative:page;margin-top:508.71pt;" coordsize="2375,33554">
                <v:rect id="Rectangle 1886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86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86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169 de 350 </w:t>
                        </w:r>
                      </w:p>
                    </w:txbxContent>
                  </v:textbox>
                </v:rect>
                <w10:wrap type="topAndBottom"/>
              </v:group>
            </w:pict>
          </mc:Fallback>
        </mc:AlternateContent>
      </w: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983" w:firstLine="0"/>
        <w:jc w:val="right"/>
      </w:pPr>
      <w:r>
        <w:rPr>
          <w:rFonts w:ascii="Calibri" w:eastAsia="Calibri" w:hAnsi="Calibri" w:cs="Calibri"/>
          <w:noProof/>
        </w:rPr>
        <mc:AlternateContent>
          <mc:Choice Requires="wpg">
            <w:drawing>
              <wp:inline distT="0" distB="0" distL="0" distR="0">
                <wp:extent cx="5384878" cy="5426948"/>
                <wp:effectExtent l="0" t="0" r="0" b="0"/>
                <wp:docPr id="407012" name="Group 407012"/>
                <wp:cNvGraphicFramePr/>
                <a:graphic xmlns:a="http://schemas.openxmlformats.org/drawingml/2006/main">
                  <a:graphicData uri="http://schemas.microsoft.com/office/word/2010/wordprocessingGroup">
                    <wpg:wgp>
                      <wpg:cNvGrpSpPr/>
                      <wpg:grpSpPr>
                        <a:xfrm>
                          <a:off x="0" y="0"/>
                          <a:ext cx="5384878" cy="5426948"/>
                          <a:chOff x="0" y="0"/>
                          <a:chExt cx="5384878" cy="5426948"/>
                        </a:xfrm>
                      </wpg:grpSpPr>
                      <wps:wsp>
                        <wps:cNvPr id="18895" name="Rectangle 18895"/>
                        <wps:cNvSpPr/>
                        <wps:spPr>
                          <a:xfrm>
                            <a:off x="5105146" y="182624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8896" name="Rectangle 18896"/>
                        <wps:cNvSpPr/>
                        <wps:spPr>
                          <a:xfrm>
                            <a:off x="305" y="1963162"/>
                            <a:ext cx="51809" cy="207922"/>
                          </a:xfrm>
                          <a:prstGeom prst="rect">
                            <a:avLst/>
                          </a:prstGeom>
                          <a:ln>
                            <a:noFill/>
                          </a:ln>
                        </wps:spPr>
                        <wps:txbx>
                          <w:txbxContent>
                            <w:p w:rsidR="00025683" w:rsidRDefault="007C2AA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18900" name="Picture 18900"/>
                          <pic:cNvPicPr/>
                        </pic:nvPicPr>
                        <pic:blipFill>
                          <a:blip r:embed="rId91"/>
                          <a:stretch>
                            <a:fillRect/>
                          </a:stretch>
                        </pic:blipFill>
                        <pic:spPr>
                          <a:xfrm>
                            <a:off x="0" y="0"/>
                            <a:ext cx="5075510" cy="1961344"/>
                          </a:xfrm>
                          <a:prstGeom prst="rect">
                            <a:avLst/>
                          </a:prstGeom>
                        </pic:spPr>
                      </pic:pic>
                      <pic:pic xmlns:pic="http://schemas.openxmlformats.org/drawingml/2006/picture">
                        <pic:nvPicPr>
                          <pic:cNvPr id="18902" name="Picture 18902"/>
                          <pic:cNvPicPr/>
                        </pic:nvPicPr>
                        <pic:blipFill>
                          <a:blip r:embed="rId92"/>
                          <a:stretch>
                            <a:fillRect/>
                          </a:stretch>
                        </pic:blipFill>
                        <pic:spPr>
                          <a:xfrm>
                            <a:off x="0" y="2122851"/>
                            <a:ext cx="5384878" cy="3304097"/>
                          </a:xfrm>
                          <a:prstGeom prst="rect">
                            <a:avLst/>
                          </a:prstGeom>
                        </pic:spPr>
                      </pic:pic>
                    </wpg:wgp>
                  </a:graphicData>
                </a:graphic>
              </wp:inline>
            </w:drawing>
          </mc:Choice>
          <mc:Fallback xmlns:a="http://schemas.openxmlformats.org/drawingml/2006/main">
            <w:pict>
              <v:group id="Group 407012" style="width:424.006pt;height:427.319pt;mso-position-horizontal-relative:char;mso-position-vertical-relative:line" coordsize="53848,54269">
                <v:rect id="Rectangle 18895" style="position:absolute;width:506;height:2243;left:51051;top:1826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8896" style="position:absolute;width:518;height:2079;left:3;top:1963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18900" style="position:absolute;width:50755;height:19613;left:0;top:0;" filled="f">
                  <v:imagedata r:id="rId93"/>
                </v:shape>
                <v:shape id="Picture 18902" style="position:absolute;width:53848;height:33040;left:0;top:21228;" filled="f">
                  <v:imagedata r:id="rId94"/>
                </v:shape>
              </v:group>
            </w:pict>
          </mc:Fallback>
        </mc:AlternateConten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4153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7013" name="Group 4070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905" name="Rectangle 1890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906" name="Rectangle 1890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907" name="Rectangle 1890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170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013" style="width:18.7031pt;height:264.21pt;position:absolute;mso-position-horizontal-relative:page;mso-position-horizontal:absolute;margin-left:662.928pt;mso-position-vertical-relative:page;margin-top:508.71pt;" coordsize="2375,33554">
                <v:rect id="Rectangle 1890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90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90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170 de 350 </w:t>
                        </w:r>
                      </w:p>
                    </w:txbxContent>
                  </v:textbox>
                </v:rect>
                <w10:wrap type="topAndBottom"/>
              </v:group>
            </w:pict>
          </mc:Fallback>
        </mc:AlternateContent>
      </w:r>
      <w:r>
        <w:rPr>
          <w:b/>
        </w:rPr>
        <w:t xml:space="preserve"> </w:t>
      </w:r>
    </w:p>
    <w:p w:rsidR="00025683" w:rsidRDefault="007C2AAB">
      <w:pPr>
        <w:spacing w:after="39" w:line="216" w:lineRule="auto"/>
        <w:ind w:left="14" w:right="983" w:firstLine="0"/>
        <w:jc w:val="left"/>
      </w:pPr>
      <w:r>
        <w:rPr>
          <w:noProof/>
        </w:rPr>
        <w:drawing>
          <wp:inline distT="0" distB="0" distL="0" distR="0">
            <wp:extent cx="5401035" cy="5029105"/>
            <wp:effectExtent l="0" t="0" r="0" b="0"/>
            <wp:docPr id="18964" name="Picture 18964"/>
            <wp:cNvGraphicFramePr/>
            <a:graphic xmlns:a="http://schemas.openxmlformats.org/drawingml/2006/main">
              <a:graphicData uri="http://schemas.openxmlformats.org/drawingml/2006/picture">
                <pic:pic xmlns:pic="http://schemas.openxmlformats.org/drawingml/2006/picture">
                  <pic:nvPicPr>
                    <pic:cNvPr id="18964" name="Picture 18964"/>
                    <pic:cNvPicPr/>
                  </pic:nvPicPr>
                  <pic:blipFill>
                    <a:blip r:embed="rId95"/>
                    <a:stretch>
                      <a:fillRect/>
                    </a:stretch>
                  </pic:blipFill>
                  <pic:spPr>
                    <a:xfrm>
                      <a:off x="0" y="0"/>
                      <a:ext cx="5401035" cy="5029105"/>
                    </a:xfrm>
                    <a:prstGeom prst="rect">
                      <a:avLst/>
                    </a:prstGeom>
                  </pic:spPr>
                </pic:pic>
              </a:graphicData>
            </a:graphic>
          </wp:inline>
        </w:drawing>
      </w:r>
      <w:r>
        <w:rPr>
          <w:rFonts w:ascii="Times New Roman" w:eastAsia="Times New Roman" w:hAnsi="Times New Roman" w:cs="Times New Roman"/>
          <w:sz w:val="24"/>
        </w:rPr>
        <w:t xml:space="preserve"> </w:t>
      </w:r>
      <w:r>
        <w:rPr>
          <w:b/>
        </w:rPr>
        <w:t xml:space="preserve"> </w:t>
      </w:r>
    </w:p>
    <w:p w:rsidR="00025683" w:rsidRDefault="007C2AAB">
      <w:pPr>
        <w:spacing w:after="12"/>
        <w:ind w:left="14" w:right="197"/>
      </w:pPr>
      <w:r>
        <w:rPr>
          <w:b/>
        </w:rPr>
        <w:t>CONCLUSIONES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De acuerdo a todo lo expuesto anteriormente, se informa FAVORABLE la aprobación inicial del </w:t>
      </w:r>
    </w:p>
    <w:p w:rsidR="00025683" w:rsidRDefault="007C2AAB">
      <w:pPr>
        <w:ind w:left="14" w:right="200"/>
      </w:pPr>
      <w:r>
        <w:t xml:space="preserve">Plan Especial Parque </w:t>
      </w:r>
      <w:r>
        <w:t xml:space="preserve">periurbano La Vera de Igueste, T.M. de Candelaria…”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rFonts w:ascii="Calibri" w:eastAsia="Calibri" w:hAnsi="Calibri" w:cs="Calibri"/>
          <w:noProof/>
        </w:rPr>
        <mc:AlternateContent>
          <mc:Choice Requires="wpg">
            <w:drawing>
              <wp:anchor distT="0" distB="0" distL="114300" distR="114300" simplePos="0" relativeHeight="2518425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5911" name="Group 4059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967" name="Rectangle 1896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8968" name="Rectangle 1896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8969" name="Rectangle 1896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171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5911" style="width:18.7031pt;height:264.21pt;position:absolute;mso-position-horizontal-relative:page;mso-position-horizontal:absolute;margin-left:662.928pt;mso-position-vertical-relative:page;margin-top:508.71pt;" coordsize="2375,33554">
                <v:rect id="Rectangle 1896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896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896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171 de 350 </w:t>
                        </w:r>
                      </w:p>
                    </w:txbxContent>
                  </v:textbox>
                </v:rect>
                <w10:wrap type="square"/>
              </v:group>
            </w:pict>
          </mc:Fallback>
        </mc:AlternateContent>
      </w:r>
      <w:r>
        <w:rPr>
          <w:b/>
        </w:rPr>
        <w:t xml:space="preserve"> </w:t>
      </w:r>
    </w:p>
    <w:p w:rsidR="00025683" w:rsidRDefault="007C2AAB">
      <w:pPr>
        <w:pStyle w:val="Ttulo4"/>
        <w:ind w:left="274" w:right="464"/>
      </w:pPr>
      <w:r>
        <w:t>CONSIDERACIONES JURÍDICAS</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PRIMERA. - </w:t>
      </w:r>
      <w:r>
        <w:t>El artículo 146.1 de la Ley 4/2017, de 13 de julio, del Suelo y de los Espacios Naturales Protegidos de Canarias que lo</w:t>
      </w:r>
      <w:r>
        <w:t xml:space="preserve">s Planes Especiales de Ordenación tienen por objeto desarrollar o completar las determinaciones de los planes generales, ordenando elementos específicos de un ámbito territorial determinado. </w:t>
      </w:r>
      <w:r>
        <w:rPr>
          <w:rFonts w:ascii="Times New Roman" w:eastAsia="Times New Roman" w:hAnsi="Times New Roman" w:cs="Times New Roman"/>
          <w:sz w:val="24"/>
        </w:rPr>
        <w:t xml:space="preserve"> </w:t>
      </w:r>
    </w:p>
    <w:p w:rsidR="00025683" w:rsidRDefault="007C2AAB">
      <w:pPr>
        <w:ind w:left="14" w:right="200"/>
      </w:pPr>
      <w:r>
        <w:t>Conforme al artículo 146.2, los ayuntamientos podrán aprobar pl</w:t>
      </w:r>
      <w:r>
        <w:t xml:space="preserve">anes especiales, en desarrollo del plan general o de forma autónoma, con las siguientes finalidades: </w:t>
      </w:r>
    </w:p>
    <w:p w:rsidR="00025683" w:rsidRDefault="007C2AAB">
      <w:pPr>
        <w:spacing w:line="238" w:lineRule="auto"/>
        <w:ind w:left="21" w:right="209"/>
      </w:pPr>
      <w:r>
        <w:rPr>
          <w:i/>
        </w:rPr>
        <w:t xml:space="preserve">      “a) Establecer la ordenación pormenorizada precisa para la ejecución del planeamiento, en todo o en parte, del suelo urbano consolidado y del suelo </w:t>
      </w:r>
      <w:r>
        <w:rPr>
          <w:i/>
        </w:rPr>
        <w:t>rústico de asentamiento rural.</w:t>
      </w:r>
      <w:r>
        <w:rPr>
          <w:rFonts w:ascii="Times New Roman" w:eastAsia="Times New Roman" w:hAnsi="Times New Roman" w:cs="Times New Roman"/>
          <w:sz w:val="24"/>
        </w:rPr>
        <w:t xml:space="preserve"> </w:t>
      </w:r>
      <w:r>
        <w:rPr>
          <w:i/>
        </w:rPr>
        <w:t xml:space="preserve">      b) Conservar y mejorar el medio natural y el paisaje natural y urbano.</w:t>
      </w:r>
      <w:r>
        <w:rPr>
          <w:rFonts w:ascii="Times New Roman" w:eastAsia="Times New Roman" w:hAnsi="Times New Roman" w:cs="Times New Roman"/>
          <w:sz w:val="24"/>
        </w:rPr>
        <w:t xml:space="preserve"> </w:t>
      </w:r>
    </w:p>
    <w:p w:rsidR="00025683" w:rsidRDefault="007C2AAB">
      <w:pPr>
        <w:numPr>
          <w:ilvl w:val="0"/>
          <w:numId w:val="52"/>
        </w:numPr>
        <w:spacing w:line="238" w:lineRule="auto"/>
        <w:ind w:right="49"/>
      </w:pPr>
      <w:r>
        <w:rPr>
          <w:i/>
        </w:rPr>
        <w:t>Proteger, conservar y rehabilitar el patrimonio histórico canario.</w:t>
      </w:r>
      <w:r>
        <w:rPr>
          <w:rFonts w:ascii="Times New Roman" w:eastAsia="Times New Roman" w:hAnsi="Times New Roman" w:cs="Times New Roman"/>
          <w:sz w:val="24"/>
        </w:rPr>
        <w:t xml:space="preserve"> </w:t>
      </w:r>
    </w:p>
    <w:p w:rsidR="00025683" w:rsidRDefault="007C2AAB">
      <w:pPr>
        <w:numPr>
          <w:ilvl w:val="0"/>
          <w:numId w:val="52"/>
        </w:numPr>
        <w:spacing w:line="238" w:lineRule="auto"/>
        <w:ind w:right="49"/>
      </w:pPr>
      <w:r>
        <w:rPr>
          <w:i/>
        </w:rPr>
        <w:t>Establecer la ordenación pormenorizada de las áreas urbanas sometidas a operaci</w:t>
      </w:r>
      <w:r>
        <w:rPr>
          <w:i/>
        </w:rPr>
        <w:t>ones de reforma o de renovación urbanas, sin perjuicio de las actuaciones sobre el medio urbano previstas en esta ley.</w:t>
      </w:r>
      <w:r>
        <w:rPr>
          <w:rFonts w:ascii="Times New Roman" w:eastAsia="Times New Roman" w:hAnsi="Times New Roman" w:cs="Times New Roman"/>
          <w:sz w:val="24"/>
        </w:rPr>
        <w:t xml:space="preserve"> </w:t>
      </w:r>
    </w:p>
    <w:p w:rsidR="00025683" w:rsidRDefault="007C2AAB">
      <w:pPr>
        <w:numPr>
          <w:ilvl w:val="0"/>
          <w:numId w:val="52"/>
        </w:numPr>
        <w:spacing w:line="238" w:lineRule="auto"/>
        <w:ind w:right="49"/>
      </w:pPr>
      <w:r>
        <w:rPr>
          <w:i/>
        </w:rPr>
        <w:t>Definir las actuaciones en los núcleos o zonas turísticas a rehabilitar.</w:t>
      </w:r>
      <w:r>
        <w:rPr>
          <w:rFonts w:ascii="Times New Roman" w:eastAsia="Times New Roman" w:hAnsi="Times New Roman" w:cs="Times New Roman"/>
          <w:sz w:val="24"/>
        </w:rPr>
        <w:t xml:space="preserve"> </w:t>
      </w:r>
    </w:p>
    <w:p w:rsidR="00025683" w:rsidRDefault="007C2AAB">
      <w:pPr>
        <w:numPr>
          <w:ilvl w:val="0"/>
          <w:numId w:val="52"/>
        </w:numPr>
        <w:spacing w:after="28" w:line="238" w:lineRule="auto"/>
        <w:ind w:right="49"/>
      </w:pPr>
      <w:r>
        <w:rPr>
          <w:i/>
        </w:rPr>
        <w:t>Ordenar los sistemas generales, cuando así lo determine el plan general.</w:t>
      </w:r>
      <w:r>
        <w:rPr>
          <w:rFonts w:ascii="Times New Roman" w:eastAsia="Times New Roman" w:hAnsi="Times New Roman" w:cs="Times New Roman"/>
          <w:sz w:val="24"/>
        </w:rPr>
        <w:t xml:space="preserve"> </w:t>
      </w:r>
    </w:p>
    <w:p w:rsidR="00025683" w:rsidRDefault="007C2AAB">
      <w:pPr>
        <w:numPr>
          <w:ilvl w:val="0"/>
          <w:numId w:val="52"/>
        </w:numPr>
        <w:spacing w:line="238" w:lineRule="auto"/>
        <w:ind w:right="49"/>
      </w:pPr>
      <w:r>
        <w:rPr>
          <w:i/>
        </w:rPr>
        <w:t>Cualesquiera otras análogas que se prevean reglamentariamente.”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El artículo 147. </w:t>
      </w:r>
      <w:r>
        <w:t>de la Ley 4/2017, de 13 de julio, del Suelo y de los Espacios Naturales Protegidos de Canarias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numPr>
          <w:ilvl w:val="0"/>
          <w:numId w:val="53"/>
        </w:numPr>
        <w:ind w:right="200"/>
      </w:pPr>
      <w:r>
        <w:t xml:space="preserve">establece que cualquier sujeto, público o privado, podrá elaborar y proponer planes parciales y planes especiales, en los términos fijados por el plan general.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numPr>
          <w:ilvl w:val="0"/>
          <w:numId w:val="53"/>
        </w:numPr>
        <w:ind w:right="200"/>
      </w:pPr>
      <w:r>
        <w:rPr>
          <w:rFonts w:ascii="Calibri" w:eastAsia="Calibri" w:hAnsi="Calibri" w:cs="Calibri"/>
          <w:noProof/>
        </w:rPr>
        <mc:AlternateContent>
          <mc:Choice Requires="wpg">
            <w:drawing>
              <wp:anchor distT="0" distB="0" distL="114300" distR="114300" simplePos="0" relativeHeight="2518435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6163" name="Group 4061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084" name="Rectangle 1908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085" name="Rectangle 1908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086" name="Rectangle 1908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172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6163" style="width:18.7031pt;height:264.21pt;position:absolute;mso-position-horizontal-relative:page;mso-position-horizontal:absolute;margin-left:662.928pt;mso-position-vertical-relative:page;margin-top:508.71pt;" coordsize="2375,33554">
                <v:rect id="Rectangle 1908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08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08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172 de 350 </w:t>
                        </w:r>
                      </w:p>
                    </w:txbxContent>
                  </v:textbox>
                </v:rect>
                <w10:wrap type="square"/>
              </v:group>
            </w:pict>
          </mc:Fallback>
        </mc:AlternateContent>
      </w:r>
      <w:r>
        <w:t>Formulado el instrumento de planeamiento, se procederá a su aprobación inicial por el órgano competente de</w:t>
      </w:r>
      <w:r>
        <w:t xml:space="preserve"> acuerdo con la legislación de régimen local, previo informe de los servicios técnicos y jurídicos municipales. Cuando se trate de un instrumento de iniciativa particular solo podrá denegarse su aprobación inicial por razones de legalidad, que resulten ins</w:t>
      </w:r>
      <w:r>
        <w:t xml:space="preserve">ubsanables. En todo caso, la aprobación inicial no condicionará en modo alguno la resolución que se derive de la tramitación del procedimiento. </w:t>
      </w:r>
    </w:p>
    <w:p w:rsidR="00025683" w:rsidRDefault="007C2AAB">
      <w:pPr>
        <w:spacing w:after="0" w:line="259" w:lineRule="auto"/>
        <w:ind w:left="14" w:firstLine="0"/>
        <w:jc w:val="left"/>
      </w:pPr>
      <w:r>
        <w:t xml:space="preserve"> </w:t>
      </w:r>
    </w:p>
    <w:p w:rsidR="00025683" w:rsidRDefault="007C2AAB">
      <w:pPr>
        <w:numPr>
          <w:ilvl w:val="0"/>
          <w:numId w:val="53"/>
        </w:numPr>
        <w:spacing w:after="12"/>
        <w:ind w:right="200"/>
      </w:pPr>
      <w:r>
        <w:rPr>
          <w:b/>
        </w:rPr>
        <w:t>El documento aprobado inicialmente se someterá a los trámites de información pública y de consulta a las administraciones afectadas por el plazo fijado por la legislación ambiental o sectorial aplicable o, en su defecto, de un mes, computados a partir de l</w:t>
      </w:r>
      <w:r>
        <w:rPr>
          <w:b/>
        </w:rPr>
        <w:t>a publicación del correspondiente anuncio en el Boletín Oficial de Canarias. El periodo de información pública se anunciará en, al menos, uno de los periódicos de mayor difusión de la isla y en la sede electrónica del ayuntamiento.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La falta de emisión d</w:t>
      </w:r>
      <w:r>
        <w:t>e los informes no interrumpirá la tramitación del procedimiento. Los informes que no se emitan dentro del plazo conferido podrán no ser tenidos en cuenta para adoptar la aprobación definitiva. La documentación que se someta a información pública deberá con</w:t>
      </w:r>
      <w:r>
        <w:t>tener los resúmenes ejecutivos y no técnicos previstos en la legislación estatal básica.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SEGUNDA. - </w:t>
      </w:r>
      <w:r>
        <w:t>Resultan de aplicación los artículos 14 y siguientes del Reglamento de Planeamiento de Canarias donde se regulan los trámites comunes de la elaboración</w:t>
      </w:r>
      <w:r>
        <w:t xml:space="preserve"> de los instrumentos de ordenación sometidos a evaluación ambiental estratégica ordinaria.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En el artículo 22 del Reglamento de Planeamiento de Canarias, aprobado por Decreto 181/2018, de 26 de diciembre que señala lo siguiente: </w:t>
      </w:r>
    </w:p>
    <w:p w:rsidR="00025683" w:rsidRDefault="007C2AAB">
      <w:pPr>
        <w:spacing w:after="0" w:line="259" w:lineRule="auto"/>
        <w:ind w:left="14" w:firstLine="0"/>
        <w:jc w:val="left"/>
      </w:pPr>
      <w:r>
        <w:t xml:space="preserve"> </w:t>
      </w:r>
    </w:p>
    <w:p w:rsidR="00025683" w:rsidRDefault="007C2AAB">
      <w:pPr>
        <w:numPr>
          <w:ilvl w:val="0"/>
          <w:numId w:val="54"/>
        </w:numPr>
        <w:ind w:right="200"/>
      </w:pPr>
      <w:r>
        <w:t>A la vista del result</w:t>
      </w:r>
      <w:r>
        <w:t>ado de los trámites anteriores, se elaborará el documento del plan que vaya a someterse a la aprobación inicial, seleccionándose aquellas alternativas que resulten más equilibradas desde la perspectiva del desarrollo sostenible, previa ponderación de los a</w:t>
      </w:r>
      <w:r>
        <w:t xml:space="preserve">spectos económicos, sociales, territoriales y ambientales; y, de ser preciso, se modificará el contenido del estudio ambiental estratégico. </w:t>
      </w:r>
    </w:p>
    <w:p w:rsidR="00025683" w:rsidRDefault="007C2AAB">
      <w:pPr>
        <w:numPr>
          <w:ilvl w:val="0"/>
          <w:numId w:val="54"/>
        </w:numPr>
        <w:ind w:right="200"/>
      </w:pPr>
      <w:r>
        <w:t xml:space="preserve">Con el fin de dar cumplimiento a lo dispuesto en el apartado anterior, el órgano competente elegirá la alternativa </w:t>
      </w:r>
      <w:r>
        <w:t xml:space="preserve">o alternativas más adecuadas a la vista de la propuesta que le formulen los servicios administrativos. </w:t>
      </w:r>
    </w:p>
    <w:p w:rsidR="00025683" w:rsidRDefault="007C2AAB">
      <w:pPr>
        <w:numPr>
          <w:ilvl w:val="0"/>
          <w:numId w:val="54"/>
        </w:numPr>
        <w:ind w:right="200"/>
      </w:pPr>
      <w:r>
        <w:t>El documento resultante, que incorporará la alternativa o alternativas seleccionadas, se someterá a informe de los servicios técnicos y jurídicos, así c</w:t>
      </w:r>
      <w:r>
        <w:t>omo de las distintas áreas y organismos dependientes o adscritos a la Administración promotora que puedan resultar afectados por el plan en razón de las competencias que ejercen, en el plazo máximo de un mes. En el caso de que los informes internos se cont</w:t>
      </w:r>
      <w:r>
        <w:t xml:space="preserve">radigan se elevará el conflicto al órgano correspondiente, para que resuelva la discrepancia mediante la emisión de un informe final.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TERCERA.- </w:t>
      </w:r>
      <w:r>
        <w:t>Artículo 23 Información pública, consulta e informes preceptivos de la aprobación inicial</w:t>
      </w:r>
      <w:r>
        <w:rPr>
          <w:rFonts w:ascii="Times New Roman" w:eastAsia="Times New Roman" w:hAnsi="Times New Roman" w:cs="Times New Roman"/>
          <w:sz w:val="24"/>
        </w:rPr>
        <w:t xml:space="preserve"> </w:t>
      </w:r>
    </w:p>
    <w:p w:rsidR="00025683" w:rsidRDefault="007C2AAB">
      <w:pPr>
        <w:numPr>
          <w:ilvl w:val="0"/>
          <w:numId w:val="55"/>
        </w:numPr>
        <w:ind w:right="200"/>
      </w:pPr>
      <w:r>
        <w:t>El documento apr</w:t>
      </w:r>
      <w:r>
        <w:t xml:space="preserve">obado inicialmente se someterá a los trámites de información pública, consulta de las administraciones públicas cuyas competencias pudiesen resultar afectadas y de las personas interesadas que hayan sido previamente consultadas y solicitud de los informes </w:t>
      </w:r>
      <w:r>
        <w:t xml:space="preserve">sectoriales preceptivos, en los términos previstos en el artículo 21 del presente Reglamento. </w:t>
      </w:r>
    </w:p>
    <w:p w:rsidR="00025683" w:rsidRDefault="007C2AAB">
      <w:pPr>
        <w:numPr>
          <w:ilvl w:val="0"/>
          <w:numId w:val="55"/>
        </w:numPr>
        <w:ind w:right="200"/>
      </w:pPr>
      <w:r>
        <w:t>Transcurrido el plazo de información pública, consulta e informes preceptivos se introducirán las modificaciones que, como consecuencia de dicho proceso particip</w:t>
      </w:r>
      <w:r>
        <w:t xml:space="preserve">ativo, se estimen oportunas, actualizándose, en su caso, el estudio ambiental estratégico. </w:t>
      </w:r>
    </w:p>
    <w:p w:rsidR="00025683" w:rsidRDefault="007C2AAB">
      <w:pPr>
        <w:numPr>
          <w:ilvl w:val="0"/>
          <w:numId w:val="55"/>
        </w:numPr>
        <w:ind w:right="200"/>
      </w:pPr>
      <w:r>
        <w:rPr>
          <w:rFonts w:ascii="Calibri" w:eastAsia="Calibri" w:hAnsi="Calibri" w:cs="Calibri"/>
          <w:noProof/>
        </w:rPr>
        <mc:AlternateContent>
          <mc:Choice Requires="wpg">
            <w:drawing>
              <wp:anchor distT="0" distB="0" distL="114300" distR="114300" simplePos="0" relativeHeight="2518446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6555" name="Group 4065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195" name="Rectangle 1919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196" name="Rectangle 1919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197" name="Rectangle 1919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173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6555" style="width:18.7031pt;height:264.21pt;position:absolute;mso-position-horizontal-relative:page;mso-position-horizontal:absolute;margin-left:662.928pt;mso-position-vertical-relative:page;margin-top:508.71pt;" coordsize="2375,33554">
                <v:rect id="Rectangle 1919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19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19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173 de 350 </w:t>
                        </w:r>
                      </w:p>
                    </w:txbxContent>
                  </v:textbox>
                </v:rect>
                <w10:wrap type="square"/>
              </v:group>
            </w:pict>
          </mc:Fallback>
        </mc:AlternateContent>
      </w:r>
      <w:r>
        <w:t>Si como consecuencia de las alegaciones formuladas o de los informes emitidos se introdujeran cambios sustanciales en relación con el documento aprobado inicialm</w:t>
      </w:r>
      <w:r>
        <w:t xml:space="preserve">ente, por el órgano promotor se llevará a cabo un nuevo periodo de información pública, consulta y de solicitud de informes preceptivos por plazo de cuarenta y cinco días. </w:t>
      </w:r>
    </w:p>
    <w:p w:rsidR="00025683" w:rsidRDefault="007C2AAB">
      <w:pPr>
        <w:spacing w:after="0" w:line="259" w:lineRule="auto"/>
        <w:ind w:left="14" w:firstLine="0"/>
        <w:jc w:val="left"/>
      </w:pPr>
      <w:r>
        <w:t xml:space="preserve"> </w:t>
      </w:r>
    </w:p>
    <w:p w:rsidR="00025683" w:rsidRDefault="007C2AAB">
      <w:pPr>
        <w:ind w:left="14" w:right="200"/>
      </w:pPr>
      <w:r>
        <w:t>Visto cuanto antecede, se considera que el expediente ha seguido la tramitación e</w:t>
      </w:r>
      <w:r>
        <w:t>stablecida en la Legislación aplicable, procediendo su aprobación por el Pleno, por mayoría absoluta del número legal de miembros de la Corporación, de conformidad con los artículos 70.2 del Reglamento de Planeamiento de Canarias, aprobado por Decreto 181/</w:t>
      </w:r>
      <w:r>
        <w:t xml:space="preserve">2018, de 26 de diciembre, y 22.2.c) y 47.2.ll) de la Ley 7/1985, de 2 de abril, Reguladora de las Bases del Régimen Local. </w:t>
      </w:r>
    </w:p>
    <w:p w:rsidR="00025683" w:rsidRDefault="007C2AAB">
      <w:pPr>
        <w:spacing w:after="0" w:line="259" w:lineRule="auto"/>
        <w:ind w:left="14" w:firstLine="0"/>
        <w:jc w:val="left"/>
      </w:pPr>
      <w:r>
        <w:t xml:space="preserve"> </w:t>
      </w:r>
    </w:p>
    <w:p w:rsidR="00025683" w:rsidRDefault="007C2AAB">
      <w:pPr>
        <w:ind w:left="14" w:right="200"/>
      </w:pPr>
      <w:r>
        <w:t>Por ello, de conformidad con lo establecido en el artículo 175 del Reglamento de Organización, Funcionamiento y Régimen Jurídico d</w:t>
      </w:r>
      <w:r>
        <w:t>e las Entidades Locales, aprobado por Real Decreto 2568/1986, de 28 de noviembre, el que suscribe eleva la siguiente propuesta de resolución: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pStyle w:val="Ttulo4"/>
        <w:ind w:left="274" w:right="455"/>
      </w:pPr>
      <w:r>
        <w:t>PROPUESTA DE RESOLUCIÓN</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PRIMERO. – </w:t>
      </w:r>
      <w:r>
        <w:t>Aprobar inicialmente el Plan Especial de Ordenación del Parque Periurbano de La Vera de Igueste, según lo indicado en el informe técnico favorable emitido con fecha 15/12/2025 que a continuación se transcribe: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ANTECEDENTES  </w:t>
      </w:r>
    </w:p>
    <w:p w:rsidR="00025683" w:rsidRDefault="007C2AAB">
      <w:pPr>
        <w:spacing w:after="0" w:line="259" w:lineRule="auto"/>
        <w:ind w:left="14" w:firstLine="0"/>
        <w:jc w:val="left"/>
      </w:pPr>
      <w:r>
        <w:t xml:space="preserve"> </w:t>
      </w:r>
    </w:p>
    <w:p w:rsidR="00025683" w:rsidRDefault="007C2AAB">
      <w:pPr>
        <w:ind w:left="14" w:right="200"/>
      </w:pPr>
      <w:r>
        <w:t>Con fecha 23 de enero de 2</w:t>
      </w:r>
      <w:r>
        <w:t xml:space="preserve">025, la Ilma. Sra. Viceconsejera de Política Territorial y Reto Demográfico ha dictado Resolución nº 14 por la que se inicia el procedimiento de Evaluación Ambiental Estratégica Ordinaria del Plan Especial Parque Periurbano La Vera de Igueste, Candelaria, </w:t>
      </w:r>
      <w:r>
        <w:t xml:space="preserve">se sometió a consultas de las administraciones públicas afectadas y de las personas interesadas. Se publicó la resolución en los boletines oficiales y en la sede electrónica, durante el plazo de 45 días hábiles. </w:t>
      </w:r>
    </w:p>
    <w:p w:rsidR="00025683" w:rsidRDefault="007C2AAB">
      <w:pPr>
        <w:spacing w:after="0" w:line="259" w:lineRule="auto"/>
        <w:ind w:left="14" w:firstLine="0"/>
        <w:jc w:val="left"/>
      </w:pPr>
      <w:r>
        <w:t xml:space="preserve"> </w:t>
      </w:r>
    </w:p>
    <w:p w:rsidR="00025683" w:rsidRDefault="007C2AAB">
      <w:pPr>
        <w:ind w:left="14" w:right="200"/>
      </w:pPr>
      <w:r>
        <w:t>La Comisión Autonómica de Evaluación Ambi</w:t>
      </w:r>
      <w:r>
        <w:t>ental, en sesión celebrada el 22 de mayo de 2025, acuerda formular, por delegación del Ayuntamiento de Candelaria, el DOCUMENTO DE ALCANCE en el procedimiento de la Evaluación Ambiental Estratégica Ordinaria del Plan Especial de Ordenación del Parque Periu</w:t>
      </w:r>
      <w:r>
        <w:t xml:space="preserve">rbano de la Vera de Igueste, en el Término Municipal de Candelaria que se incorpora como Anexo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456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6665" name="Group 4066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330" name="Rectangle 1933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331" name="Rectangle 1933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332" name="Rectangle 1933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174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6665" style="width:18.7031pt;height:264.21pt;position:absolute;mso-position-horizontal-relative:page;mso-position-horizontal:absolute;margin-left:662.928pt;mso-position-vertical-relative:page;margin-top:508.71pt;" coordsize="2375,33554">
                <v:rect id="Rectangle 1933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33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33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174 de 350 </w:t>
                        </w:r>
                      </w:p>
                    </w:txbxContent>
                  </v:textbox>
                </v:rect>
                <w10:wrap type="square"/>
              </v:group>
            </w:pict>
          </mc:Fallback>
        </mc:AlternateContent>
      </w: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DOCUMENTACIÓN INTEGRANTE DE LA APROBACION INICIAL </w:t>
      </w:r>
    </w:p>
    <w:p w:rsidR="00025683" w:rsidRDefault="007C2AAB">
      <w:pPr>
        <w:spacing w:after="0" w:line="259" w:lineRule="auto"/>
        <w:ind w:left="14" w:firstLine="0"/>
        <w:jc w:val="left"/>
      </w:pPr>
      <w:r>
        <w:t xml:space="preserve"> </w:t>
      </w:r>
    </w:p>
    <w:p w:rsidR="00025683" w:rsidRDefault="007C2AAB">
      <w:pPr>
        <w:ind w:left="14" w:right="200"/>
      </w:pPr>
      <w:r>
        <w:t>Con fecha 22 de octubre de 2025 y con registro de entrada 2025-S-RC-2806, Ainoha Castro Díaz, en represe</w:t>
      </w:r>
      <w:r>
        <w:t xml:space="preserve">ntación de GESPLAN S.A, aporta los siguientes documentos, para la aprobación inicial:  </w:t>
      </w:r>
    </w:p>
    <w:p w:rsidR="00025683" w:rsidRDefault="007C2AAB">
      <w:pPr>
        <w:ind w:left="14" w:right="200"/>
      </w:pPr>
      <w:r>
        <w:t xml:space="preserve">Documento de Información:  </w:t>
      </w:r>
    </w:p>
    <w:p w:rsidR="00025683" w:rsidRDefault="007C2AAB">
      <w:pPr>
        <w:ind w:left="14" w:right="200"/>
      </w:pPr>
      <w:r>
        <w:t xml:space="preserve">Tomo I.A Memoria de Información y Diagnóstico  </w:t>
      </w:r>
    </w:p>
    <w:p w:rsidR="00025683" w:rsidRDefault="007C2AAB">
      <w:pPr>
        <w:ind w:left="14" w:right="200"/>
      </w:pPr>
      <w:r>
        <w:t xml:space="preserve">Tomo I.B.1 Planos de Información </w:t>
      </w:r>
    </w:p>
    <w:p w:rsidR="00025683" w:rsidRDefault="007C2AAB">
      <w:pPr>
        <w:spacing w:after="0" w:line="259" w:lineRule="auto"/>
        <w:ind w:left="14" w:firstLine="0"/>
        <w:jc w:val="left"/>
      </w:pPr>
      <w:r>
        <w:t xml:space="preserve"> </w:t>
      </w:r>
    </w:p>
    <w:p w:rsidR="00025683" w:rsidRDefault="007C2AAB">
      <w:pPr>
        <w:ind w:left="14" w:right="5454"/>
      </w:pPr>
      <w:r>
        <w:t>Documento para Aprobación Inicial: Tomo II C – Normativa</w:t>
      </w:r>
      <w:r>
        <w:t xml:space="preserve"> </w:t>
      </w:r>
    </w:p>
    <w:p w:rsidR="00025683" w:rsidRDefault="007C2AAB">
      <w:pPr>
        <w:ind w:left="14" w:right="200"/>
      </w:pPr>
      <w:r>
        <w:t xml:space="preserve">Tomo I.B.2 Planos de Diagnóstico  </w:t>
      </w:r>
    </w:p>
    <w:p w:rsidR="00025683" w:rsidRDefault="007C2AAB">
      <w:pPr>
        <w:ind w:left="14" w:right="200"/>
      </w:pPr>
      <w:r>
        <w:t xml:space="preserve">Anexo I Tomo I Análisis Histórico  </w:t>
      </w:r>
    </w:p>
    <w:p w:rsidR="00025683" w:rsidRDefault="007C2AAB">
      <w:pPr>
        <w:ind w:left="14" w:right="200"/>
      </w:pPr>
      <w:r>
        <w:t xml:space="preserve">Anexo II Tomo I Análisis Patrimonial  </w:t>
      </w:r>
    </w:p>
    <w:p w:rsidR="00025683" w:rsidRDefault="007C2AAB">
      <w:pPr>
        <w:ind w:left="14" w:right="200"/>
      </w:pPr>
      <w:r>
        <w:t xml:space="preserve">Anexo II Tomo I Análisis Socioeconómico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t xml:space="preserve">Tomo II.B Planos de Ordenación  </w:t>
      </w:r>
    </w:p>
    <w:p w:rsidR="00025683" w:rsidRDefault="007C2AAB">
      <w:pPr>
        <w:ind w:left="14" w:right="200"/>
      </w:pPr>
      <w:r>
        <w:t>Tomo II.C Normativa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Tomo II.D Informe de Sostenibilidad Económica  </w:t>
      </w:r>
    </w:p>
    <w:p w:rsidR="00025683" w:rsidRDefault="007C2AAB">
      <w:pPr>
        <w:spacing w:after="0" w:line="259" w:lineRule="auto"/>
        <w:ind w:left="14" w:firstLine="0"/>
        <w:jc w:val="left"/>
      </w:pPr>
      <w:r>
        <w:t xml:space="preserve"> </w:t>
      </w:r>
    </w:p>
    <w:p w:rsidR="00025683" w:rsidRDefault="007C2AAB">
      <w:pPr>
        <w:ind w:left="14" w:right="200"/>
      </w:pPr>
      <w:r>
        <w:t xml:space="preserve">Anexo I Tomo II Criterios de diseño para el Parque Periurbano de La Vera de Igueste  </w:t>
      </w:r>
    </w:p>
    <w:p w:rsidR="00025683" w:rsidRDefault="007C2AAB">
      <w:pPr>
        <w:spacing w:after="0" w:line="259" w:lineRule="auto"/>
        <w:ind w:left="14" w:firstLine="0"/>
        <w:jc w:val="left"/>
      </w:pP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 xml:space="preserve">Tomo III.B Planos de Información Ambiental  </w:t>
      </w:r>
    </w:p>
    <w:p w:rsidR="00025683" w:rsidRDefault="007C2AAB">
      <w:pPr>
        <w:ind w:left="14" w:right="200"/>
      </w:pPr>
      <w:r>
        <w:t xml:space="preserve">Anexo I Tomo III Resumen no Técnico del Estudio Ambiental Estratégico  </w:t>
      </w:r>
    </w:p>
    <w:p w:rsidR="00025683" w:rsidRDefault="007C2AAB">
      <w:pPr>
        <w:ind w:left="14" w:right="200"/>
      </w:pPr>
      <w:r>
        <w:t xml:space="preserve">Anexo II Tomo III Análisis de Integración Paisajística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OBJETO DE LA MODIFICACION  </w:t>
      </w:r>
    </w:p>
    <w:p w:rsidR="00025683" w:rsidRDefault="007C2AAB">
      <w:pPr>
        <w:spacing w:after="0" w:line="259" w:lineRule="auto"/>
        <w:ind w:left="14" w:firstLine="0"/>
        <w:jc w:val="left"/>
      </w:pPr>
      <w:r>
        <w:t xml:space="preserve"> </w:t>
      </w:r>
    </w:p>
    <w:p w:rsidR="00025683" w:rsidRDefault="007C2AAB">
      <w:pPr>
        <w:ind w:left="14" w:right="200"/>
      </w:pPr>
      <w:r>
        <w:t>El Pla</w:t>
      </w:r>
      <w:r>
        <w:t xml:space="preserve">n Especial del Parque Periurbano de La Vera de Igueste (en adelante PEPP de La Vera de Igueste) está concebido como Instrumento urbanístico de desarrollo de las determinaciones previstas por el vigente Plan General de Ordenación de Candelaria en el ámbito </w:t>
      </w:r>
      <w:r>
        <w:t xml:space="preserve">“PE Parque Periurbano La Vera de Igueste”, teniendo como objetivo desarrollar y completar las determinaciones de ordenación pormenorizada en su ámbito.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466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7110" name="Group 4071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430" name="Rectangle 1943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431" name="Rectangle 1943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432" name="Rectangle 1943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175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110" style="width:18.7031pt;height:264.21pt;position:absolute;mso-position-horizontal-relative:page;mso-position-horizontal:absolute;margin-left:662.928pt;mso-position-vertical-relative:page;margin-top:508.71pt;" coordsize="2375,33554">
                <v:rect id="Rectangle 1943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43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43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175 de 350 </w:t>
                        </w:r>
                      </w:p>
                    </w:txbxContent>
                  </v:textbox>
                </v:rect>
                <w10:wrap type="square"/>
              </v:group>
            </w:pict>
          </mc:Fallback>
        </mc:AlternateContent>
      </w:r>
      <w:r>
        <w:t xml:space="preserve">El ámbito del Plan Especial recoge los terrenos al este del camino La Candelaria, entre el Barranco de los Mocanes y el Barranco de Chajarche con una superficie de 62.940 m2s.  </w:t>
      </w:r>
    </w:p>
    <w:p w:rsidR="00025683" w:rsidRDefault="007C2AAB">
      <w:pPr>
        <w:spacing w:after="0" w:line="259" w:lineRule="auto"/>
        <w:ind w:left="14" w:firstLine="0"/>
        <w:jc w:val="left"/>
      </w:pPr>
      <w:r>
        <w:t xml:space="preserve"> </w:t>
      </w:r>
    </w:p>
    <w:p w:rsidR="00025683" w:rsidRDefault="007C2AAB">
      <w:pPr>
        <w:ind w:left="14" w:right="200"/>
      </w:pPr>
      <w:r>
        <w:t>El ámbito del Plan Especial tiene una franja al borde del camino La Candelar</w:t>
      </w:r>
      <w:r>
        <w:t>ia contenido en la delimitación del Bien de Interés Cultural (BIC) en la categoría de Sitio Histórico, a favor del Camino de Candelaria, declarado mediante el Decreto 227/2008, de 25 de noviembre, del Gobierno de Canarias y publicado en el BOC nº245 de 9 d</w:t>
      </w:r>
      <w:r>
        <w:t xml:space="preserve">e diciembre de 2008.  </w:t>
      </w:r>
    </w:p>
    <w:p w:rsidR="00025683" w:rsidRDefault="007C2AAB">
      <w:pPr>
        <w:spacing w:after="0" w:line="259" w:lineRule="auto"/>
        <w:ind w:left="14" w:firstLine="0"/>
        <w:jc w:val="left"/>
      </w:pPr>
      <w:r>
        <w:t xml:space="preserve"> </w:t>
      </w:r>
    </w:p>
    <w:p w:rsidR="00025683" w:rsidRDefault="007C2AAB">
      <w:pPr>
        <w:ind w:left="14" w:right="200"/>
      </w:pPr>
      <w:r>
        <w:t xml:space="preserve">Los terrenos incluidos en el ámbito del PEPP de La Vera de Igueste están categorizados por el PGO de Candelaria, en su mayor parte, como Suelo Rústico de Protección Ambiental en la subcategoría de Protección Paisajística (SRPP).  </w:t>
      </w:r>
    </w:p>
    <w:p w:rsidR="00025683" w:rsidRDefault="007C2AAB">
      <w:pPr>
        <w:ind w:left="14" w:right="200"/>
      </w:pPr>
      <w:r>
        <w:t xml:space="preserve">La franja de terrenos incluida en la delimitación del BIC del Camino La Candelaria están categorizados por el PGO de Candelaria como Suelo Rústico de Protección Ambiental en la subcategoría de Protección Cultural (SRPC)  </w:t>
      </w:r>
    </w:p>
    <w:p w:rsidR="00025683" w:rsidRDefault="007C2AAB">
      <w:pPr>
        <w:spacing w:after="0" w:line="259" w:lineRule="auto"/>
        <w:ind w:left="14" w:firstLine="0"/>
        <w:jc w:val="left"/>
      </w:pPr>
      <w:r>
        <w:t xml:space="preserve"> </w:t>
      </w:r>
    </w:p>
    <w:p w:rsidR="00025683" w:rsidRDefault="007C2AAB">
      <w:pPr>
        <w:ind w:left="14" w:right="200"/>
      </w:pPr>
      <w:r>
        <w:t xml:space="preserve">El Parque Periurbano de La Vera </w:t>
      </w:r>
      <w:r>
        <w:t>de Igueste está reconocido desde el PGO de Candelaria como Espacio Libre Público de Sistema General, en la categoría de Parque Periurbano.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986" w:firstLine="0"/>
        <w:jc w:val="right"/>
      </w:pPr>
      <w:r>
        <w:rPr>
          <w:noProof/>
        </w:rPr>
        <w:drawing>
          <wp:inline distT="0" distB="0" distL="0" distR="0">
            <wp:extent cx="5396554" cy="3681880"/>
            <wp:effectExtent l="0" t="0" r="0" b="0"/>
            <wp:docPr id="19466" name="Picture 19466"/>
            <wp:cNvGraphicFramePr/>
            <a:graphic xmlns:a="http://schemas.openxmlformats.org/drawingml/2006/main">
              <a:graphicData uri="http://schemas.openxmlformats.org/drawingml/2006/picture">
                <pic:pic xmlns:pic="http://schemas.openxmlformats.org/drawingml/2006/picture">
                  <pic:nvPicPr>
                    <pic:cNvPr id="19466" name="Picture 19466"/>
                    <pic:cNvPicPr/>
                  </pic:nvPicPr>
                  <pic:blipFill>
                    <a:blip r:embed="rId86"/>
                    <a:stretch>
                      <a:fillRect/>
                    </a:stretch>
                  </pic:blipFill>
                  <pic:spPr>
                    <a:xfrm>
                      <a:off x="0" y="0"/>
                      <a:ext cx="5396554" cy="3681880"/>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Suelo rustico de protección paisajística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476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7453" name="Group 4074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471" name="Rectangle 1947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472" name="Rectangle 1947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473" name="Rectangle 1947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176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453" style="width:18.7031pt;height:264.21pt;position:absolute;mso-position-horizontal-relative:page;mso-position-horizontal:absolute;margin-left:662.928pt;mso-position-vertical-relative:page;margin-top:508.71pt;" coordsize="2375,33554">
                <v:rect id="Rectangle 1947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47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47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176 de 350 </w:t>
                        </w:r>
                      </w:p>
                    </w:txbxContent>
                  </v:textbox>
                </v:rect>
                <w10:wrap type="square"/>
              </v:group>
            </w:pict>
          </mc:Fallback>
        </mc:AlternateContent>
      </w:r>
      <w:r>
        <w:rPr>
          <w:b/>
        </w:rPr>
        <w:t xml:space="preserve"> </w:t>
      </w:r>
    </w:p>
    <w:p w:rsidR="00025683" w:rsidRDefault="007C2AAB">
      <w:pPr>
        <w:spacing w:after="0" w:line="259" w:lineRule="auto"/>
        <w:ind w:left="0" w:right="1015" w:firstLine="0"/>
        <w:jc w:val="right"/>
      </w:pPr>
      <w:r>
        <w:rPr>
          <w:noProof/>
        </w:rPr>
        <w:drawing>
          <wp:inline distT="0" distB="0" distL="0" distR="0">
            <wp:extent cx="5384104" cy="3639273"/>
            <wp:effectExtent l="0" t="0" r="0" b="0"/>
            <wp:docPr id="19468" name="Picture 19468"/>
            <wp:cNvGraphicFramePr/>
            <a:graphic xmlns:a="http://schemas.openxmlformats.org/drawingml/2006/main">
              <a:graphicData uri="http://schemas.openxmlformats.org/drawingml/2006/picture">
                <pic:pic xmlns:pic="http://schemas.openxmlformats.org/drawingml/2006/picture">
                  <pic:nvPicPr>
                    <pic:cNvPr id="19468" name="Picture 19468"/>
                    <pic:cNvPicPr/>
                  </pic:nvPicPr>
                  <pic:blipFill>
                    <a:blip r:embed="rId87"/>
                    <a:stretch>
                      <a:fillRect/>
                    </a:stretch>
                  </pic:blipFill>
                  <pic:spPr>
                    <a:xfrm>
                      <a:off x="0" y="0"/>
                      <a:ext cx="5384104" cy="3639273"/>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Parque periurbano</w:t>
      </w:r>
      <w:r>
        <w:rPr>
          <w:rFonts w:ascii="Times New Roman" w:eastAsia="Times New Roman" w:hAnsi="Times New Roman" w:cs="Times New Roman"/>
          <w:sz w:val="24"/>
        </w:rPr>
        <w:t xml:space="preserve"> </w:t>
      </w:r>
    </w:p>
    <w:p w:rsidR="00025683" w:rsidRDefault="007C2AAB">
      <w:pPr>
        <w:spacing w:after="0" w:line="259" w:lineRule="auto"/>
        <w:ind w:left="14" w:firstLine="0"/>
      </w:pPr>
      <w:r>
        <w:rPr>
          <w:rFonts w:ascii="Calibri" w:eastAsia="Calibri" w:hAnsi="Calibri" w:cs="Calibri"/>
          <w:noProof/>
        </w:rPr>
        <mc:AlternateContent>
          <mc:Choice Requires="wpg">
            <w:drawing>
              <wp:anchor distT="0" distB="0" distL="114300" distR="114300" simplePos="0" relativeHeight="25184870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7543" name="Group 4075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504" name="Rectangle 1950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505" name="Rectangle 1950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https://candelaria.</w:t>
                              </w:r>
                              <w:r>
                                <w:rPr>
                                  <w:sz w:val="12"/>
                                </w:rPr>
                                <w:t xml:space="preserve">sedelectronica.es/ </w:t>
                              </w:r>
                            </w:p>
                          </w:txbxContent>
                        </wps:txbx>
                        <wps:bodyPr horzOverflow="overflow" vert="horz" lIns="0" tIns="0" rIns="0" bIns="0" rtlCol="0">
                          <a:noAutofit/>
                        </wps:bodyPr>
                      </wps:wsp>
                      <wps:wsp>
                        <wps:cNvPr id="19506" name="Rectangle 1950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177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543" style="width:18.7031pt;height:264.21pt;position:absolute;mso-position-horizontal-relative:page;mso-position-horizontal:absolute;margin-left:662.928pt;mso-position-vertical-relative:page;margin-top:508.71pt;" coordsize="2375,33554">
                <v:rect id="Rectangle 1950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50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50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177 de 350 </w:t>
                        </w:r>
                      </w:p>
                    </w:txbxContent>
                  </v:textbox>
                </v:rect>
                <w10:wrap type="topAndBottom"/>
              </v:group>
            </w:pict>
          </mc:Fallback>
        </mc:AlternateContent>
      </w:r>
      <w:r>
        <w:rPr>
          <w:noProof/>
        </w:rPr>
        <w:drawing>
          <wp:inline distT="0" distB="0" distL="0" distR="0">
            <wp:extent cx="5373338" cy="8011935"/>
            <wp:effectExtent l="0" t="0" r="0" b="0"/>
            <wp:docPr id="19501" name="Picture 19501"/>
            <wp:cNvGraphicFramePr/>
            <a:graphic xmlns:a="http://schemas.openxmlformats.org/drawingml/2006/main">
              <a:graphicData uri="http://schemas.openxmlformats.org/drawingml/2006/picture">
                <pic:pic xmlns:pic="http://schemas.openxmlformats.org/drawingml/2006/picture">
                  <pic:nvPicPr>
                    <pic:cNvPr id="19501" name="Picture 19501"/>
                    <pic:cNvPicPr/>
                  </pic:nvPicPr>
                  <pic:blipFill>
                    <a:blip r:embed="rId88"/>
                    <a:stretch>
                      <a:fillRect/>
                    </a:stretch>
                  </pic:blipFill>
                  <pic:spPr>
                    <a:xfrm>
                      <a:off x="0" y="0"/>
                      <a:ext cx="5373338" cy="8011935"/>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12"/>
        <w:ind w:left="22" w:right="197"/>
      </w:pPr>
      <w:r>
        <w:rPr>
          <w:b/>
        </w:rPr>
        <w:t xml:space="preserve">      1.ALTERNATIVA SELECCIONADA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El ámbito del Parque Periurbano de Pasacola, se encuentra íntegramente incluido en el Bien de Interés Cultural (BIC) del Camino de Candelaria, en atención a sus elementos patrimoniales existentes, su valor cultural y ambiental, así como a la presencia de l</w:t>
      </w:r>
      <w:r>
        <w:t xml:space="preserve">os vestigios del antiguo caserío de Pasacola, considerado el primer asentamiento humano en las medianías del municipio. Por esta razón, la propuesta de ordenación se fundamenta en un modelo de intervención mínima, respetuoso con la memoria histórica y los </w:t>
      </w:r>
      <w:r>
        <w:t xml:space="preserve">valores ambientales del lugar. En este marco, se prioriza la restauración del paisaje agrario tradicional y la activación de usos compatibles con el carácter patrimonial y productivo del entorno.  </w:t>
      </w:r>
    </w:p>
    <w:p w:rsidR="00025683" w:rsidRDefault="007C2AAB">
      <w:pPr>
        <w:spacing w:after="0" w:line="259" w:lineRule="auto"/>
        <w:ind w:left="14" w:firstLine="0"/>
        <w:jc w:val="left"/>
      </w:pPr>
      <w:r>
        <w:t xml:space="preserve">  </w:t>
      </w:r>
    </w:p>
    <w:p w:rsidR="00025683" w:rsidRDefault="007C2AAB">
      <w:pPr>
        <w:ind w:left="14" w:right="200"/>
      </w:pPr>
      <w:r>
        <w:t>De forma complementaria, el Parque Periurbano de La Ver</w:t>
      </w:r>
      <w:r>
        <w:t>a de Igueste se concibe como un ámbito destinado a usos recreativos, de esparcimiento, descanso y contemplación del paisaje, planteados siempre con un nivel de baja intensidad e intervención en el territorio, de manera que resulten compatibles con los valo</w:t>
      </w:r>
      <w:r>
        <w:t xml:space="preserve">res patrimoniales y ambientales del conjunto. </w:t>
      </w:r>
    </w:p>
    <w:p w:rsidR="00025683" w:rsidRDefault="007C2AAB">
      <w:pPr>
        <w:spacing w:after="0" w:line="259" w:lineRule="auto"/>
        <w:ind w:left="14" w:firstLine="0"/>
        <w:jc w:val="left"/>
      </w:pPr>
      <w:r>
        <w:t xml:space="preserve">  </w:t>
      </w:r>
    </w:p>
    <w:p w:rsidR="00025683" w:rsidRDefault="007C2AAB">
      <w:pPr>
        <w:ind w:left="14" w:right="200"/>
      </w:pPr>
      <w:r>
        <w:t>Se opta por la Alternativa 2, cuya ordenación plantea una propuesta de intervención moderada que incorpora instalaciones destinadas a favorecer el uso ciudadano en ciertas zonas del parque. Dichas instalaci</w:t>
      </w:r>
      <w:r>
        <w:t>ones estarán orientadas tanto a los vecinos de los barrios cercanos como a la ciudadanía del municipio en general, posibilitando actividades de descanso, esparcimiento y juego infantil, y ofreciendo, además, un espacio de reposo para los senderistas que re</w:t>
      </w:r>
      <w:r>
        <w:t>corran el Camino de La Candelaria.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497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7471" name="Group 4074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605" name="Rectangle 1960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606" name="Rectangle 1960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607" name="Rectangle 1960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178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471" style="width:18.7031pt;height:264.21pt;position:absolute;mso-position-horizontal-relative:page;mso-position-horizontal:absolute;margin-left:662.928pt;mso-position-vertical-relative:page;margin-top:508.71pt;" coordsize="2375,33554">
                <v:rect id="Rectangle 1960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60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60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178 de 350 </w:t>
                        </w:r>
                      </w:p>
                    </w:txbxContent>
                  </v:textbox>
                </v:rect>
                <w10:wrap type="square"/>
              </v:group>
            </w:pict>
          </mc:Fallback>
        </mc:AlternateContent>
      </w:r>
      <w:r>
        <w:t>Por otra parte, resulta imprescindible garantizar la coordinación y complementariedad entre la propuesta de ordenación del Parque Periurbano de La Vera de Igueste y la del Parque Periurbano de Pasacola, cuyos planes especiales se encuentran en proceso de r</w:t>
      </w:r>
      <w:r>
        <w:t xml:space="preserve">edacción de manera simultánea </w:t>
      </w:r>
    </w:p>
    <w:p w:rsidR="00025683" w:rsidRDefault="007C2AAB">
      <w:pPr>
        <w:spacing w:after="0" w:line="259" w:lineRule="auto"/>
        <w:ind w:left="14" w:firstLine="0"/>
        <w:jc w:val="left"/>
      </w:pPr>
      <w:r>
        <w:t xml:space="preserve"> </w:t>
      </w:r>
    </w:p>
    <w:p w:rsidR="00025683" w:rsidRDefault="007C2AAB">
      <w:pPr>
        <w:ind w:left="14" w:right="200"/>
      </w:pPr>
      <w:r>
        <w:t xml:space="preserve">Con esta alternativa se resuelve la accesibilidad a la zona, mediante la incorporación de una zona de aparcamientos destinada a dar servicio a ambos parques.  </w:t>
      </w:r>
    </w:p>
    <w:p w:rsidR="00025683" w:rsidRDefault="007C2AAB">
      <w:pPr>
        <w:spacing w:after="3" w:line="238" w:lineRule="auto"/>
        <w:ind w:left="9" w:hanging="10"/>
        <w:jc w:val="left"/>
      </w:pPr>
      <w:r>
        <w:t>La intervención se orientará prioritariamente a la recualificac</w:t>
      </w:r>
      <w:r>
        <w:t xml:space="preserve">ión del paisaje, mediante la recuperación del carácter agrícola tradicional del espacio y la regeneración ambiental y paisajística del entorno, garantizando al mismo tiempo la protección de la vegetación potencial y de los hábitats naturales existentes. </w:t>
      </w:r>
    </w:p>
    <w:p w:rsidR="00025683" w:rsidRDefault="007C2AAB">
      <w:pPr>
        <w:spacing w:after="0" w:line="259" w:lineRule="auto"/>
        <w:ind w:left="14" w:firstLine="0"/>
        <w:jc w:val="left"/>
      </w:pPr>
      <w:r>
        <w:t xml:space="preserve"> </w:t>
      </w:r>
    </w:p>
    <w:p w:rsidR="00025683" w:rsidRDefault="007C2AAB">
      <w:pPr>
        <w:ind w:left="14" w:right="200"/>
      </w:pPr>
      <w:r>
        <w:t>En lo que respecta al transporte público se propone ubicar una nueva parada de la línea 2 del Taxi compartido de Candelaria en las proximidades del parque. Está parada deberá contar con algún tipo de infraestructura como una marquesina que proporcione som</w:t>
      </w:r>
      <w:r>
        <w:t>bra a los usuarios y haga más agradable la espera. Esta medida tiene como objetivo mejorar la conectividad actual del parque con el resto del municipio, facilitando el acceso y fomentando el uso del transporte público para llegar al área del Parque Periurb</w:t>
      </w:r>
      <w:r>
        <w:t xml:space="preserve">ano de La Vera de Igueste.  </w:t>
      </w:r>
    </w:p>
    <w:p w:rsidR="00025683" w:rsidRDefault="007C2AAB">
      <w:pPr>
        <w:spacing w:after="0" w:line="259" w:lineRule="auto"/>
        <w:ind w:left="14" w:firstLine="0"/>
        <w:jc w:val="left"/>
      </w:pPr>
      <w:r>
        <w:t xml:space="preserve"> </w:t>
      </w:r>
    </w:p>
    <w:p w:rsidR="00025683" w:rsidRDefault="007C2AAB">
      <w:pPr>
        <w:ind w:left="14" w:right="200"/>
      </w:pPr>
      <w:r>
        <w:t>La accesibilidad en el interior del Parque Periurbano de La Vera de Igueste se fundamenta en la regeneración de los senderos y caminos que se conservan, ampliándose para la creación de recorridos que permitan la incorporación de circuitos y aparatos saluda</w:t>
      </w:r>
      <w:r>
        <w:t xml:space="preserve">bles, así como descubrir las áreas regeneradas y los valores del paisaje.  </w:t>
      </w:r>
    </w:p>
    <w:p w:rsidR="00025683" w:rsidRDefault="007C2AAB">
      <w:pPr>
        <w:spacing w:after="0" w:line="259" w:lineRule="auto"/>
        <w:ind w:left="14" w:firstLine="0"/>
        <w:jc w:val="left"/>
      </w:pPr>
      <w:r>
        <w:t xml:space="preserve"> </w:t>
      </w:r>
    </w:p>
    <w:p w:rsidR="00025683" w:rsidRDefault="007C2AAB">
      <w:pPr>
        <w:ind w:left="14" w:right="200"/>
      </w:pPr>
      <w:r>
        <w:t>Se propone la creación de cuatro miradores: el Mirador de La Jiménez, vinculado al acceso peatonal junto al Camino de La Candelaria; los miradores de Las Caletillas y de Candelar</w:t>
      </w:r>
      <w:r>
        <w:t xml:space="preserve">ia, situados al sur del ámbito y asociados a los recorridos peatonales propuestos; y, por último, el Mirador de Igueste, ubicado al noreste y vinculado al área de recuperación del cultivo tradicional. </w:t>
      </w:r>
    </w:p>
    <w:p w:rsidR="00025683" w:rsidRDefault="007C2AAB">
      <w:pPr>
        <w:spacing w:after="0" w:line="259" w:lineRule="auto"/>
        <w:ind w:left="14" w:firstLine="0"/>
        <w:jc w:val="left"/>
      </w:pPr>
      <w:r>
        <w:t xml:space="preserve"> </w:t>
      </w:r>
    </w:p>
    <w:p w:rsidR="00025683" w:rsidRDefault="007C2AAB">
      <w:pPr>
        <w:ind w:left="14" w:right="200"/>
      </w:pPr>
      <w:r>
        <w:t>En este marco, se han definido cuatro zonas de orden</w:t>
      </w:r>
      <w:r>
        <w:t>ación, sobre las cuales se establecen las condiciones de intervención que servirán de guía para el desarrollo del futuro proyecto de ejecución del Parque Periurbano, asegurando que cada actuación respete el entorno y contribuya a la integración paisajístic</w:t>
      </w:r>
      <w:r>
        <w:t>a, funcional y cultural del espacio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5075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7714" name="Group 4077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656" name="Rectangle 1965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657" name="Rectangle 1965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658" name="Rectangle 1965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179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714" style="width:18.7031pt;height:264.21pt;position:absolute;mso-position-horizontal-relative:page;mso-position-horizontal:absolute;margin-left:662.928pt;mso-position-vertical-relative:page;margin-top:508.71pt;" coordsize="2375,33554">
                <v:rect id="Rectangle 1965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65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65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179 de 350 </w:t>
                        </w:r>
                      </w:p>
                    </w:txbxContent>
                  </v:textbox>
                </v:rect>
                <w10:wrap type="topAndBottom"/>
              </v:group>
            </w:pict>
          </mc:Fallback>
        </mc:AlternateContent>
      </w:r>
      <w:r>
        <w:rPr>
          <w:b/>
          <w:color w:val="FF0000"/>
        </w:rPr>
        <w:t xml:space="preserve"> </w:t>
      </w:r>
    </w:p>
    <w:p w:rsidR="00025683" w:rsidRDefault="007C2AAB">
      <w:pPr>
        <w:spacing w:after="0" w:line="259" w:lineRule="auto"/>
        <w:ind w:left="0" w:right="611" w:firstLine="0"/>
        <w:jc w:val="right"/>
      </w:pPr>
      <w:r>
        <w:rPr>
          <w:noProof/>
        </w:rPr>
        <w:drawing>
          <wp:inline distT="0" distB="0" distL="0" distR="0">
            <wp:extent cx="5636414" cy="5990935"/>
            <wp:effectExtent l="0" t="0" r="0" b="0"/>
            <wp:docPr id="19653" name="Picture 19653"/>
            <wp:cNvGraphicFramePr/>
            <a:graphic xmlns:a="http://schemas.openxmlformats.org/drawingml/2006/main">
              <a:graphicData uri="http://schemas.openxmlformats.org/drawingml/2006/picture">
                <pic:pic xmlns:pic="http://schemas.openxmlformats.org/drawingml/2006/picture">
                  <pic:nvPicPr>
                    <pic:cNvPr id="19653" name="Picture 19653"/>
                    <pic:cNvPicPr/>
                  </pic:nvPicPr>
                  <pic:blipFill>
                    <a:blip r:embed="rId89"/>
                    <a:stretch>
                      <a:fillRect/>
                    </a:stretch>
                  </pic:blipFill>
                  <pic:spPr>
                    <a:xfrm>
                      <a:off x="0" y="0"/>
                      <a:ext cx="5636414" cy="5990935"/>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ind w:left="14" w:right="200"/>
      </w:pPr>
      <w:r>
        <w:t>Zona A – Banc</w:t>
      </w:r>
      <w:r>
        <w:t xml:space="preserve">ales tradicionales  </w:t>
      </w:r>
    </w:p>
    <w:p w:rsidR="00025683" w:rsidRDefault="007C2AAB">
      <w:pPr>
        <w:ind w:left="14" w:right="200"/>
      </w:pPr>
      <w:r>
        <w:t>Incluye las áreas de bancales originales que, por su estado de conservación, resulten susceptibles de recuperación. Se prevé la restauración de muros y bancales, así como de los sistemas de riego tradicionales existentes, con el fin de</w:t>
      </w:r>
      <w:r>
        <w:t xml:space="preserve"> recuperar el carácter agrícola de la zona.  </w:t>
      </w:r>
    </w:p>
    <w:p w:rsidR="00025683" w:rsidRDefault="007C2AAB">
      <w:pPr>
        <w:spacing w:after="0" w:line="259" w:lineRule="auto"/>
        <w:ind w:left="14" w:firstLine="0"/>
        <w:jc w:val="left"/>
      </w:pPr>
      <w:r>
        <w:t xml:space="preserve"> </w:t>
      </w:r>
    </w:p>
    <w:p w:rsidR="00025683" w:rsidRDefault="007C2AAB">
      <w:pPr>
        <w:ind w:left="14" w:right="200"/>
      </w:pPr>
      <w:r>
        <w:t xml:space="preserve">Zona B – Área de aparcamiento  </w:t>
      </w:r>
    </w:p>
    <w:p w:rsidR="00025683" w:rsidRDefault="007C2AAB">
      <w:pPr>
        <w:spacing w:after="0" w:line="259" w:lineRule="auto"/>
        <w:ind w:left="14" w:firstLine="0"/>
        <w:jc w:val="left"/>
      </w:pPr>
      <w:r>
        <w:t xml:space="preserve"> </w:t>
      </w:r>
    </w:p>
    <w:p w:rsidR="00025683" w:rsidRDefault="007C2AAB">
      <w:pPr>
        <w:ind w:left="14" w:right="200"/>
      </w:pPr>
      <w:r>
        <w:t>Área que albergará zona de estacionamiento para vehículos que de servicio tanto al Parque de La Vera de Igueste como al cercano parque de Pasacola. 65 plazas aproximadamente.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ind w:left="14" w:right="200"/>
      </w:pPr>
      <w:r>
        <w:t xml:space="preserve">Zona C – Área recreativa  </w:t>
      </w:r>
    </w:p>
    <w:p w:rsidR="00025683" w:rsidRDefault="007C2AAB">
      <w:pPr>
        <w:spacing w:after="0" w:line="259" w:lineRule="auto"/>
        <w:ind w:left="14" w:firstLine="0"/>
        <w:jc w:val="left"/>
      </w:pPr>
      <w:r>
        <w:t xml:space="preserve"> </w:t>
      </w:r>
    </w:p>
    <w:p w:rsidR="00025683" w:rsidRDefault="007C2AAB">
      <w:pPr>
        <w:ind w:left="14" w:right="200"/>
      </w:pPr>
      <w:r>
        <w:t>En la zona central del parque, donde las estructuras de bancales se han perdido prácticamente del todo, se incorporará una zona recreativa para el esparcimiento con áreas de estancia, picnic, juegos infantiles y actividades</w:t>
      </w:r>
      <w:r>
        <w:t xml:space="preserve"> deportivas, así como la incorporación de nuevos senderos y caminos que favorezcan su conexión interna y permitan el paseo y la práctica de la carrera a pie  </w:t>
      </w:r>
    </w:p>
    <w:p w:rsidR="00025683" w:rsidRDefault="007C2AAB">
      <w:pPr>
        <w:spacing w:after="0" w:line="259" w:lineRule="auto"/>
        <w:ind w:left="14" w:firstLine="0"/>
        <w:jc w:val="left"/>
      </w:pPr>
      <w:r>
        <w:t xml:space="preserve"> </w:t>
      </w:r>
    </w:p>
    <w:p w:rsidR="00025683" w:rsidRDefault="007C2AAB">
      <w:pPr>
        <w:ind w:left="14" w:right="200"/>
      </w:pPr>
      <w:r>
        <w:t xml:space="preserve">Zona D – Rehabilitación ambiental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517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6164" name="Group 4061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758" name="Rectangle 1975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759" name="Rectangle 1975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760" name="Rectangle 1976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180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6164" style="width:18.7031pt;height:264.21pt;position:absolute;mso-position-horizontal-relative:page;mso-position-horizontal:absolute;margin-left:662.928pt;mso-position-vertical-relative:page;margin-top:508.71pt;" coordsize="2375,33554">
                <v:rect id="Rectangle 1975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75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76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180 de 350 </w:t>
                        </w:r>
                      </w:p>
                    </w:txbxContent>
                  </v:textbox>
                </v:rect>
                <w10:wrap type="square"/>
              </v:group>
            </w:pict>
          </mc:Fallback>
        </mc:AlternateContent>
      </w:r>
      <w:r>
        <w:t xml:space="preserve"> </w:t>
      </w:r>
    </w:p>
    <w:p w:rsidR="00025683" w:rsidRDefault="007C2AAB">
      <w:pPr>
        <w:ind w:left="14" w:right="200"/>
      </w:pPr>
      <w:r>
        <w:t>En los restantes terrenos que conforman el plan especial, se plantea exclusivamente la regeneración y li</w:t>
      </w:r>
      <w:r>
        <w:t xml:space="preserve">mpieza del entorno, priorizando la conservación y el mantenimiento de los hábitats naturales existentes.  </w:t>
      </w:r>
    </w:p>
    <w:p w:rsidR="00025683" w:rsidRDefault="007C2AAB">
      <w:pPr>
        <w:spacing w:after="0" w:line="259" w:lineRule="auto"/>
        <w:ind w:left="14" w:firstLine="0"/>
        <w:jc w:val="left"/>
      </w:pPr>
      <w:r>
        <w:t xml:space="preserve"> </w:t>
      </w:r>
    </w:p>
    <w:p w:rsidR="00025683" w:rsidRDefault="007C2AAB">
      <w:pPr>
        <w:ind w:left="14" w:right="200"/>
      </w:pPr>
      <w:r>
        <w:t>En las áreas susceptibles de revegetación, se fomentará la plantación de especies autóctonas propias del piso bioclimático, así como se procederá a</w:t>
      </w:r>
      <w:r>
        <w:t xml:space="preserve"> la eliminación de especies invasoras detectadas.  </w:t>
      </w:r>
    </w:p>
    <w:p w:rsidR="00025683" w:rsidRDefault="007C2AAB">
      <w:pPr>
        <w:spacing w:after="0" w:line="259" w:lineRule="auto"/>
        <w:ind w:left="14" w:firstLine="0"/>
        <w:jc w:val="left"/>
      </w:pPr>
      <w:r>
        <w:t xml:space="preserve"> </w:t>
      </w:r>
    </w:p>
    <w:p w:rsidR="00025683" w:rsidRDefault="007C2AAB">
      <w:pPr>
        <w:ind w:left="14" w:right="200"/>
      </w:pPr>
      <w:r>
        <w:t xml:space="preserve">La movilidad y accesibilidad al Parque de La Vera de Igueste dependen actualmente del camino de Candelaria, único viario de acceso. Este camino también da servicio al futuro Parque de Pasacola, situado </w:t>
      </w:r>
      <w:r>
        <w:t xml:space="preserve">en las proximidades.  </w:t>
      </w:r>
    </w:p>
    <w:p w:rsidR="00025683" w:rsidRDefault="007C2AAB">
      <w:pPr>
        <w:spacing w:after="0" w:line="259" w:lineRule="auto"/>
        <w:ind w:left="14" w:firstLine="0"/>
        <w:jc w:val="left"/>
      </w:pPr>
      <w:r>
        <w:t xml:space="preserve"> </w:t>
      </w:r>
    </w:p>
    <w:p w:rsidR="00025683" w:rsidRDefault="007C2AAB">
      <w:pPr>
        <w:ind w:left="14" w:right="200"/>
      </w:pPr>
      <w:r>
        <w:t>Se ha considerado fundamental, para la ordenación y el planteamiento de la movilidad de la zona, entender ambos parques como propuestas complementarias. En este sentido, la zona de aparcamientos prevista, estará destinada a cubrir las necesidades de estaci</w:t>
      </w:r>
      <w:r>
        <w:t>onamiento de ambos espacios. Desde dicho aparcamiento, el acceso al Parque de Pasacola será prioritariamente peatonal, atendiendo a la consideración del camino de Candelaria como sitio histórico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0" w:line="216" w:lineRule="auto"/>
        <w:ind w:left="14" w:right="1704" w:firstLine="0"/>
      </w:pPr>
      <w:r>
        <w:rPr>
          <w:rFonts w:ascii="Calibri" w:eastAsia="Calibri" w:hAnsi="Calibri" w:cs="Calibri"/>
          <w:noProof/>
        </w:rPr>
        <mc:AlternateContent>
          <mc:Choice Requires="wpg">
            <w:drawing>
              <wp:anchor distT="0" distB="0" distL="114300" distR="114300" simplePos="0" relativeHeight="2518528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7005" name="Group 4070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792" name="Rectangle 1979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793" name="Rectangle 1979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w:t>
                              </w:r>
                              <w:r>
                                <w:rPr>
                                  <w:sz w:val="12"/>
                                </w:rPr>
                                <w:t xml:space="preserve">ación: https://candelaria.sedelectronica.es/ </w:t>
                              </w:r>
                            </w:p>
                          </w:txbxContent>
                        </wps:txbx>
                        <wps:bodyPr horzOverflow="overflow" vert="horz" lIns="0" tIns="0" rIns="0" bIns="0" rtlCol="0">
                          <a:noAutofit/>
                        </wps:bodyPr>
                      </wps:wsp>
                      <wps:wsp>
                        <wps:cNvPr id="19794" name="Rectangle 1979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181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005" style="width:18.7031pt;height:264.21pt;position:absolute;mso-position-horizontal-relative:page;mso-position-horizontal:absolute;margin-left:662.928pt;mso-position-vertical-relative:page;margin-top:508.71pt;" coordsize="2375,33554">
                <v:rect id="Rectangle 1979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79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79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181 de 350 </w:t>
                        </w:r>
                      </w:p>
                    </w:txbxContent>
                  </v:textbox>
                </v:rect>
                <w10:wrap type="topAndBottom"/>
              </v:group>
            </w:pict>
          </mc:Fallback>
        </mc:AlternateContent>
      </w:r>
      <w:r>
        <w:rPr>
          <w:noProof/>
        </w:rPr>
        <w:drawing>
          <wp:inline distT="0" distB="0" distL="0" distR="0">
            <wp:extent cx="4943805" cy="6228487"/>
            <wp:effectExtent l="0" t="0" r="0" b="0"/>
            <wp:docPr id="19789" name="Picture 19789"/>
            <wp:cNvGraphicFramePr/>
            <a:graphic xmlns:a="http://schemas.openxmlformats.org/drawingml/2006/main">
              <a:graphicData uri="http://schemas.openxmlformats.org/drawingml/2006/picture">
                <pic:pic xmlns:pic="http://schemas.openxmlformats.org/drawingml/2006/picture">
                  <pic:nvPicPr>
                    <pic:cNvPr id="19789" name="Picture 19789"/>
                    <pic:cNvPicPr/>
                  </pic:nvPicPr>
                  <pic:blipFill>
                    <a:blip r:embed="rId90"/>
                    <a:stretch>
                      <a:fillRect/>
                    </a:stretch>
                  </pic:blipFill>
                  <pic:spPr>
                    <a:xfrm>
                      <a:off x="0" y="0"/>
                      <a:ext cx="4943805" cy="6228487"/>
                    </a:xfrm>
                    <a:prstGeom prst="rect">
                      <a:avLst/>
                    </a:prstGeom>
                  </pic:spPr>
                </pic:pic>
              </a:graphicData>
            </a:graphic>
          </wp:inline>
        </w:drawing>
      </w:r>
      <w:r>
        <w:rPr>
          <w:rFonts w:ascii="Times New Roman" w:eastAsia="Times New Roman" w:hAnsi="Times New Roman" w:cs="Times New Roman"/>
          <w:sz w:val="24"/>
        </w:rPr>
        <w:t xml:space="preserve"> </w:t>
      </w:r>
      <w:r>
        <w:rPr>
          <w:b/>
          <w:color w:val="FF0000"/>
        </w:rPr>
        <w:t xml:space="preserve"> </w:t>
      </w:r>
    </w:p>
    <w:p w:rsidR="00025683" w:rsidRDefault="007C2AAB">
      <w:pPr>
        <w:spacing w:after="0" w:line="259" w:lineRule="auto"/>
        <w:ind w:left="0" w:right="983" w:firstLine="0"/>
        <w:jc w:val="right"/>
      </w:pPr>
      <w:r>
        <w:rPr>
          <w:rFonts w:ascii="Calibri" w:eastAsia="Calibri" w:hAnsi="Calibri" w:cs="Calibri"/>
          <w:noProof/>
        </w:rPr>
        <mc:AlternateContent>
          <mc:Choice Requires="wpg">
            <w:drawing>
              <wp:inline distT="0" distB="0" distL="0" distR="0">
                <wp:extent cx="5386428" cy="5617447"/>
                <wp:effectExtent l="0" t="0" r="0" b="0"/>
                <wp:docPr id="407688" name="Group 407688"/>
                <wp:cNvGraphicFramePr/>
                <a:graphic xmlns:a="http://schemas.openxmlformats.org/drawingml/2006/main">
                  <a:graphicData uri="http://schemas.microsoft.com/office/word/2010/wordprocessingGroup">
                    <wpg:wgp>
                      <wpg:cNvGrpSpPr/>
                      <wpg:grpSpPr>
                        <a:xfrm>
                          <a:off x="0" y="0"/>
                          <a:ext cx="5386428" cy="5617447"/>
                          <a:chOff x="0" y="0"/>
                          <a:chExt cx="5386428" cy="5617447"/>
                        </a:xfrm>
                      </wpg:grpSpPr>
                      <wps:wsp>
                        <wps:cNvPr id="19820" name="Rectangle 19820"/>
                        <wps:cNvSpPr/>
                        <wps:spPr>
                          <a:xfrm>
                            <a:off x="5105146" y="182624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821" name="Rectangle 19821"/>
                        <wps:cNvSpPr/>
                        <wps:spPr>
                          <a:xfrm>
                            <a:off x="305" y="1963162"/>
                            <a:ext cx="51809" cy="207922"/>
                          </a:xfrm>
                          <a:prstGeom prst="rect">
                            <a:avLst/>
                          </a:prstGeom>
                          <a:ln>
                            <a:noFill/>
                          </a:ln>
                        </wps:spPr>
                        <wps:txbx>
                          <w:txbxContent>
                            <w:p w:rsidR="00025683" w:rsidRDefault="007C2AAB">
                              <w:pPr>
                                <w:spacing w:after="160" w:line="259" w:lineRule="auto"/>
                                <w:ind w:lef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19825" name="Picture 19825"/>
                          <pic:cNvPicPr/>
                        </pic:nvPicPr>
                        <pic:blipFill>
                          <a:blip r:embed="rId93"/>
                          <a:stretch>
                            <a:fillRect/>
                          </a:stretch>
                        </pic:blipFill>
                        <pic:spPr>
                          <a:xfrm>
                            <a:off x="0" y="0"/>
                            <a:ext cx="5075510" cy="1961344"/>
                          </a:xfrm>
                          <a:prstGeom prst="rect">
                            <a:avLst/>
                          </a:prstGeom>
                        </pic:spPr>
                      </pic:pic>
                      <pic:pic xmlns:pic="http://schemas.openxmlformats.org/drawingml/2006/picture">
                        <pic:nvPicPr>
                          <pic:cNvPr id="19827" name="Picture 19827"/>
                          <pic:cNvPicPr/>
                        </pic:nvPicPr>
                        <pic:blipFill>
                          <a:blip r:embed="rId94"/>
                          <a:stretch>
                            <a:fillRect/>
                          </a:stretch>
                        </pic:blipFill>
                        <pic:spPr>
                          <a:xfrm>
                            <a:off x="0" y="2122783"/>
                            <a:ext cx="5386428" cy="3494663"/>
                          </a:xfrm>
                          <a:prstGeom prst="rect">
                            <a:avLst/>
                          </a:prstGeom>
                        </pic:spPr>
                      </pic:pic>
                    </wpg:wgp>
                  </a:graphicData>
                </a:graphic>
              </wp:inline>
            </w:drawing>
          </mc:Choice>
          <mc:Fallback xmlns:a="http://schemas.openxmlformats.org/drawingml/2006/main">
            <w:pict>
              <v:group id="Group 407688" style="width:424.128pt;height:442.319pt;mso-position-horizontal-relative:char;mso-position-vertical-relative:line" coordsize="53864,56174">
                <v:rect id="Rectangle 19820" style="position:absolute;width:506;height:2243;left:51051;top:1826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9821" style="position:absolute;width:518;height:2079;left:3;top:19631;"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shape id="Picture 19825" style="position:absolute;width:50755;height:19613;left:0;top:0;" filled="f">
                  <v:imagedata r:id="rId93"/>
                </v:shape>
                <v:shape id="Picture 19827" style="position:absolute;width:53864;height:34946;left:0;top:21227;" filled="f">
                  <v:imagedata r:id="rId94"/>
                </v:shape>
              </v:group>
            </w:pict>
          </mc:Fallback>
        </mc:AlternateConten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53824"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7689" name="Group 4076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830" name="Rectangle 1983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831" name="Rectangle 1983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832" name="Rectangle 1983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182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689" style="width:18.7031pt;height:264.21pt;position:absolute;mso-position-horizontal-relative:page;mso-position-horizontal:absolute;margin-left:662.928pt;mso-position-vertical-relative:page;margin-top:508.71pt;" coordsize="2375,33554">
                <v:rect id="Rectangle 1983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83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83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182 de 350 </w:t>
                        </w:r>
                      </w:p>
                    </w:txbxContent>
                  </v:textbox>
                </v:rect>
                <w10:wrap type="topAndBottom"/>
              </v:group>
            </w:pict>
          </mc:Fallback>
        </mc:AlternateContent>
      </w:r>
      <w:r>
        <w:rPr>
          <w:b/>
          <w:color w:val="FF0000"/>
        </w:rPr>
        <w:t xml:space="preserve"> </w:t>
      </w:r>
    </w:p>
    <w:p w:rsidR="00025683" w:rsidRDefault="007C2AAB">
      <w:pPr>
        <w:spacing w:after="0" w:line="259" w:lineRule="auto"/>
        <w:ind w:left="0" w:right="983" w:firstLine="0"/>
        <w:jc w:val="right"/>
      </w:pPr>
      <w:r>
        <w:rPr>
          <w:noProof/>
        </w:rPr>
        <w:drawing>
          <wp:inline distT="0" distB="0" distL="0" distR="0">
            <wp:extent cx="5401035" cy="4791365"/>
            <wp:effectExtent l="0" t="0" r="0" b="0"/>
            <wp:docPr id="19896" name="Picture 19896"/>
            <wp:cNvGraphicFramePr/>
            <a:graphic xmlns:a="http://schemas.openxmlformats.org/drawingml/2006/main">
              <a:graphicData uri="http://schemas.openxmlformats.org/drawingml/2006/picture">
                <pic:pic xmlns:pic="http://schemas.openxmlformats.org/drawingml/2006/picture">
                  <pic:nvPicPr>
                    <pic:cNvPr id="19896" name="Picture 19896"/>
                    <pic:cNvPicPr/>
                  </pic:nvPicPr>
                  <pic:blipFill>
                    <a:blip r:embed="rId95"/>
                    <a:stretch>
                      <a:fillRect/>
                    </a:stretch>
                  </pic:blipFill>
                  <pic:spPr>
                    <a:xfrm>
                      <a:off x="0" y="0"/>
                      <a:ext cx="5401035" cy="4791365"/>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12"/>
        <w:ind w:left="14" w:right="197"/>
      </w:pPr>
      <w:r>
        <w:rPr>
          <w:b/>
        </w:rPr>
        <w:t xml:space="preserve">    2. CONCLUSIONES </w:t>
      </w:r>
    </w:p>
    <w:p w:rsidR="00025683" w:rsidRDefault="007C2AAB">
      <w:pPr>
        <w:spacing w:after="0" w:line="259" w:lineRule="auto"/>
        <w:ind w:left="14" w:firstLine="0"/>
        <w:jc w:val="left"/>
      </w:pPr>
      <w:r>
        <w:t xml:space="preserve"> </w:t>
      </w:r>
    </w:p>
    <w:p w:rsidR="00025683" w:rsidRDefault="007C2AAB">
      <w:pPr>
        <w:spacing w:after="27"/>
        <w:ind w:left="14" w:right="200"/>
      </w:pPr>
      <w:r>
        <w:t xml:space="preserve">De acuerdo a todo lo expuesto anteriormente, se informa FAVORABLE la aprobación inicial del Plan Especial Parque periurbano La Vera de Igueste, T.M. de Candelaria…”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548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7764" name="Group 4077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899" name="Rectangle 1989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19900" name="Rectangle 1990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19901" name="Rectangle 1990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183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764" style="width:18.7031pt;height:264.21pt;position:absolute;mso-position-horizontal-relative:page;mso-position-horizontal:absolute;margin-left:662.928pt;mso-position-vertical-relative:page;margin-top:508.71pt;" coordsize="2375,33554">
                <v:rect id="Rectangle 1989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1990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1990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183 de 350 </w:t>
                        </w:r>
                      </w:p>
                    </w:txbxContent>
                  </v:textbox>
                </v:rect>
                <w10:wrap type="square"/>
              </v:group>
            </w:pict>
          </mc:Fallback>
        </mc:AlternateContent>
      </w:r>
      <w:r>
        <w:rPr>
          <w:b/>
        </w:rPr>
        <w:t xml:space="preserve">SEGUNDO. </w:t>
      </w:r>
      <w:r>
        <w:t>Abrir un período de información pública por plazo de un mes mediante anuncio en el Boletín Oficia</w:t>
      </w:r>
      <w:r>
        <w:t>l de Canarias y en el periódico de mayor difusión .</w:t>
      </w:r>
      <w:r>
        <w:rPr>
          <w:rFonts w:ascii="Times New Roman" w:eastAsia="Times New Roman" w:hAnsi="Times New Roman" w:cs="Times New Roman"/>
          <w:sz w:val="24"/>
        </w:rPr>
        <w:t xml:space="preserve"> </w:t>
      </w:r>
    </w:p>
    <w:p w:rsidR="00025683" w:rsidRDefault="007C2AAB">
      <w:pPr>
        <w:ind w:left="14" w:right="200"/>
      </w:pPr>
      <w:r>
        <w:t xml:space="preserve">Asimismo, estará disponible en la sede electrónica de este Ayuntamiento https://sedeelectronica.candelaria.es/publico/tablon. </w:t>
      </w:r>
    </w:p>
    <w:p w:rsidR="00025683" w:rsidRDefault="007C2AAB">
      <w:pPr>
        <w:spacing w:after="0" w:line="259" w:lineRule="auto"/>
        <w:ind w:left="14" w:firstLine="0"/>
        <w:jc w:val="left"/>
      </w:pPr>
      <w:r>
        <w:rPr>
          <w:b/>
        </w:rPr>
        <w:t xml:space="preserve"> </w:t>
      </w:r>
    </w:p>
    <w:p w:rsidR="00025683" w:rsidRDefault="007C2AAB">
      <w:pPr>
        <w:ind w:left="14" w:right="200"/>
      </w:pPr>
      <w:r>
        <w:rPr>
          <w:b/>
        </w:rPr>
        <w:t>TERCERO</w:t>
      </w:r>
      <w:r>
        <w:t>. Solicitar, simultáneamente al trámite de información pública, los</w:t>
      </w:r>
      <w:r>
        <w:t xml:space="preserve"> informes, dictámenes u otro tipo de pronunciamientos a órganos y Entidades administrativas gestores de intereses públicos afectados, previstos legalmente como preceptivos.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CUARTO</w:t>
      </w:r>
      <w:r>
        <w:t xml:space="preserve">.- Ordenar la suspensión facultativa del otorgamiento de las licencias de </w:t>
      </w:r>
      <w:r>
        <w:t>obras de edificación (excluyendo las permitidas por la Ley 4/2017, de 13 de julio, del Suelo y de los Espacios Naturales Protegidos de Canarias, en las situaciones legales de las construcciones preexistentes y en la situación de fuera de ordenación y las p</w:t>
      </w:r>
      <w:r>
        <w:t>rovisionales permitidas conforme al artículo 32 de la misma Ley), así como la suspensión de la autorización de obras de urbanización (excluyendo la mera conservación y mantenimiento) en todo el ámbito de la modificación.</w:t>
      </w:r>
      <w:r>
        <w:rPr>
          <w:rFonts w:ascii="Times New Roman" w:eastAsia="Times New Roman" w:hAnsi="Times New Roman" w:cs="Times New Roman"/>
          <w:sz w:val="24"/>
        </w:rPr>
        <w:t xml:space="preserve"> </w:t>
      </w:r>
    </w:p>
    <w:p w:rsidR="00025683" w:rsidRDefault="007C2AAB">
      <w:pPr>
        <w:ind w:left="14" w:right="200"/>
      </w:pPr>
      <w:r>
        <w:t>Esta suspensión surtirá efectos de</w:t>
      </w:r>
      <w:r>
        <w:t xml:space="preserve">sde el día siguiente a la publicación del anuncio en el Boletín Oficial, y tendrá un plazo de un (1) año. por un plazo de un año.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QUINTO.- </w:t>
      </w:r>
      <w:r>
        <w:t xml:space="preserve">Ordenar la publicación de este acuerdo de suspensión en el Boletín Oficial de Canarias y en, al menos, dos de los </w:t>
      </w:r>
      <w:r>
        <w:t>diarios de mayor difusión en la isla.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SEXTO.- </w:t>
      </w:r>
      <w:r>
        <w:t>Contra el acuerdo de suspensión del otorgamiento de licencias, se podrá interponer recurso potestativo de reposición ante el órgano que lo dictó en el plazo de un mes a contar desde el día siguiente de su no</w:t>
      </w:r>
      <w:r>
        <w:t>tificación o publicación, o recurso contencioso-administrativo ante la Jurisdicción Contenciosa-administrativa, en el plazo de dos meses a contar desde el día siguiente de su notificación o publicación….”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Por lo que se eleva a esta propuesta al Pleno de</w:t>
      </w:r>
      <w:r>
        <w:t xml:space="preserve">l Ayuntamiento, que resolverá como mejor proceda.”.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1" w:line="249" w:lineRule="auto"/>
        <w:ind w:left="17" w:right="197" w:hanging="10"/>
      </w:pPr>
      <w:r>
        <w:rPr>
          <w:b/>
          <w:sz w:val="24"/>
        </w:rPr>
        <w:t xml:space="preserve">Consta en el expediente propuesta de la Alcaldesa-Presidenta al Pleno de </w:t>
      </w:r>
      <w:r>
        <w:rPr>
          <w:b/>
          <w:sz w:val="24"/>
          <w:shd w:val="clear" w:color="auto" w:fill="F5F7F9"/>
        </w:rPr>
        <w:t>la</w:t>
      </w:r>
      <w:r>
        <w:rPr>
          <w:b/>
          <w:sz w:val="24"/>
        </w:rPr>
        <w:t xml:space="preserve"> </w:t>
      </w:r>
      <w:r>
        <w:rPr>
          <w:b/>
          <w:sz w:val="24"/>
          <w:shd w:val="clear" w:color="auto" w:fill="F5F7F9"/>
        </w:rPr>
        <w:t>Aprobación inicial Plan Especial Parque periurbano La Vera de Igueste</w:t>
      </w:r>
      <w:r>
        <w:rPr>
          <w:b/>
          <w:sz w:val="24"/>
        </w:rPr>
        <w:t>, de fecha 17 de diciembre de 2025, que transcrito literalmente dice: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558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7955" name="Group 4079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034" name="Rectangle 2003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035" name="Rectangle 2003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036" name="Rectangle 2003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esPublico Gestiona | Págin</w:t>
                              </w:r>
                              <w:r>
                                <w:rPr>
                                  <w:sz w:val="12"/>
                                </w:rPr>
                                <w:t xml:space="preserve">a 184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955" style="width:18.7031pt;height:264.21pt;position:absolute;mso-position-horizontal-relative:page;mso-position-horizontal:absolute;margin-left:662.928pt;mso-position-vertical-relative:page;margin-top:508.71pt;" coordsize="2375,33554">
                <v:rect id="Rectangle 2003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03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03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184 de 350 </w:t>
                        </w:r>
                      </w:p>
                    </w:txbxContent>
                  </v:textbox>
                </v:rect>
                <w10:wrap type="square"/>
              </v:group>
            </w:pict>
          </mc:Fallback>
        </mc:AlternateContent>
      </w:r>
      <w:r>
        <w:rPr>
          <w:b/>
          <w:color w:val="FF0000"/>
          <w:sz w:val="24"/>
        </w:rPr>
        <w:t xml:space="preserve"> </w:t>
      </w:r>
    </w:p>
    <w:p w:rsidR="00025683" w:rsidRDefault="007C2AAB">
      <w:pPr>
        <w:spacing w:after="0" w:line="259" w:lineRule="auto"/>
        <w:ind w:left="14" w:firstLine="0"/>
        <w:jc w:val="left"/>
      </w:pPr>
      <w:r>
        <w:t xml:space="preserve"> </w:t>
      </w:r>
    </w:p>
    <w:p w:rsidR="00025683" w:rsidRDefault="007C2AAB">
      <w:pPr>
        <w:pStyle w:val="Ttulo4"/>
        <w:ind w:left="274" w:right="455"/>
      </w:pPr>
      <w:r>
        <w:rPr>
          <w:b w:val="0"/>
        </w:rPr>
        <w:t xml:space="preserve"> “</w:t>
      </w:r>
      <w:r>
        <w:t>PROPUESTA</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Visto expediente nº </w:t>
      </w:r>
      <w:r>
        <w:rPr>
          <w:b/>
        </w:rPr>
        <w:t xml:space="preserve">3111/2023 </w:t>
      </w:r>
      <w:r>
        <w:t xml:space="preserve">que se tramita en esta Corporación, en relación con la tramitación del Plan </w:t>
      </w:r>
      <w:r>
        <w:rPr>
          <w:b/>
        </w:rPr>
        <w:t xml:space="preserve">Especial Parque periurbano La Vera de Igueste, T.M. de Candelaria </w:t>
      </w:r>
      <w:r>
        <w:t>y visto el informe jurídico, debidamente conformado</w:t>
      </w:r>
      <w:r>
        <w:t xml:space="preserve"> por el Secretario General Octavio Manuel Fernández Hernández. que transcrito literalmente dice:</w:t>
      </w:r>
      <w:r>
        <w:rPr>
          <w:rFonts w:ascii="Times New Roman" w:eastAsia="Times New Roman" w:hAnsi="Times New Roman" w:cs="Times New Roman"/>
          <w:sz w:val="24"/>
        </w:rPr>
        <w:t xml:space="preserve"> </w:t>
      </w:r>
    </w:p>
    <w:p w:rsidR="00025683" w:rsidRDefault="007C2AAB">
      <w:pPr>
        <w:spacing w:after="0" w:line="259" w:lineRule="auto"/>
        <w:ind w:left="0" w:right="73" w:firstLine="0"/>
        <w:jc w:val="center"/>
      </w:pPr>
      <w:r>
        <w:rPr>
          <w:b/>
        </w:rPr>
        <w:t xml:space="preserve">  </w:t>
      </w:r>
    </w:p>
    <w:p w:rsidR="00025683" w:rsidRDefault="007C2AAB">
      <w:pPr>
        <w:spacing w:after="35" w:line="259" w:lineRule="auto"/>
        <w:ind w:left="0" w:right="133" w:firstLine="0"/>
        <w:jc w:val="center"/>
      </w:pPr>
      <w:r>
        <w:rPr>
          <w:b/>
        </w:rPr>
        <w:t xml:space="preserve"> </w:t>
      </w:r>
    </w:p>
    <w:p w:rsidR="00025683" w:rsidRDefault="007C2AAB">
      <w:pPr>
        <w:pStyle w:val="Ttulo4"/>
        <w:ind w:left="274" w:right="460"/>
      </w:pPr>
      <w:r>
        <w:t xml:space="preserve">“…INFORME JURÍDICO </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La Técnico de Administración General Olga Fernández Méndez- </w:t>
      </w:r>
      <w:r>
        <w:t xml:space="preserve">Bencomo, en el expediente anteriormente indicado emite el siguiente informe conformado por el Secretario General Octavio Manuel Fernández Hernández:  </w:t>
      </w:r>
    </w:p>
    <w:p w:rsidR="00025683" w:rsidRDefault="007C2AAB">
      <w:pPr>
        <w:spacing w:after="0" w:line="259" w:lineRule="auto"/>
        <w:ind w:left="722" w:firstLine="0"/>
        <w:jc w:val="left"/>
      </w:pPr>
      <w:r>
        <w:rPr>
          <w:b/>
        </w:rPr>
        <w:t xml:space="preserve"> </w:t>
      </w:r>
    </w:p>
    <w:p w:rsidR="00025683" w:rsidRDefault="007C2AAB">
      <w:pPr>
        <w:pStyle w:val="Ttulo4"/>
        <w:ind w:left="274" w:right="463"/>
      </w:pPr>
      <w:r>
        <w:t xml:space="preserve">ANTECEDENTES </w:t>
      </w:r>
    </w:p>
    <w:p w:rsidR="00025683" w:rsidRDefault="007C2AAB">
      <w:pPr>
        <w:spacing w:after="0" w:line="259" w:lineRule="auto"/>
        <w:ind w:left="14" w:firstLine="0"/>
        <w:jc w:val="left"/>
      </w:pPr>
      <w:r>
        <w:t xml:space="preserve"> </w:t>
      </w:r>
    </w:p>
    <w:p w:rsidR="00025683" w:rsidRDefault="007C2AAB">
      <w:pPr>
        <w:ind w:left="14" w:right="200"/>
      </w:pPr>
      <w:r>
        <w:t>Visto el expediente número 3111/2023 que se tramita en esta Corporación en relación a l</w:t>
      </w:r>
      <w:r>
        <w:t xml:space="preserve">a aprobación del Plan Especial de Ordenación del Parque Periurbano de La Vera de Igueste, y teniendo en cuenta que: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PRIMERO. - </w:t>
      </w:r>
      <w:r>
        <w:t>El Plan General de Ordenación vigente en Candelaria, aprobado definitivamente el 10 de noviembre de 2006 y publicado el 10 de mayo de 2007 en el BOC nº 92 y el 17 de mayo de 2007 en el BOP nº 71 (en adelante, PGO) delimita un área de 62.940 m² en la zona d</w:t>
      </w:r>
      <w:r>
        <w:t>e Vera de Igueste, bajo el Camino de Candelaria, cuya ordenación pormenorizada queda remitida a un Plan Especial.</w:t>
      </w:r>
      <w:r>
        <w:rPr>
          <w:rFonts w:ascii="Times New Roman" w:eastAsia="Times New Roman" w:hAnsi="Times New Roman" w:cs="Times New Roman"/>
          <w:sz w:val="24"/>
        </w:rPr>
        <w:t xml:space="preserve"> </w:t>
      </w:r>
    </w:p>
    <w:p w:rsidR="00025683" w:rsidRDefault="007C2AAB">
      <w:pPr>
        <w:ind w:left="14" w:right="200"/>
      </w:pPr>
      <w:r>
        <w:t>El suelo se clasifica en su integridad como Suelo Rústico, con categoría de SR de Protección Ambiental y subcategoría de Protección Paisajíst</w:t>
      </w:r>
      <w:r>
        <w:t xml:space="preserve">ica. Su calificación es de Parque Periurbano y uso característico Zona Verde con Dotaciones, con usos complementarios centro de interpretación, deportes al aire libre, pequeño restaurante y usos de servicio. </w:t>
      </w:r>
    </w:p>
    <w:p w:rsidR="00025683" w:rsidRDefault="007C2AAB">
      <w:pPr>
        <w:spacing w:after="0" w:line="259" w:lineRule="auto"/>
        <w:ind w:left="14" w:firstLine="0"/>
        <w:jc w:val="left"/>
      </w:pPr>
      <w:r>
        <w:t xml:space="preserve"> </w:t>
      </w:r>
    </w:p>
    <w:p w:rsidR="00025683" w:rsidRDefault="007C2AAB">
      <w:pPr>
        <w:ind w:left="14" w:right="200"/>
      </w:pPr>
      <w:r>
        <w:t>Tal y como se recoge en la Ficha correspondie</w:t>
      </w:r>
      <w:r>
        <w:t xml:space="preserve">nte del Plan General de Ordenación, se trata de un plan especial de iniciativa pública en su desarrollo y ejecución, con un plazo previsto para su elaboración y aprobación de 5 años, y de 15 años para su completa ejecución.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SEGUNDO. - </w:t>
      </w:r>
      <w:r>
        <w:t>Mediante acuerdo d</w:t>
      </w:r>
      <w:r>
        <w:t xml:space="preserve">el Pleno adoptado en sesión celebrada el </w:t>
      </w:r>
      <w:r>
        <w:rPr>
          <w:b/>
        </w:rPr>
        <w:t>30 de marzo de 2023</w:t>
      </w:r>
      <w:r>
        <w:t xml:space="preserve">, se encargó a </w:t>
      </w:r>
      <w:r>
        <w:rPr>
          <w:b/>
        </w:rPr>
        <w:t>Gestión y Planeamiento Territorial y Medioambiental, S.A. (GESPLAN)</w:t>
      </w:r>
      <w:r>
        <w:t xml:space="preserve">, adscrita a la </w:t>
      </w:r>
      <w:r>
        <w:rPr>
          <w:b/>
        </w:rPr>
        <w:t>Consejería de Transición Ecológica, Lucha contra el Cambio Climático y Planificación Territorial d</w:t>
      </w:r>
      <w:r>
        <w:rPr>
          <w:b/>
        </w:rPr>
        <w:t>el Gobierno de Canarias</w:t>
      </w:r>
      <w:r>
        <w:t>, la elaboración del Plan Especial de Ordenación del Parque Periurbano de La Vera de Igueste.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TERCERO</w:t>
      </w:r>
      <w:r>
        <w:t xml:space="preserve">. Mediante acuerdo de la Comisión Autonómica de Evaluación Ambiental, de fecha 22 de mayo de 2025, se </w:t>
      </w:r>
      <w:r>
        <w:rPr>
          <w:b/>
        </w:rPr>
        <w:t xml:space="preserve">resuelve </w:t>
      </w:r>
      <w:r>
        <w:t>formular, por dele</w:t>
      </w:r>
      <w:r>
        <w:t xml:space="preserve">gación del Ayuntamiento de Candelaria, el </w:t>
      </w:r>
      <w:r>
        <w:rPr>
          <w:b/>
        </w:rPr>
        <w:t xml:space="preserve">Documento de Alcance </w:t>
      </w:r>
      <w:r>
        <w:t xml:space="preserve">del procedimiento de </w:t>
      </w:r>
      <w:r>
        <w:rPr>
          <w:b/>
        </w:rPr>
        <w:t xml:space="preserve">Evaluación Ambiental Estratégica Ordinaria </w:t>
      </w:r>
      <w:r>
        <w:t xml:space="preserve">del </w:t>
      </w:r>
      <w:r>
        <w:rPr>
          <w:i/>
        </w:rPr>
        <w:t>Plan Especial de Ordenación del Parque Periurbano de la Vera de Igueste</w:t>
      </w:r>
      <w:r>
        <w:t>, en el término municipal de Candelaria, que se incorp</w:t>
      </w:r>
      <w:r>
        <w:t>ora como Anexo al presente acuerdo.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5689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8119" name="Group 4081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175" name="Rectangle 2017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176" name="Rectangle 2017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177" name="Rectangle 2017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185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8119" style="width:18.7031pt;height:264.21pt;position:absolute;mso-position-horizontal-relative:page;mso-position-horizontal:absolute;margin-left:662.928pt;mso-position-vertical-relative:page;margin-top:508.71pt;" coordsize="2375,33554">
                <v:rect id="Rectangle 2017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17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17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185 de 350 </w:t>
                        </w:r>
                      </w:p>
                    </w:txbxContent>
                  </v:textbox>
                </v:rect>
                <w10:wrap type="square"/>
              </v:group>
            </w:pict>
          </mc:Fallback>
        </mc:AlternateContent>
      </w:r>
      <w:r>
        <w:rPr>
          <w:b/>
        </w:rPr>
        <w:t>CUARTO.</w:t>
      </w:r>
      <w:r>
        <w:t xml:space="preserve">- </w:t>
      </w:r>
      <w:r>
        <w:t xml:space="preserve">Obra en el expediente la siguiente documentación para la aprobación inicial: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Tomo I.A Memoria de Información y Diagnóstico  </w:t>
      </w:r>
    </w:p>
    <w:p w:rsidR="00025683" w:rsidRDefault="007C2AAB">
      <w:pPr>
        <w:ind w:left="14" w:right="200"/>
      </w:pPr>
      <w:r>
        <w:t xml:space="preserve">Tomo I.B.1 Planos de Información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5454"/>
      </w:pPr>
      <w:r>
        <w:t xml:space="preserve">Documento para Aprobación Inicial: Tomo II C – Normativa </w:t>
      </w:r>
    </w:p>
    <w:p w:rsidR="00025683" w:rsidRDefault="007C2AAB">
      <w:pPr>
        <w:ind w:left="14" w:right="200"/>
      </w:pPr>
      <w:r>
        <w:t>Tomo I.B.2 Planos de Diagnóstic</w:t>
      </w:r>
      <w:r>
        <w:t xml:space="preserve">o  </w:t>
      </w:r>
    </w:p>
    <w:p w:rsidR="00025683" w:rsidRDefault="007C2AAB">
      <w:pPr>
        <w:ind w:left="14" w:right="200"/>
      </w:pPr>
      <w:r>
        <w:t xml:space="preserve">Anexo I Tomo I Análisis Histórico  </w:t>
      </w:r>
    </w:p>
    <w:p w:rsidR="00025683" w:rsidRDefault="007C2AAB">
      <w:pPr>
        <w:ind w:left="14" w:right="200"/>
      </w:pPr>
      <w:r>
        <w:t xml:space="preserve">Anexo II Tomo I Análisis Patrimonial  </w:t>
      </w:r>
    </w:p>
    <w:p w:rsidR="00025683" w:rsidRDefault="007C2AAB">
      <w:pPr>
        <w:ind w:left="14" w:right="200"/>
      </w:pPr>
      <w:r>
        <w:t xml:space="preserve">Anexo II Tomo I Análisis Socioeconómico </w:t>
      </w:r>
    </w:p>
    <w:p w:rsidR="00025683" w:rsidRDefault="007C2AAB">
      <w:pPr>
        <w:spacing w:after="0" w:line="259" w:lineRule="auto"/>
        <w:ind w:left="14" w:firstLine="0"/>
        <w:jc w:val="left"/>
      </w:pPr>
      <w: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t xml:space="preserve">Tomo II.B Planos de Ordenación  </w:t>
      </w:r>
    </w:p>
    <w:p w:rsidR="00025683" w:rsidRDefault="007C2AAB">
      <w:pPr>
        <w:ind w:left="14" w:right="200"/>
      </w:pPr>
      <w:r>
        <w:t xml:space="preserve">Tomo II.C Normativa </w:t>
      </w: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Tomo II.D Informe de Sostenibilidad Económica  </w:t>
      </w:r>
    </w:p>
    <w:p w:rsidR="00025683" w:rsidRDefault="007C2AAB">
      <w:pPr>
        <w:spacing w:after="0" w:line="259" w:lineRule="auto"/>
        <w:ind w:left="14" w:firstLine="0"/>
        <w:jc w:val="left"/>
      </w:pPr>
      <w:r>
        <w:t xml:space="preserve"> </w:t>
      </w:r>
    </w:p>
    <w:p w:rsidR="00025683" w:rsidRDefault="007C2AAB">
      <w:pPr>
        <w:ind w:left="14" w:right="200"/>
      </w:pPr>
      <w:r>
        <w:t xml:space="preserve">Anexo I Tomo II Criterios de diseño para el Parque Periurbano de La Vera de Igueste  </w:t>
      </w:r>
    </w:p>
    <w:p w:rsidR="00025683" w:rsidRDefault="007C2AAB">
      <w:pPr>
        <w:spacing w:after="0" w:line="259" w:lineRule="auto"/>
        <w:ind w:left="14" w:firstLine="0"/>
        <w:jc w:val="left"/>
      </w:pP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 xml:space="preserve">Tomo III.B Planos de Información Ambiental  </w:t>
      </w:r>
    </w:p>
    <w:p w:rsidR="00025683" w:rsidRDefault="007C2AAB">
      <w:pPr>
        <w:ind w:left="14" w:right="200"/>
      </w:pPr>
      <w:r>
        <w:t>Ane</w:t>
      </w:r>
      <w:r>
        <w:t xml:space="preserve">xo I Tomo III Resumen no Técnico del Estudio Ambiental Estratégico  </w:t>
      </w:r>
    </w:p>
    <w:p w:rsidR="00025683" w:rsidRDefault="007C2AAB">
      <w:pPr>
        <w:ind w:left="14" w:right="200"/>
      </w:pPr>
      <w:r>
        <w:t xml:space="preserve">Anexo II Tomo III Análisis de Integración Paisajística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QUINTO</w:t>
      </w:r>
      <w:r>
        <w:t>.- Consta en el expediente informe técnico emitido por la Arquitecta Municipal de fecha 15/12/2025 que transcrito literal</w:t>
      </w:r>
      <w:r>
        <w:t>mente dice:</w:t>
      </w:r>
      <w:r>
        <w:rPr>
          <w:rFonts w:ascii="Times New Roman" w:eastAsia="Times New Roman" w:hAnsi="Times New Roman" w:cs="Times New Roman"/>
          <w:sz w:val="24"/>
        </w:rPr>
        <w:t xml:space="preserve"> </w:t>
      </w:r>
    </w:p>
    <w:p w:rsidR="00025683" w:rsidRDefault="007C2AAB">
      <w:pPr>
        <w:ind w:left="14" w:right="200"/>
      </w:pPr>
      <w:r>
        <w:t xml:space="preserve">“…Visto el expediente antedicho, Nayra Guzmán Hernández, arquitecta municipal, emite el siguiente informe: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ANTECEDENTES  </w:t>
      </w:r>
    </w:p>
    <w:p w:rsidR="00025683" w:rsidRDefault="007C2AAB">
      <w:pPr>
        <w:spacing w:after="0" w:line="259" w:lineRule="auto"/>
        <w:ind w:left="14" w:firstLine="0"/>
        <w:jc w:val="left"/>
      </w:pPr>
      <w:r>
        <w:t xml:space="preserve"> </w:t>
      </w:r>
    </w:p>
    <w:p w:rsidR="00025683" w:rsidRDefault="007C2AAB">
      <w:pPr>
        <w:ind w:left="14" w:right="200"/>
      </w:pPr>
      <w:r>
        <w:t>Con fecha 23 de enero de 2025, la Ilma. Sra. Viceconsejera de Política Territorial y Reto Demográfico ha dictado R</w:t>
      </w:r>
      <w:r>
        <w:t>esolución nº 14 por la que se inicia el procedimiento de Evaluación Ambiental Estratégica Ordinaria del Plan Especial Parque Periurbano La Vera de Igueste, Candelaria, se sometió a consultas de las administraciones públicas afectadas y de las personas inte</w:t>
      </w:r>
      <w:r>
        <w:t xml:space="preserve">resadas. Se publicó la resolución en los boletines oficiales y en la sede electrónica, durante el plazo de 45 días hábiles.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579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7192" name="Group 4071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301" name="Rectangle 2030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302" name="Rectangle 2030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303" name="Rectangle 2030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186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7192" style="width:18.7031pt;height:264.21pt;position:absolute;mso-position-horizontal-relative:page;mso-position-horizontal:absolute;margin-left:662.928pt;mso-position-vertical-relative:page;margin-top:508.71pt;" coordsize="2375,33554">
                <v:rect id="Rectangle 2030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30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30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186 de 350 </w:t>
                        </w:r>
                      </w:p>
                    </w:txbxContent>
                  </v:textbox>
                </v:rect>
                <w10:wrap type="square"/>
              </v:group>
            </w:pict>
          </mc:Fallback>
        </mc:AlternateContent>
      </w:r>
      <w:r>
        <w:t>La Comisión Autonómica de Evaluación Ambiental, en sesión celebrada el 22 de mayo de 2025, acuerda formular, por delegación del Ayuntamiento de Candelaria, el DO</w:t>
      </w:r>
      <w:r>
        <w:t xml:space="preserve">CUMENTO DE ALCANCE en el procedimiento de la Evaluación Ambiental Estratégica Ordinaria del Plan Especial de Ordenación del Parque Periurbano de la Vera de Igueste, en el Término Municipal de Candelaria que se incorpora como Anexo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DOCUMENTACIÓN INTEGR</w:t>
      </w:r>
      <w:r>
        <w:t>ANTE DE LA APROBACION INICIAL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Con fecha 22 de octubre de 2025 y con registro de entrada 2025-S-RC-2806, Ainoha Castro Díaz, en representación de GESPLAN S.A, aporta los siguientes documentos, para la aprobación inicial:  </w:t>
      </w:r>
    </w:p>
    <w:p w:rsidR="00025683" w:rsidRDefault="007C2AAB">
      <w:pPr>
        <w:ind w:left="14" w:right="200"/>
      </w:pPr>
      <w:r>
        <w:t xml:space="preserve">Documento de Información:  </w:t>
      </w:r>
    </w:p>
    <w:p w:rsidR="00025683" w:rsidRDefault="007C2AAB">
      <w:pPr>
        <w:ind w:left="14" w:right="200"/>
      </w:pPr>
      <w:r>
        <w:t>Tom</w:t>
      </w:r>
      <w:r>
        <w:t xml:space="preserve">o I.A Memoria de Información y Diagnóstico  </w:t>
      </w:r>
    </w:p>
    <w:p w:rsidR="00025683" w:rsidRDefault="007C2AAB">
      <w:pPr>
        <w:ind w:left="14" w:right="200"/>
      </w:pPr>
      <w:r>
        <w:t xml:space="preserve">Tomo I.B.1 Planos de Información </w:t>
      </w:r>
    </w:p>
    <w:p w:rsidR="00025683" w:rsidRDefault="007C2AAB">
      <w:pPr>
        <w:spacing w:after="0" w:line="259" w:lineRule="auto"/>
        <w:ind w:left="14" w:firstLine="0"/>
        <w:jc w:val="left"/>
      </w:pPr>
      <w:r>
        <w:t xml:space="preserve"> </w:t>
      </w:r>
    </w:p>
    <w:p w:rsidR="00025683" w:rsidRDefault="007C2AAB">
      <w:pPr>
        <w:ind w:left="14" w:right="200"/>
      </w:pPr>
      <w:r>
        <w:t xml:space="preserve">Documento para Aprobación Inicial: </w:t>
      </w:r>
    </w:p>
    <w:p w:rsidR="00025683" w:rsidRDefault="007C2AAB">
      <w:pPr>
        <w:ind w:left="14" w:right="200"/>
      </w:pPr>
      <w:r>
        <w:t xml:space="preserve">Tomo II C – Normativa </w:t>
      </w:r>
    </w:p>
    <w:p w:rsidR="00025683" w:rsidRDefault="007C2AAB">
      <w:pPr>
        <w:ind w:left="14" w:right="200"/>
      </w:pPr>
      <w:r>
        <w:t xml:space="preserve">Tomo I.B.2 Planos de Diagnóstico  </w:t>
      </w:r>
    </w:p>
    <w:p w:rsidR="00025683" w:rsidRDefault="007C2AAB">
      <w:pPr>
        <w:ind w:left="14" w:right="200"/>
      </w:pPr>
      <w:r>
        <w:t xml:space="preserve">Anexo I Tomo I Análisis Histórico  </w:t>
      </w:r>
    </w:p>
    <w:p w:rsidR="00025683" w:rsidRDefault="007C2AAB">
      <w:pPr>
        <w:ind w:left="14" w:right="200"/>
      </w:pPr>
      <w:r>
        <w:t xml:space="preserve">Anexo II Tomo I Análisis Patrimonial  </w:t>
      </w:r>
    </w:p>
    <w:p w:rsidR="00025683" w:rsidRDefault="007C2AAB">
      <w:pPr>
        <w:ind w:left="14" w:right="200"/>
      </w:pPr>
      <w:r>
        <w:t xml:space="preserve">Anexo II Tomo I Análisis Socioeconómico </w:t>
      </w:r>
    </w:p>
    <w:p w:rsidR="00025683" w:rsidRDefault="007C2AAB">
      <w:pPr>
        <w:spacing w:after="0" w:line="259" w:lineRule="auto"/>
        <w:ind w:left="14" w:firstLine="0"/>
        <w:jc w:val="left"/>
      </w:pPr>
      <w: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t xml:space="preserve">Tomo II.B Planos de Ordenación  </w:t>
      </w:r>
    </w:p>
    <w:p w:rsidR="00025683" w:rsidRDefault="007C2AAB">
      <w:pPr>
        <w:ind w:left="14" w:right="200"/>
      </w:pPr>
      <w:r>
        <w:t xml:space="preserve">Tomo II.C Normativa  </w:t>
      </w:r>
    </w:p>
    <w:p w:rsidR="00025683" w:rsidRDefault="007C2AAB">
      <w:pPr>
        <w:ind w:left="14" w:right="200"/>
      </w:pPr>
      <w:r>
        <w:t xml:space="preserve">Tomo II.D Informe de Sostenibilidad Económica  </w:t>
      </w:r>
    </w:p>
    <w:p w:rsidR="00025683" w:rsidRDefault="007C2AAB">
      <w:pPr>
        <w:ind w:left="14" w:right="200"/>
      </w:pPr>
      <w:r>
        <w:t xml:space="preserve">Anexo I Tomo II Criterios de diseño para el Parque Periurbano de La Vera de Igueste  </w:t>
      </w:r>
    </w:p>
    <w:p w:rsidR="00025683" w:rsidRDefault="007C2AAB">
      <w:pPr>
        <w:spacing w:after="0" w:line="259" w:lineRule="auto"/>
        <w:ind w:left="14" w:firstLine="0"/>
        <w:jc w:val="left"/>
      </w:pP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 xml:space="preserve">Tomo III.B Planos de Información Ambiental  </w:t>
      </w:r>
    </w:p>
    <w:p w:rsidR="00025683" w:rsidRDefault="007C2AAB">
      <w:pPr>
        <w:ind w:left="14" w:right="200"/>
      </w:pPr>
      <w:r>
        <w:t>Anexo I Tomo III Resumen no Técnico del Estudio Ambiental</w:t>
      </w:r>
      <w:r>
        <w:t xml:space="preserve"> Estratégico  </w:t>
      </w:r>
    </w:p>
    <w:p w:rsidR="00025683" w:rsidRDefault="007C2AAB">
      <w:pPr>
        <w:ind w:left="14" w:right="200"/>
      </w:pPr>
      <w:r>
        <w:t xml:space="preserve">Anexo II Tomo III Análisis de Integración Paisajística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OBJETO DE LA MODIFICACION  </w:t>
      </w:r>
    </w:p>
    <w:p w:rsidR="00025683" w:rsidRDefault="007C2AAB">
      <w:pPr>
        <w:spacing w:after="0" w:line="259" w:lineRule="auto"/>
        <w:ind w:left="14" w:firstLine="0"/>
        <w:jc w:val="left"/>
      </w:pPr>
      <w:r>
        <w:t xml:space="preserve"> </w:t>
      </w:r>
    </w:p>
    <w:p w:rsidR="00025683" w:rsidRDefault="007C2AAB">
      <w:pPr>
        <w:ind w:left="14" w:right="200"/>
      </w:pPr>
      <w:r>
        <w:t xml:space="preserve">El Plan Especial del Parque Periurbano de La Vera de Igueste (en adelante PEPP de La Vera de Igueste) está concebido como Instrumento urbanístico de </w:t>
      </w:r>
      <w:r>
        <w:t>desarrollo de las determinaciones previstas por el vigente Plan General de Ordenación de Candelaria en el ámbito “PE Parque Periurbano La Vera de Igueste”, teniendo como objetivo desarrollar y completar las determinaciones de ordenación pormenorizada en su</w:t>
      </w:r>
      <w:r>
        <w:t xml:space="preserve"> ámbito.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5894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5976" name="Group 4059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394" name="Rectangle 2039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395" name="Rectangle 2039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396" name="Rectangle 2039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187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5976" style="width:18.7031pt;height:264.21pt;position:absolute;mso-position-horizontal-relative:page;mso-position-horizontal:absolute;margin-left:662.928pt;mso-position-vertical-relative:page;margin-top:508.71pt;" coordsize="2375,33554">
                <v:rect id="Rectangle 2039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39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39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187 de 350 </w:t>
                        </w:r>
                      </w:p>
                    </w:txbxContent>
                  </v:textbox>
                </v:rect>
                <w10:wrap type="square"/>
              </v:group>
            </w:pict>
          </mc:Fallback>
        </mc:AlternateContent>
      </w:r>
      <w:r>
        <w:t xml:space="preserve"> </w:t>
      </w:r>
    </w:p>
    <w:p w:rsidR="00025683" w:rsidRDefault="007C2AAB">
      <w:pPr>
        <w:ind w:left="14" w:right="200"/>
      </w:pPr>
      <w:r>
        <w:t xml:space="preserve">El ámbito del Plan Especial recoge los terrenos al este del camino La Candelaria, entre el Barranco de los Mocanes y el Barranco de Chajarche con una superficie de 62.940 m2s.  </w:t>
      </w:r>
    </w:p>
    <w:p w:rsidR="00025683" w:rsidRDefault="007C2AAB">
      <w:pPr>
        <w:spacing w:after="0" w:line="259" w:lineRule="auto"/>
        <w:ind w:left="14" w:firstLine="0"/>
        <w:jc w:val="left"/>
      </w:pPr>
      <w:r>
        <w:t xml:space="preserve"> </w:t>
      </w:r>
    </w:p>
    <w:p w:rsidR="00025683" w:rsidRDefault="007C2AAB">
      <w:pPr>
        <w:ind w:left="14" w:right="200"/>
      </w:pPr>
      <w:r>
        <w:t>El ámbito del Plan Especial tiene una franja al borde del camino La Candelar</w:t>
      </w:r>
      <w:r>
        <w:t>ia contenido en la delimitación del Bien de Interés Cultural (BIC) en la categoría de Sitio Histórico, a favor del Camino de Candelaria, declarado mediante el Decreto 227/2008, de 25 de noviembre, del Gobierno de Canarias y publicado en el BOC nº245 de 9 d</w:t>
      </w:r>
      <w:r>
        <w:t xml:space="preserve">e diciembre de 2008.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Los terrenos incluidos en el ámbito del PEPP de La Vera de Igueste están categorizados por el PGO de Candelaria, en su mayor parte, como Suelo Rústico de Protección Ambiental en la subcategoría de Protección Paisajística (SRPP).  </w:t>
      </w:r>
    </w:p>
    <w:p w:rsidR="00025683" w:rsidRDefault="007C2AAB">
      <w:pPr>
        <w:ind w:left="14" w:right="200"/>
      </w:pPr>
      <w:r>
        <w:t xml:space="preserve">La franja de terrenos incluida en la delimitación del BIC del Camino La Candelaria están categorizados por el PGO de Candelaria como Suelo Rústico de Protección Ambiental en la subcategoría de Protección Cultural (SRPC)  </w:t>
      </w:r>
    </w:p>
    <w:p w:rsidR="00025683" w:rsidRDefault="007C2AAB">
      <w:pPr>
        <w:spacing w:after="0" w:line="259" w:lineRule="auto"/>
        <w:ind w:left="14" w:firstLine="0"/>
        <w:jc w:val="left"/>
      </w:pPr>
      <w:r>
        <w:t xml:space="preserve"> </w:t>
      </w:r>
    </w:p>
    <w:p w:rsidR="00025683" w:rsidRDefault="007C2AAB">
      <w:pPr>
        <w:ind w:left="14" w:right="200"/>
      </w:pPr>
      <w:r>
        <w:t xml:space="preserve">El Parque Periurbano de La Vera </w:t>
      </w:r>
      <w:r>
        <w:t xml:space="preserve">de Igueste está reconocido desde el PGO de Candelaria como Espacio Libre Público de Sistema General, en la categoría de Parque Periurbano. </w:t>
      </w:r>
    </w:p>
    <w:p w:rsidR="00025683" w:rsidRDefault="007C2AAB">
      <w:pPr>
        <w:spacing w:after="0" w:line="259" w:lineRule="auto"/>
        <w:ind w:left="14" w:firstLine="0"/>
        <w:jc w:val="left"/>
      </w:pPr>
      <w:r>
        <w:t xml:space="preserve"> </w:t>
      </w:r>
    </w:p>
    <w:p w:rsidR="00025683" w:rsidRDefault="007C2AAB">
      <w:pPr>
        <w:spacing w:after="0" w:line="259" w:lineRule="auto"/>
        <w:ind w:left="0" w:right="986" w:firstLine="0"/>
        <w:jc w:val="right"/>
      </w:pPr>
      <w:r>
        <w:rPr>
          <w:noProof/>
        </w:rPr>
        <w:drawing>
          <wp:inline distT="0" distB="0" distL="0" distR="0">
            <wp:extent cx="5393452" cy="3700167"/>
            <wp:effectExtent l="0" t="0" r="0" b="0"/>
            <wp:docPr id="20430" name="Picture 20430"/>
            <wp:cNvGraphicFramePr/>
            <a:graphic xmlns:a="http://schemas.openxmlformats.org/drawingml/2006/main">
              <a:graphicData uri="http://schemas.openxmlformats.org/drawingml/2006/picture">
                <pic:pic xmlns:pic="http://schemas.openxmlformats.org/drawingml/2006/picture">
                  <pic:nvPicPr>
                    <pic:cNvPr id="20430" name="Picture 20430"/>
                    <pic:cNvPicPr/>
                  </pic:nvPicPr>
                  <pic:blipFill>
                    <a:blip r:embed="rId86"/>
                    <a:stretch>
                      <a:fillRect/>
                    </a:stretch>
                  </pic:blipFill>
                  <pic:spPr>
                    <a:xfrm>
                      <a:off x="0" y="0"/>
                      <a:ext cx="5393452" cy="3700167"/>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Suelo rustico de protección paisajística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599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8070" name="Group 4080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435" name="Rectangle 2043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436" name="Rectangle 2043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437" name="Rectangle 2043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188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8070" style="width:18.7031pt;height:264.21pt;position:absolute;mso-position-horizontal-relative:page;mso-position-horizontal:absolute;margin-left:662.928pt;mso-position-vertical-relative:page;margin-top:508.71pt;" coordsize="2375,33554">
                <v:rect id="Rectangle 2043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43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43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188 de 350 </w:t>
                        </w:r>
                      </w:p>
                    </w:txbxContent>
                  </v:textbox>
                </v:rect>
                <w10:wrap type="square"/>
              </v:group>
            </w:pict>
          </mc:Fallback>
        </mc:AlternateContent>
      </w:r>
      <w:r>
        <w:rPr>
          <w:b/>
        </w:rPr>
        <w:t xml:space="preserve"> </w:t>
      </w:r>
    </w:p>
    <w:p w:rsidR="00025683" w:rsidRDefault="007C2AAB">
      <w:pPr>
        <w:spacing w:after="0" w:line="259" w:lineRule="auto"/>
        <w:ind w:left="0" w:right="1015" w:firstLine="0"/>
        <w:jc w:val="right"/>
      </w:pPr>
      <w:r>
        <w:rPr>
          <w:noProof/>
        </w:rPr>
        <w:drawing>
          <wp:inline distT="0" distB="0" distL="0" distR="0">
            <wp:extent cx="5384105" cy="3608824"/>
            <wp:effectExtent l="0" t="0" r="0" b="0"/>
            <wp:docPr id="20432" name="Picture 20432"/>
            <wp:cNvGraphicFramePr/>
            <a:graphic xmlns:a="http://schemas.openxmlformats.org/drawingml/2006/main">
              <a:graphicData uri="http://schemas.openxmlformats.org/drawingml/2006/picture">
                <pic:pic xmlns:pic="http://schemas.openxmlformats.org/drawingml/2006/picture">
                  <pic:nvPicPr>
                    <pic:cNvPr id="20432" name="Picture 20432"/>
                    <pic:cNvPicPr/>
                  </pic:nvPicPr>
                  <pic:blipFill>
                    <a:blip r:embed="rId87"/>
                    <a:stretch>
                      <a:fillRect/>
                    </a:stretch>
                  </pic:blipFill>
                  <pic:spPr>
                    <a:xfrm>
                      <a:off x="0" y="0"/>
                      <a:ext cx="5384105" cy="3608824"/>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Parque periurbano</w:t>
      </w:r>
      <w:r>
        <w:rPr>
          <w:rFonts w:ascii="Times New Roman" w:eastAsia="Times New Roman" w:hAnsi="Times New Roman" w:cs="Times New Roman"/>
          <w:sz w:val="24"/>
        </w:rPr>
        <w:t xml:space="preserve"> </w:t>
      </w:r>
    </w:p>
    <w:p w:rsidR="00025683" w:rsidRDefault="007C2AAB">
      <w:pPr>
        <w:spacing w:after="0" w:line="259" w:lineRule="auto"/>
        <w:ind w:left="14" w:firstLine="0"/>
      </w:pPr>
      <w:r>
        <w:rPr>
          <w:rFonts w:ascii="Calibri" w:eastAsia="Calibri" w:hAnsi="Calibri" w:cs="Calibri"/>
          <w:noProof/>
        </w:rPr>
        <mc:AlternateContent>
          <mc:Choice Requires="wpg">
            <w:drawing>
              <wp:anchor distT="0" distB="0" distL="114300" distR="114300" simplePos="0" relativeHeight="25186099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9705" name="Group 4097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468" name="Rectangle 2046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469" name="Rectangle 2046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470" name="Rectangle 2047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189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705" style="width:18.7031pt;height:264.21pt;position:absolute;mso-position-horizontal-relative:page;mso-position-horizontal:absolute;margin-left:662.928pt;mso-position-vertical-relative:page;margin-top:508.71pt;" coordsize="2375,33554">
                <v:rect id="Rectangle 2046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46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47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189 de 350 </w:t>
                        </w:r>
                      </w:p>
                    </w:txbxContent>
                  </v:textbox>
                </v:rect>
                <w10:wrap type="topAndBottom"/>
              </v:group>
            </w:pict>
          </mc:Fallback>
        </mc:AlternateContent>
      </w:r>
      <w:r>
        <w:rPr>
          <w:noProof/>
        </w:rPr>
        <w:drawing>
          <wp:inline distT="0" distB="0" distL="0" distR="0">
            <wp:extent cx="5373338" cy="8011935"/>
            <wp:effectExtent l="0" t="0" r="0" b="0"/>
            <wp:docPr id="20465" name="Picture 20465"/>
            <wp:cNvGraphicFramePr/>
            <a:graphic xmlns:a="http://schemas.openxmlformats.org/drawingml/2006/main">
              <a:graphicData uri="http://schemas.openxmlformats.org/drawingml/2006/picture">
                <pic:pic xmlns:pic="http://schemas.openxmlformats.org/drawingml/2006/picture">
                  <pic:nvPicPr>
                    <pic:cNvPr id="20465" name="Picture 20465"/>
                    <pic:cNvPicPr/>
                  </pic:nvPicPr>
                  <pic:blipFill>
                    <a:blip r:embed="rId88"/>
                    <a:stretch>
                      <a:fillRect/>
                    </a:stretch>
                  </pic:blipFill>
                  <pic:spPr>
                    <a:xfrm>
                      <a:off x="0" y="0"/>
                      <a:ext cx="5373338" cy="8011935"/>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 xml:space="preserve">ALTERNATIVA SELECCIONADA </w:t>
      </w:r>
    </w:p>
    <w:p w:rsidR="00025683" w:rsidRDefault="007C2AAB">
      <w:pPr>
        <w:spacing w:after="0" w:line="259" w:lineRule="auto"/>
        <w:ind w:left="14" w:firstLine="0"/>
        <w:jc w:val="left"/>
      </w:pPr>
      <w:r>
        <w:t xml:space="preserve"> </w:t>
      </w:r>
    </w:p>
    <w:p w:rsidR="00025683" w:rsidRDefault="007C2AAB">
      <w:pPr>
        <w:ind w:left="14" w:right="200"/>
      </w:pPr>
      <w:r>
        <w:t>El ámbito del Parque Periurbano de Pasacola, se encuentra íntegramente incl</w:t>
      </w:r>
      <w:r>
        <w:t>uido en el Bien de Interés Cultural (BIC) del Camino de Candelaria, en atención a sus elementos patrimoniales existentes, su valor cultural y ambiental, así como a la presencia de los vestigios del antiguo caserío de Pasacola, considerado el primer asentam</w:t>
      </w:r>
      <w:r>
        <w:t>iento humano en las medianías del municipio. Por esta razón, la propuesta de ordenación se fundamenta en un modelo de intervención mínima, respetuoso con la memoria histórica y los valores ambientales del lugar. En este marco, se prioriza la restauración d</w:t>
      </w:r>
      <w:r>
        <w:t xml:space="preserve">el paisaje agrario tradicional y la activación de usos compatibles con el carácter patrimonial y productivo del entorno.  </w:t>
      </w:r>
    </w:p>
    <w:p w:rsidR="00025683" w:rsidRDefault="007C2AAB">
      <w:pPr>
        <w:spacing w:after="0" w:line="259" w:lineRule="auto"/>
        <w:ind w:left="14" w:firstLine="0"/>
        <w:jc w:val="left"/>
      </w:pPr>
      <w:r>
        <w:t xml:space="preserve"> </w:t>
      </w:r>
    </w:p>
    <w:p w:rsidR="00025683" w:rsidRDefault="007C2AAB">
      <w:pPr>
        <w:ind w:left="14" w:right="200"/>
      </w:pPr>
      <w:r>
        <w:t>De forma complementaria, el Parque Periurbano de La Vera de Igueste se concibe como un ámbito destinado a usos recreativos, de esparcimiento, descanso y contemplación del paisaje, planteados siempre con un nivel de baja intensidad e intervención en el terr</w:t>
      </w:r>
      <w:r>
        <w:t xml:space="preserve">itorio, de manera que resulten compatibles con los valores patrimoniales y ambientales del conjunto. </w:t>
      </w:r>
    </w:p>
    <w:p w:rsidR="00025683" w:rsidRDefault="007C2AAB">
      <w:pPr>
        <w:spacing w:after="0" w:line="259" w:lineRule="auto"/>
        <w:ind w:left="14" w:firstLine="0"/>
        <w:jc w:val="left"/>
      </w:pPr>
      <w:r>
        <w:t xml:space="preserve"> </w:t>
      </w:r>
    </w:p>
    <w:p w:rsidR="00025683" w:rsidRDefault="007C2AAB">
      <w:pPr>
        <w:ind w:left="14" w:right="200"/>
      </w:pPr>
      <w:r>
        <w:t>Se opta por la Alternativa 2, cuya ordenación plantea una propuesta de intervención moderada que incorpora instalaciones destinadas a favorecer el uso c</w:t>
      </w:r>
      <w:r>
        <w:t>iudadano en ciertas zonas del parque. Dichas instalaciones estarán orientadas tanto a los vecinos de los barrios cercanos como a la ciudadanía del municipio en general, posibilitando actividades de descanso, esparcimiento y juego infantil, y ofreciendo, ad</w:t>
      </w:r>
      <w:r>
        <w:t>emás, un espacio de reposo para los senderistas que recorran el Camino de La Candelaria.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620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9620" name="Group 4096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567" name="Rectangle 2056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568" name="Rectangle 2056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569" name="Rectangle 2056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esPub</w:t>
                              </w:r>
                              <w:r>
                                <w:rPr>
                                  <w:sz w:val="12"/>
                                </w:rPr>
                                <w:t xml:space="preserve">lico Gestiona | Página 190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620" style="width:18.7031pt;height:264.21pt;position:absolute;mso-position-horizontal-relative:page;mso-position-horizontal:absolute;margin-left:662.928pt;mso-position-vertical-relative:page;margin-top:508.71pt;" coordsize="2375,33554">
                <v:rect id="Rectangle 2056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56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56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190 de 350 </w:t>
                        </w:r>
                      </w:p>
                    </w:txbxContent>
                  </v:textbox>
                </v:rect>
                <w10:wrap type="square"/>
              </v:group>
            </w:pict>
          </mc:Fallback>
        </mc:AlternateContent>
      </w:r>
      <w:r>
        <w:t>Por otra parte, resulta imprescindible garantizar la coordinación y complementariedad entre la propuesta de ordenación del Parque Periurbano de La Vera de Igueste y la del Parque Periurbano de Pasacola, cuyos planes espec</w:t>
      </w:r>
      <w:r>
        <w:t xml:space="preserve">iales se encuentran en proceso de redacción de manera simultánea </w:t>
      </w:r>
    </w:p>
    <w:p w:rsidR="00025683" w:rsidRDefault="007C2AAB">
      <w:pPr>
        <w:spacing w:after="0" w:line="259" w:lineRule="auto"/>
        <w:ind w:left="14" w:firstLine="0"/>
        <w:jc w:val="left"/>
      </w:pPr>
      <w:r>
        <w:t xml:space="preserve"> </w:t>
      </w:r>
    </w:p>
    <w:p w:rsidR="00025683" w:rsidRDefault="007C2AAB">
      <w:pPr>
        <w:ind w:left="14" w:right="200"/>
      </w:pPr>
      <w:r>
        <w:t xml:space="preserve">Con esta alternativa se resuelve la accesibilidad a la zona, mediante la incorporación de una zona de aparcamientos destinada a dar servicio a ambos parques.  </w:t>
      </w:r>
    </w:p>
    <w:p w:rsidR="00025683" w:rsidRDefault="007C2AAB">
      <w:pPr>
        <w:spacing w:after="3" w:line="238" w:lineRule="auto"/>
        <w:ind w:left="9" w:hanging="10"/>
        <w:jc w:val="left"/>
      </w:pPr>
      <w:r>
        <w:t>La intervención se orientará</w:t>
      </w:r>
      <w:r>
        <w:t xml:space="preserve"> prioritariamente a la recualificación del paisaje, mediante la recuperación del carácter agrícola tradicional del espacio y la regeneración ambiental y paisajística del entorno, garantizando al mismo tiempo la protección de la vegetación potencial y de lo</w:t>
      </w:r>
      <w:r>
        <w:t xml:space="preserve">s hábitats naturales existentes. </w:t>
      </w:r>
    </w:p>
    <w:p w:rsidR="00025683" w:rsidRDefault="007C2AAB">
      <w:pPr>
        <w:spacing w:after="0" w:line="259" w:lineRule="auto"/>
        <w:ind w:left="14" w:firstLine="0"/>
        <w:jc w:val="left"/>
      </w:pPr>
      <w:r>
        <w:t xml:space="preserve"> </w:t>
      </w:r>
    </w:p>
    <w:p w:rsidR="00025683" w:rsidRDefault="007C2AAB">
      <w:pPr>
        <w:ind w:left="14" w:right="200"/>
      </w:pPr>
      <w:r>
        <w:t>En lo que respecta al transporte público se propone ubicar una nueva parada de la línea 2 del Taxi compartido de Candelaria en las proximidades del parque. Está parada deberá contar con algún tipo de infraestructura como una marquesina que proporcione somb</w:t>
      </w:r>
      <w:r>
        <w:t>ra a los usuarios y haga más agradable la espera. Esta medida tiene como objetivo mejorar la conectividad actual del parque con el resto del municipio, facilitando el acceso y fomentando el uso del transporte público para llegar al área del Parque Periurba</w:t>
      </w:r>
      <w:r>
        <w:t xml:space="preserve">no de La Vera de Igueste.  </w:t>
      </w:r>
    </w:p>
    <w:p w:rsidR="00025683" w:rsidRDefault="007C2AAB">
      <w:pPr>
        <w:spacing w:after="0" w:line="259" w:lineRule="auto"/>
        <w:ind w:left="14" w:firstLine="0"/>
        <w:jc w:val="left"/>
      </w:pPr>
      <w:r>
        <w:t xml:space="preserve"> </w:t>
      </w:r>
    </w:p>
    <w:p w:rsidR="00025683" w:rsidRDefault="007C2AAB">
      <w:pPr>
        <w:ind w:left="14" w:right="200"/>
      </w:pPr>
      <w:r>
        <w:t xml:space="preserve">La accesibilidad en el interior del Parque Periurbano de La Vera de Igueste se fundamenta en la regeneración de los senderos y caminos que se conservan, ampliándose para la creación de recorridos que permitan la incorporación </w:t>
      </w:r>
      <w:r>
        <w:t xml:space="preserve">de circuitos y aparatos saludables, así como descubrir las áreas regeneradas y los valores del paisaje.  </w:t>
      </w:r>
    </w:p>
    <w:p w:rsidR="00025683" w:rsidRDefault="007C2AAB">
      <w:pPr>
        <w:spacing w:after="0" w:line="259" w:lineRule="auto"/>
        <w:ind w:left="14" w:firstLine="0"/>
        <w:jc w:val="left"/>
      </w:pPr>
      <w:r>
        <w:t xml:space="preserve"> </w:t>
      </w:r>
    </w:p>
    <w:p w:rsidR="00025683" w:rsidRDefault="007C2AAB">
      <w:pPr>
        <w:ind w:left="14" w:right="200"/>
      </w:pPr>
      <w:r>
        <w:t>Se propone la creación de cuatro miradores: el Mirador de La Jiménez, vinculado al acceso peatonal junto al Camino de La Candelaria; los miradores de Las Caletillas y de Candelaria, situados al sur del ámbito y asociados a los recorridos peatonales propues</w:t>
      </w:r>
      <w:r>
        <w:t xml:space="preserve">tos; y, por último, el Mirador de Igueste, ubicado al noreste y vinculado al área de recuperación del cultivo tradicional. </w:t>
      </w:r>
    </w:p>
    <w:p w:rsidR="00025683" w:rsidRDefault="007C2AAB">
      <w:pPr>
        <w:spacing w:after="0" w:line="259" w:lineRule="auto"/>
        <w:ind w:left="14" w:firstLine="0"/>
        <w:jc w:val="left"/>
      </w:pPr>
      <w:r>
        <w:t xml:space="preserve"> </w:t>
      </w:r>
    </w:p>
    <w:p w:rsidR="00025683" w:rsidRDefault="007C2AAB">
      <w:pPr>
        <w:ind w:left="14" w:right="200"/>
      </w:pPr>
      <w:r>
        <w:t>En este marco, se han definido cuatro zonas de ordenación, sobre las cuales se establecen las condiciones de intervención que serv</w:t>
      </w:r>
      <w:r>
        <w:t>irán de guía para el desarrollo del futuro proyecto de ejecución del Parque Periurbano, asegurando que cada actuación respete el entorno y contribuya a la integración paisajística, funcional y cultural del espacio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6304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8451" name="Group 4084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620" name="Rectangle 2062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Validación: 3J3KYNW3CJM74AZ6SEHNT</w:t>
                              </w:r>
                              <w:r>
                                <w:rPr>
                                  <w:sz w:val="12"/>
                                </w:rPr>
                                <w:t xml:space="preserve">4KKY </w:t>
                              </w:r>
                            </w:p>
                          </w:txbxContent>
                        </wps:txbx>
                        <wps:bodyPr horzOverflow="overflow" vert="horz" lIns="0" tIns="0" rIns="0" bIns="0" rtlCol="0">
                          <a:noAutofit/>
                        </wps:bodyPr>
                      </wps:wsp>
                      <wps:wsp>
                        <wps:cNvPr id="20621" name="Rectangle 2062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622" name="Rectangle 2062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191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8451" style="width:18.7031pt;height:264.21pt;position:absolute;mso-position-horizontal-relative:page;mso-position-horizontal:absolute;margin-left:662.928pt;mso-position-vertical-relative:page;margin-top:508.71pt;" coordsize="2375,33554">
                <v:rect id="Rectangle 2062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62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62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191 de 350 </w:t>
                        </w:r>
                      </w:p>
                    </w:txbxContent>
                  </v:textbox>
                </v:rect>
                <w10:wrap type="topAndBottom"/>
              </v:group>
            </w:pict>
          </mc:Fallback>
        </mc:AlternateContent>
      </w:r>
      <w:r>
        <w:rPr>
          <w:b/>
        </w:rPr>
        <w:t xml:space="preserve"> </w:t>
      </w:r>
    </w:p>
    <w:p w:rsidR="00025683" w:rsidRDefault="007C2AAB">
      <w:pPr>
        <w:spacing w:after="0" w:line="259" w:lineRule="auto"/>
        <w:ind w:left="0" w:right="595" w:firstLine="0"/>
        <w:jc w:val="right"/>
      </w:pPr>
      <w:r>
        <w:rPr>
          <w:noProof/>
        </w:rPr>
        <w:drawing>
          <wp:inline distT="0" distB="0" distL="0" distR="0">
            <wp:extent cx="5637873" cy="5820213"/>
            <wp:effectExtent l="0" t="0" r="0" b="0"/>
            <wp:docPr id="20617" name="Picture 20617"/>
            <wp:cNvGraphicFramePr/>
            <a:graphic xmlns:a="http://schemas.openxmlformats.org/drawingml/2006/main">
              <a:graphicData uri="http://schemas.openxmlformats.org/drawingml/2006/picture">
                <pic:pic xmlns:pic="http://schemas.openxmlformats.org/drawingml/2006/picture">
                  <pic:nvPicPr>
                    <pic:cNvPr id="20617" name="Picture 20617"/>
                    <pic:cNvPicPr/>
                  </pic:nvPicPr>
                  <pic:blipFill>
                    <a:blip r:embed="rId89"/>
                    <a:stretch>
                      <a:fillRect/>
                    </a:stretch>
                  </pic:blipFill>
                  <pic:spPr>
                    <a:xfrm>
                      <a:off x="0" y="0"/>
                      <a:ext cx="5637873" cy="5820213"/>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Zona A – Bancales tradicionales  </w:t>
      </w:r>
    </w:p>
    <w:p w:rsidR="00025683" w:rsidRDefault="007C2AAB">
      <w:pPr>
        <w:spacing w:after="0" w:line="259" w:lineRule="auto"/>
        <w:ind w:left="14" w:firstLine="0"/>
        <w:jc w:val="left"/>
      </w:pPr>
      <w:r>
        <w:t xml:space="preserve"> </w:t>
      </w:r>
    </w:p>
    <w:p w:rsidR="00025683" w:rsidRDefault="007C2AAB">
      <w:pPr>
        <w:ind w:left="14" w:right="200"/>
      </w:pPr>
      <w:r>
        <w:t xml:space="preserve">Incluye las áreas de bancales originales que, por su </w:t>
      </w:r>
      <w:r>
        <w:t xml:space="preserve">estado de conservación, resulten susceptibles de recuperación. Se prevé la restauración de muros y bancales, así como de los sistemas de riego tradicionales existentes, con el fin de recuperar el carácter agrícola de la zona.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Zona B – </w:t>
      </w:r>
      <w:r>
        <w:t xml:space="preserve">Área de aparcamiento  </w:t>
      </w:r>
    </w:p>
    <w:p w:rsidR="00025683" w:rsidRDefault="007C2AAB">
      <w:pPr>
        <w:spacing w:after="0" w:line="259" w:lineRule="auto"/>
        <w:ind w:left="14" w:firstLine="0"/>
        <w:jc w:val="left"/>
      </w:pPr>
      <w:r>
        <w:t xml:space="preserve"> </w:t>
      </w:r>
    </w:p>
    <w:p w:rsidR="00025683" w:rsidRDefault="007C2AAB">
      <w:pPr>
        <w:ind w:left="14" w:right="200"/>
      </w:pPr>
      <w:r>
        <w:t>Área que albergará zona de estacionamiento para vehículos que de servicio tanto al Parque de La Vera de Igueste como al cercano parque de Pasacola. 65 plazas aproximadamente.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Zona C – Área recreativa  </w:t>
      </w:r>
    </w:p>
    <w:p w:rsidR="00025683" w:rsidRDefault="007C2AAB">
      <w:pPr>
        <w:spacing w:after="0" w:line="259" w:lineRule="auto"/>
        <w:ind w:left="14" w:firstLine="0"/>
        <w:jc w:val="left"/>
      </w:pPr>
      <w:r>
        <w:t xml:space="preserve"> </w:t>
      </w:r>
    </w:p>
    <w:p w:rsidR="00025683" w:rsidRDefault="007C2AAB">
      <w:pPr>
        <w:ind w:left="14" w:right="200"/>
      </w:pPr>
      <w:r>
        <w:t>En la zona central del</w:t>
      </w:r>
      <w:r>
        <w:t xml:space="preserve"> parque, donde las estructuras de bancales se han perdido prácticamente del todo, se incorporará una zona recreativa para el esparcimiento con áreas de estancia, picnic, juegos infantiles y actividades deportivas, así como la incorporación de nuevos sender</w:t>
      </w:r>
      <w:r>
        <w:t xml:space="preserve">os y caminos que favorezcan su conexión interna y permitan el paseo y la práctica de la carrera a pie.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Zona D – Rehabilitación ambiental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640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8520" name="Group 4085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730" name="Rectangle 2073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731" name="Rectangle 2073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732" name="Rectangle 2073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192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8520" style="width:18.7031pt;height:264.21pt;position:absolute;mso-position-horizontal-relative:page;mso-position-horizontal:absolute;margin-left:662.928pt;mso-position-vertical-relative:page;margin-top:508.71pt;" coordsize="2375,33554">
                <v:rect id="Rectangle 2073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73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73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192 de 350 </w:t>
                        </w:r>
                      </w:p>
                    </w:txbxContent>
                  </v:textbox>
                </v:rect>
                <w10:wrap type="square"/>
              </v:group>
            </w:pict>
          </mc:Fallback>
        </mc:AlternateContent>
      </w:r>
      <w:r>
        <w:t xml:space="preserve"> </w:t>
      </w:r>
    </w:p>
    <w:p w:rsidR="00025683" w:rsidRDefault="007C2AAB">
      <w:pPr>
        <w:ind w:left="14" w:right="200"/>
      </w:pPr>
      <w:r>
        <w:t>En los restantes terrenos que conforman el plan especial, se plantea exclusivamente la regeneración y limpieza del entorno, priorizando la conservación y el ma</w:t>
      </w:r>
      <w:r>
        <w:t xml:space="preserve">ntenimiento de los hábitats naturales existentes.  </w:t>
      </w:r>
    </w:p>
    <w:p w:rsidR="00025683" w:rsidRDefault="007C2AAB">
      <w:pPr>
        <w:spacing w:after="0" w:line="259" w:lineRule="auto"/>
        <w:ind w:left="14" w:firstLine="0"/>
        <w:jc w:val="left"/>
      </w:pPr>
      <w:r>
        <w:t xml:space="preserve"> </w:t>
      </w:r>
    </w:p>
    <w:p w:rsidR="00025683" w:rsidRDefault="007C2AAB">
      <w:pPr>
        <w:ind w:left="14" w:right="200"/>
      </w:pPr>
      <w:r>
        <w:t xml:space="preserve">En las áreas susceptibles de revegetación, se fomentará la plantación de especies autóctonas propias del piso bioclimático, así como se procederá a la eliminación de especies invasoras detectadas.  </w:t>
      </w:r>
    </w:p>
    <w:p w:rsidR="00025683" w:rsidRDefault="007C2AAB">
      <w:pPr>
        <w:spacing w:after="0" w:line="259" w:lineRule="auto"/>
        <w:ind w:left="14" w:firstLine="0"/>
        <w:jc w:val="left"/>
      </w:pPr>
      <w:r>
        <w:t xml:space="preserve"> </w:t>
      </w:r>
    </w:p>
    <w:p w:rsidR="00025683" w:rsidRDefault="007C2AAB">
      <w:pPr>
        <w:ind w:left="14" w:right="200"/>
      </w:pPr>
      <w:r>
        <w:t xml:space="preserve">La movilidad y accesibilidad al Parque de La Vera de Igueste dependen actualmente del camino de Candelaria, único viario de acceso. Este camino también da servicio al futuro Parque de Pasacola, situado en las proximidades.  </w:t>
      </w:r>
    </w:p>
    <w:p w:rsidR="00025683" w:rsidRDefault="007C2AAB">
      <w:pPr>
        <w:spacing w:after="0" w:line="259" w:lineRule="auto"/>
        <w:ind w:left="14" w:firstLine="0"/>
        <w:jc w:val="left"/>
      </w:pPr>
      <w:r>
        <w:t xml:space="preserve"> </w:t>
      </w:r>
    </w:p>
    <w:p w:rsidR="00025683" w:rsidRDefault="007C2AAB">
      <w:pPr>
        <w:ind w:left="14" w:right="200"/>
      </w:pPr>
      <w:r>
        <w:t>Se ha considerado fundamental</w:t>
      </w:r>
      <w:r>
        <w:t xml:space="preserve">, para la ordenación y el planteamiento de la movilidad de la zona, entender ambos parques como propuestas complementarias. En este sentido, la zona de aparcamientos prevista, estará destinada a cubrir las necesidades de estacionamiento de ambos espacios. </w:t>
      </w:r>
      <w:r>
        <w:t>Desde dicho aparcamiento, el acceso al Parque de Pasacola será prioritariamente peatonal, atendiendo a la consideración del camino de Candelaria como sitio histórico.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704" w:firstLine="0"/>
        <w:jc w:val="right"/>
      </w:pPr>
      <w:r>
        <w:rPr>
          <w:noProof/>
        </w:rPr>
        <w:drawing>
          <wp:inline distT="0" distB="0" distL="0" distR="0">
            <wp:extent cx="4943805" cy="6030341"/>
            <wp:effectExtent l="0" t="0" r="0" b="0"/>
            <wp:docPr id="20762" name="Picture 20762"/>
            <wp:cNvGraphicFramePr/>
            <a:graphic xmlns:a="http://schemas.openxmlformats.org/drawingml/2006/main">
              <a:graphicData uri="http://schemas.openxmlformats.org/drawingml/2006/picture">
                <pic:pic xmlns:pic="http://schemas.openxmlformats.org/drawingml/2006/picture">
                  <pic:nvPicPr>
                    <pic:cNvPr id="20762" name="Picture 20762"/>
                    <pic:cNvPicPr/>
                  </pic:nvPicPr>
                  <pic:blipFill>
                    <a:blip r:embed="rId90"/>
                    <a:stretch>
                      <a:fillRect/>
                    </a:stretch>
                  </pic:blipFill>
                  <pic:spPr>
                    <a:xfrm>
                      <a:off x="0" y="0"/>
                      <a:ext cx="4943805" cy="6030341"/>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650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9004" name="Group 4090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765" name="Rectangle 2076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766" name="Rectangle 2076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w:t>
                              </w:r>
                              <w:r>
                                <w:rPr>
                                  <w:sz w:val="12"/>
                                </w:rPr>
                                <w:t xml:space="preserve">ndelaria.sedelectronica.es/ </w:t>
                              </w:r>
                            </w:p>
                          </w:txbxContent>
                        </wps:txbx>
                        <wps:bodyPr horzOverflow="overflow" vert="horz" lIns="0" tIns="0" rIns="0" bIns="0" rtlCol="0">
                          <a:noAutofit/>
                        </wps:bodyPr>
                      </wps:wsp>
                      <wps:wsp>
                        <wps:cNvPr id="20767" name="Rectangle 2076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193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004" style="width:18.7031pt;height:264.21pt;position:absolute;mso-position-horizontal-relative:page;mso-position-horizontal:absolute;margin-left:662.928pt;mso-position-vertical-relative:page;margin-top:508.71pt;" coordsize="2375,33554">
                <v:rect id="Rectangle 2076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76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76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193 de 350 </w:t>
                        </w:r>
                      </w:p>
                    </w:txbxContent>
                  </v:textbox>
                </v:rect>
                <w10:wrap type="topAndBottom"/>
              </v:group>
            </w:pict>
          </mc:Fallback>
        </mc:AlternateContent>
      </w: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983" w:firstLine="0"/>
        <w:jc w:val="right"/>
      </w:pPr>
      <w:r>
        <w:rPr>
          <w:rFonts w:ascii="Calibri" w:eastAsia="Calibri" w:hAnsi="Calibri" w:cs="Calibri"/>
          <w:noProof/>
        </w:rPr>
        <mc:AlternateContent>
          <mc:Choice Requires="wpg">
            <w:drawing>
              <wp:inline distT="0" distB="0" distL="0" distR="0">
                <wp:extent cx="5384878" cy="5426948"/>
                <wp:effectExtent l="0" t="0" r="0" b="0"/>
                <wp:docPr id="409621" name="Group 409621"/>
                <wp:cNvGraphicFramePr/>
                <a:graphic xmlns:a="http://schemas.openxmlformats.org/drawingml/2006/main">
                  <a:graphicData uri="http://schemas.microsoft.com/office/word/2010/wordprocessingGroup">
                    <wpg:wgp>
                      <wpg:cNvGrpSpPr/>
                      <wpg:grpSpPr>
                        <a:xfrm>
                          <a:off x="0" y="0"/>
                          <a:ext cx="5384878" cy="5426948"/>
                          <a:chOff x="0" y="0"/>
                          <a:chExt cx="5384878" cy="5426948"/>
                        </a:xfrm>
                      </wpg:grpSpPr>
                      <wps:wsp>
                        <wps:cNvPr id="20793" name="Rectangle 20793"/>
                        <wps:cNvSpPr/>
                        <wps:spPr>
                          <a:xfrm>
                            <a:off x="5105146" y="182624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794" name="Rectangle 20794"/>
                        <wps:cNvSpPr/>
                        <wps:spPr>
                          <a:xfrm>
                            <a:off x="305" y="1963162"/>
                            <a:ext cx="51809" cy="207922"/>
                          </a:xfrm>
                          <a:prstGeom prst="rect">
                            <a:avLst/>
                          </a:prstGeom>
                          <a:ln>
                            <a:noFill/>
                          </a:ln>
                        </wps:spPr>
                        <wps:txbx>
                          <w:txbxContent>
                            <w:p w:rsidR="00025683" w:rsidRDefault="007C2AAB">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0798" name="Picture 20798"/>
                          <pic:cNvPicPr/>
                        </pic:nvPicPr>
                        <pic:blipFill>
                          <a:blip r:embed="rId93"/>
                          <a:stretch>
                            <a:fillRect/>
                          </a:stretch>
                        </pic:blipFill>
                        <pic:spPr>
                          <a:xfrm>
                            <a:off x="0" y="0"/>
                            <a:ext cx="5075510" cy="1961344"/>
                          </a:xfrm>
                          <a:prstGeom prst="rect">
                            <a:avLst/>
                          </a:prstGeom>
                        </pic:spPr>
                      </pic:pic>
                      <pic:pic xmlns:pic="http://schemas.openxmlformats.org/drawingml/2006/picture">
                        <pic:nvPicPr>
                          <pic:cNvPr id="20800" name="Picture 20800"/>
                          <pic:cNvPicPr/>
                        </pic:nvPicPr>
                        <pic:blipFill>
                          <a:blip r:embed="rId92"/>
                          <a:stretch>
                            <a:fillRect/>
                          </a:stretch>
                        </pic:blipFill>
                        <pic:spPr>
                          <a:xfrm>
                            <a:off x="0" y="2122851"/>
                            <a:ext cx="5384878" cy="3304097"/>
                          </a:xfrm>
                          <a:prstGeom prst="rect">
                            <a:avLst/>
                          </a:prstGeom>
                        </pic:spPr>
                      </pic:pic>
                    </wpg:wgp>
                  </a:graphicData>
                </a:graphic>
              </wp:inline>
            </w:drawing>
          </mc:Choice>
          <mc:Fallback xmlns:a="http://schemas.openxmlformats.org/drawingml/2006/main">
            <w:pict>
              <v:group id="Group 409621" style="width:424.006pt;height:427.319pt;mso-position-horizontal-relative:char;mso-position-vertical-relative:line" coordsize="53848,54269">
                <v:rect id="Rectangle 20793" style="position:absolute;width:506;height:2243;left:51051;top:1826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0794" style="position:absolute;width:518;height:2079;left:3;top:19631;"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shape id="Picture 20798" style="position:absolute;width:50755;height:19613;left:0;top:0;" filled="f">
                  <v:imagedata r:id="rId93"/>
                </v:shape>
                <v:shape id="Picture 20800" style="position:absolute;width:53848;height:33040;left:0;top:21228;" filled="f">
                  <v:imagedata r:id="rId94"/>
                </v:shape>
              </v:group>
            </w:pict>
          </mc:Fallback>
        </mc:AlternateConten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661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9625" name="Group 4096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803" name="Rectangle 2080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804" name="Rectangle 2080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805" name="Rectangle 2080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194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625" style="width:18.7031pt;height:264.21pt;position:absolute;mso-position-horizontal-relative:page;mso-position-horizontal:absolute;margin-left:662.928pt;mso-position-vertical-relative:page;margin-top:508.71pt;" coordsize="2375,33554">
                <v:rect id="Rectangle 2080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80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80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194 de 350 </w:t>
                        </w:r>
                      </w:p>
                    </w:txbxContent>
                  </v:textbox>
                </v:rect>
                <w10:wrap type="topAndBottom"/>
              </v:group>
            </w:pict>
          </mc:Fallback>
        </mc:AlternateContent>
      </w:r>
      <w:r>
        <w:rPr>
          <w:b/>
        </w:rPr>
        <w:t xml:space="preserve"> </w:t>
      </w:r>
    </w:p>
    <w:p w:rsidR="00025683" w:rsidRDefault="007C2AAB">
      <w:pPr>
        <w:spacing w:after="39" w:line="216" w:lineRule="auto"/>
        <w:ind w:left="14" w:right="983" w:firstLine="0"/>
        <w:jc w:val="left"/>
      </w:pPr>
      <w:r>
        <w:rPr>
          <w:noProof/>
        </w:rPr>
        <w:drawing>
          <wp:inline distT="0" distB="0" distL="0" distR="0">
            <wp:extent cx="5401035" cy="5029105"/>
            <wp:effectExtent l="0" t="0" r="0" b="0"/>
            <wp:docPr id="20860" name="Picture 20860"/>
            <wp:cNvGraphicFramePr/>
            <a:graphic xmlns:a="http://schemas.openxmlformats.org/drawingml/2006/main">
              <a:graphicData uri="http://schemas.openxmlformats.org/drawingml/2006/picture">
                <pic:pic xmlns:pic="http://schemas.openxmlformats.org/drawingml/2006/picture">
                  <pic:nvPicPr>
                    <pic:cNvPr id="20860" name="Picture 20860"/>
                    <pic:cNvPicPr/>
                  </pic:nvPicPr>
                  <pic:blipFill>
                    <a:blip r:embed="rId95"/>
                    <a:stretch>
                      <a:fillRect/>
                    </a:stretch>
                  </pic:blipFill>
                  <pic:spPr>
                    <a:xfrm>
                      <a:off x="0" y="0"/>
                      <a:ext cx="5401035" cy="5029105"/>
                    </a:xfrm>
                    <a:prstGeom prst="rect">
                      <a:avLst/>
                    </a:prstGeom>
                  </pic:spPr>
                </pic:pic>
              </a:graphicData>
            </a:graphic>
          </wp:inline>
        </w:drawing>
      </w:r>
      <w:r>
        <w:rPr>
          <w:rFonts w:ascii="Times New Roman" w:eastAsia="Times New Roman" w:hAnsi="Times New Roman" w:cs="Times New Roman"/>
          <w:sz w:val="24"/>
        </w:rPr>
        <w:t xml:space="preserve"> </w:t>
      </w:r>
      <w:r>
        <w:rPr>
          <w:b/>
        </w:rPr>
        <w:t xml:space="preserve"> </w:t>
      </w:r>
    </w:p>
    <w:p w:rsidR="00025683" w:rsidRDefault="007C2AAB">
      <w:pPr>
        <w:spacing w:after="12"/>
        <w:ind w:left="14" w:right="197"/>
      </w:pPr>
      <w:r>
        <w:rPr>
          <w:b/>
        </w:rPr>
        <w:t>CONCLUSIONES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27"/>
        <w:ind w:left="14" w:right="200"/>
      </w:pPr>
      <w:r>
        <w:t xml:space="preserve">De acuerdo a todo lo expuesto anteriormente, se informa FAVORABLE la aprobación inicial del </w:t>
      </w:r>
    </w:p>
    <w:p w:rsidR="00025683" w:rsidRDefault="007C2AAB">
      <w:pPr>
        <w:ind w:left="14" w:right="200"/>
      </w:pPr>
      <w:r>
        <w:t xml:space="preserve">Plan Especial Parque periurbano La Vera de Igueste, T.M. de Candelaria…”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rFonts w:ascii="Calibri" w:eastAsia="Calibri" w:hAnsi="Calibri" w:cs="Calibri"/>
          <w:noProof/>
        </w:rPr>
        <mc:AlternateContent>
          <mc:Choice Requires="wpg">
            <w:drawing>
              <wp:anchor distT="0" distB="0" distL="114300" distR="114300" simplePos="0" relativeHeight="2518671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9713" name="Group 4097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863" name="Rectangle 2086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864" name="Rectangle 2086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865" name="Rectangle 2086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esPublico Gestion</w:t>
                              </w:r>
                              <w:r>
                                <w:rPr>
                                  <w:sz w:val="12"/>
                                </w:rPr>
                                <w:t xml:space="preserve">a | Página 195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713" style="width:18.7031pt;height:264.21pt;position:absolute;mso-position-horizontal-relative:page;mso-position-horizontal:absolute;margin-left:662.928pt;mso-position-vertical-relative:page;margin-top:508.71pt;" coordsize="2375,33554">
                <v:rect id="Rectangle 2086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8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8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195 de 350 </w:t>
                        </w:r>
                      </w:p>
                    </w:txbxContent>
                  </v:textbox>
                </v:rect>
                <w10:wrap type="square"/>
              </v:group>
            </w:pict>
          </mc:Fallback>
        </mc:AlternateContent>
      </w:r>
      <w:r>
        <w:rPr>
          <w:b/>
        </w:rPr>
        <w:t xml:space="preserve"> </w:t>
      </w:r>
    </w:p>
    <w:p w:rsidR="00025683" w:rsidRDefault="007C2AAB">
      <w:pPr>
        <w:pStyle w:val="Ttulo4"/>
        <w:ind w:left="274" w:right="462"/>
      </w:pPr>
      <w:r>
        <w:t>CONSIDERACIONES JURÍDICAS</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PRIMERA. - </w:t>
      </w:r>
      <w:r>
        <w:t>El artículo 146.1 de la Ley 4/2017, de 13 de julio, del Suelo y de los Espacios Naturales Protegidos de Canarias que los Planes Especiales de Ordenación tienen por objeto desarrollar o completar las determinaciones de los planes generales, ordenando elemen</w:t>
      </w:r>
      <w:r>
        <w:t xml:space="preserve">tos específicos de un ámbito territorial determinado. </w:t>
      </w:r>
      <w:r>
        <w:rPr>
          <w:rFonts w:ascii="Times New Roman" w:eastAsia="Times New Roman" w:hAnsi="Times New Roman" w:cs="Times New Roman"/>
          <w:sz w:val="24"/>
        </w:rPr>
        <w:t xml:space="preserve"> </w:t>
      </w:r>
    </w:p>
    <w:p w:rsidR="00025683" w:rsidRDefault="007C2AAB">
      <w:pPr>
        <w:ind w:left="14" w:right="200"/>
      </w:pPr>
      <w:r>
        <w:t xml:space="preserve">Conforme al artículo 146.2, los ayuntamientos podrán aprobar planes especiales, en desarrollo del plan general o de forma autónoma, con las siguientes finalidades: </w:t>
      </w:r>
    </w:p>
    <w:p w:rsidR="00025683" w:rsidRDefault="007C2AAB">
      <w:pPr>
        <w:spacing w:line="238" w:lineRule="auto"/>
        <w:ind w:left="21" w:right="208"/>
      </w:pPr>
      <w:r>
        <w:rPr>
          <w:i/>
        </w:rPr>
        <w:t xml:space="preserve">      “a) Establecer la ordenación </w:t>
      </w:r>
      <w:r>
        <w:rPr>
          <w:i/>
        </w:rPr>
        <w:t>pormenorizada precisa para la ejecución del planeamiento, en todo o en parte, del suelo urbano consolidado y del suelo rústico de asentamiento rural.</w:t>
      </w:r>
      <w:r>
        <w:rPr>
          <w:rFonts w:ascii="Times New Roman" w:eastAsia="Times New Roman" w:hAnsi="Times New Roman" w:cs="Times New Roman"/>
          <w:sz w:val="24"/>
        </w:rPr>
        <w:t xml:space="preserve"> </w:t>
      </w:r>
      <w:r>
        <w:rPr>
          <w:i/>
        </w:rPr>
        <w:t xml:space="preserve">      b) Conservar y mejorar el medio natural y el paisaje natural y urbano.</w:t>
      </w:r>
      <w:r>
        <w:rPr>
          <w:rFonts w:ascii="Times New Roman" w:eastAsia="Times New Roman" w:hAnsi="Times New Roman" w:cs="Times New Roman"/>
          <w:sz w:val="24"/>
        </w:rPr>
        <w:t xml:space="preserve"> </w:t>
      </w:r>
    </w:p>
    <w:p w:rsidR="00025683" w:rsidRDefault="007C2AAB">
      <w:pPr>
        <w:numPr>
          <w:ilvl w:val="0"/>
          <w:numId w:val="56"/>
        </w:numPr>
        <w:spacing w:line="238" w:lineRule="auto"/>
        <w:ind w:right="49"/>
      </w:pPr>
      <w:r>
        <w:rPr>
          <w:i/>
        </w:rPr>
        <w:t>Proteger, conservar y rehabi</w:t>
      </w:r>
      <w:r>
        <w:rPr>
          <w:i/>
        </w:rPr>
        <w:t>litar el patrimonio histórico canario.</w:t>
      </w:r>
      <w:r>
        <w:rPr>
          <w:rFonts w:ascii="Times New Roman" w:eastAsia="Times New Roman" w:hAnsi="Times New Roman" w:cs="Times New Roman"/>
          <w:sz w:val="24"/>
        </w:rPr>
        <w:t xml:space="preserve"> </w:t>
      </w:r>
    </w:p>
    <w:p w:rsidR="00025683" w:rsidRDefault="007C2AAB">
      <w:pPr>
        <w:numPr>
          <w:ilvl w:val="0"/>
          <w:numId w:val="56"/>
        </w:numPr>
        <w:spacing w:line="238" w:lineRule="auto"/>
        <w:ind w:right="49"/>
      </w:pPr>
      <w:r>
        <w:rPr>
          <w:i/>
        </w:rPr>
        <w:t>Establecer la ordenación pormenorizada de las áreas urbanas sometidas a operaciones de reforma o de renovación urbanas, sin perjuicio de las actuaciones sobre el medio urbano previstas en esta ley.</w:t>
      </w:r>
      <w:r>
        <w:rPr>
          <w:rFonts w:ascii="Times New Roman" w:eastAsia="Times New Roman" w:hAnsi="Times New Roman" w:cs="Times New Roman"/>
          <w:sz w:val="24"/>
        </w:rPr>
        <w:t xml:space="preserve"> </w:t>
      </w:r>
    </w:p>
    <w:p w:rsidR="00025683" w:rsidRDefault="007C2AAB">
      <w:pPr>
        <w:numPr>
          <w:ilvl w:val="0"/>
          <w:numId w:val="56"/>
        </w:numPr>
        <w:spacing w:line="238" w:lineRule="auto"/>
        <w:ind w:right="49"/>
      </w:pPr>
      <w:r>
        <w:rPr>
          <w:i/>
        </w:rPr>
        <w:t>Definir las actua</w:t>
      </w:r>
      <w:r>
        <w:rPr>
          <w:i/>
        </w:rPr>
        <w:t>ciones en los núcleos o zonas turísticas a rehabilitar.</w:t>
      </w:r>
      <w:r>
        <w:rPr>
          <w:rFonts w:ascii="Times New Roman" w:eastAsia="Times New Roman" w:hAnsi="Times New Roman" w:cs="Times New Roman"/>
          <w:sz w:val="24"/>
        </w:rPr>
        <w:t xml:space="preserve"> </w:t>
      </w:r>
    </w:p>
    <w:p w:rsidR="00025683" w:rsidRDefault="007C2AAB">
      <w:pPr>
        <w:numPr>
          <w:ilvl w:val="0"/>
          <w:numId w:val="56"/>
        </w:numPr>
        <w:spacing w:after="28" w:line="238" w:lineRule="auto"/>
        <w:ind w:right="49"/>
      </w:pPr>
      <w:r>
        <w:rPr>
          <w:i/>
        </w:rPr>
        <w:t>Ordenar los sistemas generales, cuando así lo determine el plan general.</w:t>
      </w:r>
      <w:r>
        <w:rPr>
          <w:rFonts w:ascii="Times New Roman" w:eastAsia="Times New Roman" w:hAnsi="Times New Roman" w:cs="Times New Roman"/>
          <w:sz w:val="24"/>
        </w:rPr>
        <w:t xml:space="preserve"> </w:t>
      </w:r>
    </w:p>
    <w:p w:rsidR="00025683" w:rsidRDefault="007C2AAB">
      <w:pPr>
        <w:numPr>
          <w:ilvl w:val="0"/>
          <w:numId w:val="56"/>
        </w:numPr>
        <w:spacing w:line="238" w:lineRule="auto"/>
        <w:ind w:right="49"/>
      </w:pPr>
      <w:r>
        <w:rPr>
          <w:i/>
        </w:rPr>
        <w:t>Cualesquiera otras análogas que se prevean reglamentariamente.”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El artículo 147. </w:t>
      </w:r>
      <w:r>
        <w:t>de la Ley 4/2017, de 13 de julio, del S</w:t>
      </w:r>
      <w:r>
        <w:t>uelo y de los Espacios Naturales Protegidos de Canarias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numPr>
          <w:ilvl w:val="0"/>
          <w:numId w:val="57"/>
        </w:numPr>
        <w:ind w:right="200"/>
      </w:pPr>
      <w:r>
        <w:t xml:space="preserve">establece que cualquier sujeto, público o privado, podrá elaborar y proponer planes parciales y planes especiales, en los términos fijados por el plan general.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numPr>
          <w:ilvl w:val="0"/>
          <w:numId w:val="57"/>
        </w:numPr>
        <w:ind w:right="200"/>
      </w:pPr>
      <w:r>
        <w:rPr>
          <w:rFonts w:ascii="Calibri" w:eastAsia="Calibri" w:hAnsi="Calibri" w:cs="Calibri"/>
          <w:noProof/>
        </w:rPr>
        <mc:AlternateContent>
          <mc:Choice Requires="wpg">
            <w:drawing>
              <wp:anchor distT="0" distB="0" distL="114300" distR="114300" simplePos="0" relativeHeight="25186816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9978" name="Group 4099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0982" name="Rectangle 2098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0983" name="Rectangle 2098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0984" name="Rectangle 2098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196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978" style="width:18.7031pt;height:264.21pt;position:absolute;mso-position-horizontal-relative:page;mso-position-horizontal:absolute;margin-left:662.928pt;mso-position-vertical-relative:page;margin-top:508.71pt;" coordsize="2375,33554">
                <v:rect id="Rectangle 2098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098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098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196 de 350 </w:t>
                        </w:r>
                      </w:p>
                    </w:txbxContent>
                  </v:textbox>
                </v:rect>
                <w10:wrap type="square"/>
              </v:group>
            </w:pict>
          </mc:Fallback>
        </mc:AlternateContent>
      </w:r>
      <w:r>
        <w:t xml:space="preserve">Formulado el instrumento de planeamiento, se procederá a su </w:t>
      </w:r>
      <w:r>
        <w:t>aprobación inicial por el órgano competente de acuerdo con la legislación de régimen local, previo informe de los servicios técnicos y jurídicos municipales. Cuando se trate de un instrumento de iniciativa particular solo podrá denegarse su aprobación inic</w:t>
      </w:r>
      <w:r>
        <w:t xml:space="preserve">ial por razones de legalidad, que resulten insubsanables. En todo caso, la aprobación inicial no condicionará en modo alguno la resolución que se derive de la tramitación del procedimiento. </w:t>
      </w:r>
    </w:p>
    <w:p w:rsidR="00025683" w:rsidRDefault="007C2AAB">
      <w:pPr>
        <w:spacing w:after="0" w:line="259" w:lineRule="auto"/>
        <w:ind w:left="14" w:firstLine="0"/>
        <w:jc w:val="left"/>
      </w:pPr>
      <w:r>
        <w:t xml:space="preserve"> </w:t>
      </w:r>
    </w:p>
    <w:p w:rsidR="00025683" w:rsidRDefault="007C2AAB">
      <w:pPr>
        <w:numPr>
          <w:ilvl w:val="0"/>
          <w:numId w:val="57"/>
        </w:numPr>
        <w:spacing w:after="12"/>
        <w:ind w:right="200"/>
      </w:pPr>
      <w:r>
        <w:rPr>
          <w:b/>
        </w:rPr>
        <w:t>El documento aprobado inicialmente se someterá a los trámites d</w:t>
      </w:r>
      <w:r>
        <w:rPr>
          <w:b/>
        </w:rPr>
        <w:t>e información pública y de consulta a las administraciones afectadas por el plazo fijado por la legislación ambiental o sectorial aplicable o, en su defecto, de un mes, computados a partir de la publicación del correspondiente anuncio en el Boletín Oficial</w:t>
      </w:r>
      <w:r>
        <w:rPr>
          <w:b/>
        </w:rPr>
        <w:t xml:space="preserve"> de Canarias. El periodo de información pública se anunciará en, al menos, uno de los periódicos de mayor difusión de la isla y en la sede electrónica del ayuntamiento.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La falta de emisión de los informes no interrumpirá la tramitación del procedimiento</w:t>
      </w:r>
      <w:r>
        <w:t>. Los informes que no se emitan dentro del plazo conferido podrán no ser tenidos en cuenta para adoptar la aprobación definitiva. La documentación que se someta a información pública deberá contener los resúmenes ejecutivos y no técnicos previstos en la le</w:t>
      </w:r>
      <w:r>
        <w:t>gislación estatal básica.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SEGUNDA. - </w:t>
      </w:r>
      <w:r>
        <w:t>Resultan de aplicación los artículos 14 y siguientes del Reglamento de Planeamiento de Canarias donde se regulan los trámites comunes de la elaboración de los instrumentos de ordenación sometidos a evaluación ambie</w:t>
      </w:r>
      <w:r>
        <w:t xml:space="preserve">ntal estratégica ordinaria.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En el artículo 22 del Reglamento de Planeamiento de Canarias, aprobado por Decreto 181/2018, de 26 de diciembre que señala lo siguiente: </w:t>
      </w:r>
    </w:p>
    <w:p w:rsidR="00025683" w:rsidRDefault="007C2AAB">
      <w:pPr>
        <w:spacing w:after="0" w:line="259" w:lineRule="auto"/>
        <w:ind w:left="14" w:firstLine="0"/>
        <w:jc w:val="left"/>
      </w:pPr>
      <w:r>
        <w:t xml:space="preserve"> </w:t>
      </w:r>
    </w:p>
    <w:p w:rsidR="00025683" w:rsidRDefault="007C2AAB">
      <w:pPr>
        <w:numPr>
          <w:ilvl w:val="0"/>
          <w:numId w:val="58"/>
        </w:numPr>
        <w:ind w:right="200"/>
      </w:pPr>
      <w:r>
        <w:t>A la vista del resultado de los trámites anteriores, se elaborará el documento del p</w:t>
      </w:r>
      <w:r>
        <w:t>lan que vaya a someterse a la aprobación inicial, seleccionándose aquellas alternativas que resulten más equilibradas desde la perspectiva del desarrollo sostenible, previa ponderación de los aspectos económicos, sociales, territoriales y ambientales; y, d</w:t>
      </w:r>
      <w:r>
        <w:t xml:space="preserve">e ser preciso, se modificará el contenido del estudio ambiental estratégico. </w:t>
      </w:r>
    </w:p>
    <w:p w:rsidR="00025683" w:rsidRDefault="007C2AAB">
      <w:pPr>
        <w:numPr>
          <w:ilvl w:val="0"/>
          <w:numId w:val="58"/>
        </w:numPr>
        <w:ind w:right="200"/>
      </w:pPr>
      <w:r>
        <w:t xml:space="preserve">Con el fin de dar cumplimiento a lo dispuesto en el apartado anterior, el órgano competente elegirá la alternativa o alternativas más adecuadas a la vista de la propuesta que le </w:t>
      </w:r>
      <w:r>
        <w:t xml:space="preserve">formulen los servicios administrativos. </w:t>
      </w:r>
    </w:p>
    <w:p w:rsidR="00025683" w:rsidRDefault="007C2AAB">
      <w:pPr>
        <w:numPr>
          <w:ilvl w:val="0"/>
          <w:numId w:val="58"/>
        </w:numPr>
        <w:ind w:right="200"/>
      </w:pPr>
      <w:r>
        <w:t>El documento resultante, que incorporará la alternativa o alternativas seleccionadas, se someterá a informe de los servicios técnicos y jurídicos, así como de las distintas áreas y organismos dependientes o adscrito</w:t>
      </w:r>
      <w:r>
        <w:t>s a la Administración promotora que puedan resultar afectados por el plan en razón de las competencias que ejercen, en el plazo máximo de un mes. En el caso de que los informes internos se contradigan se elevará el conflicto al órgano correspondiente, para</w:t>
      </w:r>
      <w:r>
        <w:t xml:space="preserve"> que resuelva la discrepancia mediante la emisión de un informe final.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TERCERA.- </w:t>
      </w:r>
      <w:r>
        <w:t>Artículo 23 Información pública, consulta e informes preceptivos de la aprobación inicial</w:t>
      </w:r>
      <w:r>
        <w:rPr>
          <w:rFonts w:ascii="Times New Roman" w:eastAsia="Times New Roman" w:hAnsi="Times New Roman" w:cs="Times New Roman"/>
          <w:sz w:val="24"/>
        </w:rPr>
        <w:t xml:space="preserve"> </w:t>
      </w:r>
    </w:p>
    <w:p w:rsidR="00025683" w:rsidRDefault="007C2AAB">
      <w:pPr>
        <w:numPr>
          <w:ilvl w:val="0"/>
          <w:numId w:val="59"/>
        </w:numPr>
        <w:ind w:right="200"/>
      </w:pPr>
      <w:r>
        <w:t xml:space="preserve">El </w:t>
      </w:r>
      <w:r>
        <w:t xml:space="preserve">documento aprobado inicialmente se someterá a los trámites de información pública, consulta de las administraciones públicas cuyas competencias pudiesen resultar afectadas y de las personas interesadas que hayan sido previamente consultadas y solicitud de </w:t>
      </w:r>
      <w:r>
        <w:t xml:space="preserve">los informes sectoriales preceptivos, en los términos previstos en el artículo 21 del presente Reglamento. </w:t>
      </w:r>
    </w:p>
    <w:p w:rsidR="00025683" w:rsidRDefault="007C2AAB">
      <w:pPr>
        <w:numPr>
          <w:ilvl w:val="0"/>
          <w:numId w:val="59"/>
        </w:numPr>
        <w:ind w:right="200"/>
      </w:pPr>
      <w:r>
        <w:t>Transcurrido el plazo de información pública, consulta e informes preceptivos se introducirán las modificaciones que, como consecuencia de dicho pro</w:t>
      </w:r>
      <w:r>
        <w:t xml:space="preserve">ceso participativo, se estimen oportunas, actualizándose, en su caso, el estudio ambiental estratégico. </w:t>
      </w:r>
    </w:p>
    <w:p w:rsidR="00025683" w:rsidRDefault="007C2AAB">
      <w:pPr>
        <w:numPr>
          <w:ilvl w:val="0"/>
          <w:numId w:val="59"/>
        </w:numPr>
        <w:ind w:right="200"/>
      </w:pPr>
      <w:r>
        <w:rPr>
          <w:rFonts w:ascii="Calibri" w:eastAsia="Calibri" w:hAnsi="Calibri" w:cs="Calibri"/>
          <w:noProof/>
        </w:rPr>
        <mc:AlternateContent>
          <mc:Choice Requires="wpg">
            <w:drawing>
              <wp:anchor distT="0" distB="0" distL="114300" distR="114300" simplePos="0" relativeHeight="25186918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10061" name="Group 4100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096" name="Rectangle 2109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1097" name="Rectangle 2109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098" name="Rectangle 2109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w:t>
                              </w:r>
                              <w:r>
                                <w:rPr>
                                  <w:sz w:val="12"/>
                                </w:rPr>
                                <w:t xml:space="preserve">taforma esPublico Gestiona | Página 197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0061" style="width:18.7031pt;height:264.21pt;position:absolute;mso-position-horizontal-relative:page;mso-position-horizontal:absolute;margin-left:662.928pt;mso-position-vertical-relative:page;margin-top:508.71pt;" coordsize="2375,33554">
                <v:rect id="Rectangle 2109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09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09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197 de 350 </w:t>
                        </w:r>
                      </w:p>
                    </w:txbxContent>
                  </v:textbox>
                </v:rect>
                <w10:wrap type="square"/>
              </v:group>
            </w:pict>
          </mc:Fallback>
        </mc:AlternateContent>
      </w:r>
      <w:r>
        <w:t xml:space="preserve">Si como consecuencia de las alegaciones formuladas o de los informes emitidos se introdujeran cambios sustanciales en relación con el documento aprobado inicialmente, por el órgano promotor se llevará a cabo </w:t>
      </w:r>
      <w:r>
        <w:t xml:space="preserve">un nuevo periodo de información pública, consulta y de solicitud de informes preceptivos por plazo de cuarenta y cinco días. </w:t>
      </w:r>
    </w:p>
    <w:p w:rsidR="00025683" w:rsidRDefault="007C2AAB">
      <w:pPr>
        <w:spacing w:after="0" w:line="259" w:lineRule="auto"/>
        <w:ind w:left="14" w:firstLine="0"/>
        <w:jc w:val="left"/>
      </w:pPr>
      <w:r>
        <w:t xml:space="preserve"> </w:t>
      </w:r>
    </w:p>
    <w:p w:rsidR="00025683" w:rsidRDefault="007C2AAB">
      <w:pPr>
        <w:ind w:left="14" w:right="200"/>
      </w:pPr>
      <w:r>
        <w:t>Visto cuanto antecede, se considera que el expediente ha seguido la tramitación establecida en la Legislación aplicable, procedi</w:t>
      </w:r>
      <w:r>
        <w:t xml:space="preserve">endo su aprobación por el Pleno, por mayoría absoluta del número legal de miembros de la Corporación, de conformidad con los artículos 70.2 del Reglamento de Planeamiento de Canarias, aprobado por Decreto 181/2018, de 26 de diciembre, y 22.2.c) y 47.2.ll) </w:t>
      </w:r>
      <w:r>
        <w:t xml:space="preserve">de la Ley 7/1985, de 2 de abril, Reguladora de las Bases del Régimen Local. </w:t>
      </w:r>
    </w:p>
    <w:p w:rsidR="00025683" w:rsidRDefault="007C2AAB">
      <w:pPr>
        <w:spacing w:after="0" w:line="259" w:lineRule="auto"/>
        <w:ind w:left="14" w:firstLine="0"/>
        <w:jc w:val="left"/>
      </w:pPr>
      <w:r>
        <w:t xml:space="preserve"> </w:t>
      </w:r>
    </w:p>
    <w:p w:rsidR="00025683" w:rsidRDefault="007C2AAB">
      <w:pPr>
        <w:ind w:left="14" w:right="200"/>
      </w:pPr>
      <w:r>
        <w:t>Por ello, de conformidad con lo establecido en el artículo 175 del Reglamento de Organización, Funcionamiento y Régimen Jurídico de las Entidades Locales, aprobado por Real Decr</w:t>
      </w:r>
      <w:r>
        <w:t>eto 2568/1986, de 28 de noviembre, el que suscribe eleva la siguiente propuesta de resolución: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spacing w:after="0" w:line="259" w:lineRule="auto"/>
        <w:ind w:left="0" w:right="133" w:firstLine="0"/>
        <w:jc w:val="center"/>
      </w:pPr>
      <w:r>
        <w:rPr>
          <w:b/>
        </w:rPr>
        <w:t xml:space="preserve"> </w:t>
      </w:r>
    </w:p>
    <w:p w:rsidR="00025683" w:rsidRDefault="007C2AAB">
      <w:pPr>
        <w:pStyle w:val="Ttulo4"/>
        <w:ind w:left="274" w:right="457"/>
      </w:pPr>
      <w:r>
        <w:t>PROPUESTA DE RESOLUCIÓN</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PRIMERO. – Aprobar inicialmente el Plan Especial de Ordenación del Parque </w:t>
      </w:r>
      <w:r>
        <w:rPr>
          <w:b/>
        </w:rPr>
        <w:t>Periurbano de La Vera de Igueste, según lo indicado en el informe técnico favorable emitido con fecha 15/12/2025 que a continuación se transcribe</w:t>
      </w:r>
      <w:r>
        <w:t>:</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ANTECEDENTES  </w:t>
      </w:r>
    </w:p>
    <w:p w:rsidR="00025683" w:rsidRDefault="007C2AAB">
      <w:pPr>
        <w:spacing w:after="0" w:line="259" w:lineRule="auto"/>
        <w:ind w:left="14" w:firstLine="0"/>
        <w:jc w:val="left"/>
      </w:pPr>
      <w:r>
        <w:t xml:space="preserve"> </w:t>
      </w:r>
    </w:p>
    <w:p w:rsidR="00025683" w:rsidRDefault="007C2AAB">
      <w:pPr>
        <w:ind w:left="14" w:right="200"/>
      </w:pPr>
      <w:r>
        <w:t>Con fecha 23 de enero de 2025, la Ilma. Sra. Viceconsejera de Política Territorial y Reto</w:t>
      </w:r>
      <w:r>
        <w:t xml:space="preserve"> Demográfico ha dictado Resolución nº 14 por la que se inicia el procedimiento de Evaluación Ambiental Estratégica Ordinaria del Plan Especial Parque Periurbano La Vera de Igueste, Candelaria, se sometió a consultas de las administraciones públicas afectad</w:t>
      </w:r>
      <w:r>
        <w:t xml:space="preserve">as y de las personas interesadas. Se publicó la resolución en los boletines oficiales y en la sede electrónica, durante el plazo de 45 días hábiles. </w:t>
      </w:r>
    </w:p>
    <w:p w:rsidR="00025683" w:rsidRDefault="007C2AAB">
      <w:pPr>
        <w:spacing w:after="0" w:line="259" w:lineRule="auto"/>
        <w:ind w:left="14" w:firstLine="0"/>
        <w:jc w:val="left"/>
      </w:pPr>
      <w:r>
        <w:t xml:space="preserve"> </w:t>
      </w:r>
    </w:p>
    <w:p w:rsidR="00025683" w:rsidRDefault="007C2AAB">
      <w:pPr>
        <w:ind w:left="14" w:right="200"/>
      </w:pPr>
      <w:r>
        <w:t>La Comisión Autonómica de Evaluación Ambiental, en sesión celebrada el 22 de mayo de 2025, acuerda formu</w:t>
      </w:r>
      <w:r>
        <w:t>lar, por delegación del Ayuntamiento de Candelaria, el DOCUMENTO DE ALCANCE en el procedimiento de la Evaluación Ambiental Estratégica Ordinaria del Plan Especial de Ordenación del Parque Periurbano de la Vera de Igueste, en el Término Municipal de Candela</w:t>
      </w:r>
      <w:r>
        <w:t xml:space="preserve">ria que se incorpora como Anexo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702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8797" name="Group 40879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232" name="Rectangle 2123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1233" name="Rectangle 2123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234" name="Rectangle 2123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198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8797" style="width:18.7031pt;height:264.21pt;position:absolute;mso-position-horizontal-relative:page;mso-position-horizontal:absolute;margin-left:662.928pt;mso-position-vertical-relative:page;margin-top:508.71pt;" coordsize="2375,33554">
                <v:rect id="Rectangle 2123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23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23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198 de 350 </w:t>
                        </w:r>
                      </w:p>
                    </w:txbxContent>
                  </v:textbox>
                </v:rect>
                <w10:wrap type="square"/>
              </v:group>
            </w:pict>
          </mc:Fallback>
        </mc:AlternateContent>
      </w: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DOCUMENTACIÓN INTEGRANTE DE LA APROBACION INICIAL </w:t>
      </w:r>
    </w:p>
    <w:p w:rsidR="00025683" w:rsidRDefault="007C2AAB">
      <w:pPr>
        <w:spacing w:after="0" w:line="259" w:lineRule="auto"/>
        <w:ind w:left="14" w:firstLine="0"/>
        <w:jc w:val="left"/>
      </w:pPr>
      <w:r>
        <w:t xml:space="preserve"> </w:t>
      </w:r>
    </w:p>
    <w:p w:rsidR="00025683" w:rsidRDefault="007C2AAB">
      <w:pPr>
        <w:ind w:left="14" w:right="200"/>
      </w:pPr>
      <w:r>
        <w:t xml:space="preserve">Con fecha 22 de octubre de 2025 y con registro de entrada 2025-S-RC-2806, Ainoha Castro Díaz, en representación de GESPLAN S.A, aporta los siguientes documentos, para la aprobación inicial:  </w:t>
      </w:r>
    </w:p>
    <w:p w:rsidR="00025683" w:rsidRDefault="007C2AAB">
      <w:pPr>
        <w:ind w:left="14" w:right="200"/>
      </w:pPr>
      <w:r>
        <w:t>Documento d</w:t>
      </w:r>
      <w:r>
        <w:t xml:space="preserve">e Información:  </w:t>
      </w:r>
    </w:p>
    <w:p w:rsidR="00025683" w:rsidRDefault="007C2AAB">
      <w:pPr>
        <w:ind w:left="14" w:right="200"/>
      </w:pPr>
      <w:r>
        <w:t xml:space="preserve">Tomo I.A Memoria de Información y Diagnóstico  </w:t>
      </w:r>
    </w:p>
    <w:p w:rsidR="00025683" w:rsidRDefault="007C2AAB">
      <w:pPr>
        <w:ind w:left="14" w:right="200"/>
      </w:pPr>
      <w:r>
        <w:t xml:space="preserve">Tomo I.B.1 Planos de Información </w:t>
      </w:r>
    </w:p>
    <w:p w:rsidR="00025683" w:rsidRDefault="007C2AAB">
      <w:pPr>
        <w:spacing w:after="0" w:line="259" w:lineRule="auto"/>
        <w:ind w:left="14" w:firstLine="0"/>
        <w:jc w:val="left"/>
      </w:pPr>
      <w:r>
        <w:t xml:space="preserve"> </w:t>
      </w:r>
    </w:p>
    <w:p w:rsidR="00025683" w:rsidRDefault="007C2AAB">
      <w:pPr>
        <w:ind w:left="14" w:right="5454"/>
      </w:pPr>
      <w:r>
        <w:t xml:space="preserve">Documento para Aprobación Inicial: Tomo II C – Normativa </w:t>
      </w:r>
    </w:p>
    <w:p w:rsidR="00025683" w:rsidRDefault="007C2AAB">
      <w:pPr>
        <w:ind w:left="14" w:right="200"/>
      </w:pPr>
      <w:r>
        <w:t xml:space="preserve">Tomo I.B.2 Planos de Diagnóstico  </w:t>
      </w:r>
    </w:p>
    <w:p w:rsidR="00025683" w:rsidRDefault="007C2AAB">
      <w:pPr>
        <w:ind w:left="14" w:right="200"/>
      </w:pPr>
      <w:r>
        <w:t xml:space="preserve">Anexo I Tomo I Análisis Histórico  </w:t>
      </w:r>
    </w:p>
    <w:p w:rsidR="00025683" w:rsidRDefault="007C2AAB">
      <w:pPr>
        <w:ind w:left="14" w:right="200"/>
      </w:pPr>
      <w:r>
        <w:t xml:space="preserve">Anexo II Tomo I Análisis Patrimonial  </w:t>
      </w:r>
    </w:p>
    <w:p w:rsidR="00025683" w:rsidRDefault="007C2AAB">
      <w:pPr>
        <w:ind w:left="14" w:right="200"/>
      </w:pPr>
      <w:r>
        <w:t xml:space="preserve">Anexo II Tomo I Análisis Socioeconómico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Documento de Ordenación:  </w:t>
      </w:r>
    </w:p>
    <w:p w:rsidR="00025683" w:rsidRDefault="007C2AAB">
      <w:pPr>
        <w:ind w:left="14" w:right="200"/>
      </w:pPr>
      <w:r>
        <w:t xml:space="preserve">Tomo II.A Memoria de Ordenación y Resumen Ejecutivo  </w:t>
      </w:r>
    </w:p>
    <w:p w:rsidR="00025683" w:rsidRDefault="007C2AAB">
      <w:pPr>
        <w:ind w:left="14" w:right="200"/>
      </w:pPr>
      <w:r>
        <w:t xml:space="preserve">Tomo II.B Planos de Ordenación  </w:t>
      </w:r>
    </w:p>
    <w:p w:rsidR="00025683" w:rsidRDefault="007C2AAB">
      <w:pPr>
        <w:ind w:left="14" w:right="200"/>
      </w:pPr>
      <w:r>
        <w:t>Tomo II.C Normativa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Tomo II.D Informe de Sostenibilidad Económica  </w:t>
      </w:r>
    </w:p>
    <w:p w:rsidR="00025683" w:rsidRDefault="007C2AAB">
      <w:pPr>
        <w:spacing w:after="0" w:line="259" w:lineRule="auto"/>
        <w:ind w:left="14" w:firstLine="0"/>
        <w:jc w:val="left"/>
      </w:pPr>
      <w:r>
        <w:t xml:space="preserve"> </w:t>
      </w:r>
    </w:p>
    <w:p w:rsidR="00025683" w:rsidRDefault="007C2AAB">
      <w:pPr>
        <w:ind w:left="14" w:right="200"/>
      </w:pPr>
      <w:r>
        <w:t xml:space="preserve">Anexo I Tomo II Criterios de diseño para el Parque Periurbano de La Vera de Igueste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Documento Ambiental:  </w:t>
      </w:r>
    </w:p>
    <w:p w:rsidR="00025683" w:rsidRDefault="007C2AAB">
      <w:pPr>
        <w:ind w:left="14" w:right="200"/>
      </w:pPr>
      <w:r>
        <w:t xml:space="preserve">Tomo III.A Estudio Ambiental Estratégico  </w:t>
      </w:r>
    </w:p>
    <w:p w:rsidR="00025683" w:rsidRDefault="007C2AAB">
      <w:pPr>
        <w:ind w:left="14" w:right="200"/>
      </w:pPr>
      <w:r>
        <w:t xml:space="preserve">Tomo III.B Planos de Información Ambiental  </w:t>
      </w:r>
    </w:p>
    <w:p w:rsidR="00025683" w:rsidRDefault="007C2AAB">
      <w:pPr>
        <w:ind w:left="14" w:right="200"/>
      </w:pPr>
      <w:r>
        <w:t>Ane</w:t>
      </w:r>
      <w:r>
        <w:t xml:space="preserve">xo I Tomo III Resumen no Técnico del Estudio Ambiental Estratégico  </w:t>
      </w:r>
    </w:p>
    <w:p w:rsidR="00025683" w:rsidRDefault="007C2AAB">
      <w:pPr>
        <w:ind w:left="14" w:right="200"/>
      </w:pPr>
      <w:r>
        <w:t xml:space="preserve">Anexo II Tomo III Análisis de Integración Paisajística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OBJETO DE LA MODIFICACION  </w:t>
      </w:r>
    </w:p>
    <w:p w:rsidR="00025683" w:rsidRDefault="007C2AAB">
      <w:pPr>
        <w:spacing w:after="0" w:line="259" w:lineRule="auto"/>
        <w:ind w:left="14" w:firstLine="0"/>
        <w:jc w:val="left"/>
      </w:pPr>
      <w:r>
        <w:t xml:space="preserve"> </w:t>
      </w:r>
    </w:p>
    <w:p w:rsidR="00025683" w:rsidRDefault="007C2AAB">
      <w:pPr>
        <w:ind w:left="14" w:right="200"/>
      </w:pPr>
      <w:r>
        <w:t>El Plan Especial del Parque Periurbano de La Vera de Igueste (en adelante PEPP de La Vera de Igue</w:t>
      </w:r>
      <w:r>
        <w:t>ste) está concebido como Instrumento urbanístico de desarrollo de las determinaciones previstas por el vigente Plan General de Ordenación de Candelaria en el ámbito “PE Parque Periurbano La Vera de Igueste”, teniendo como objetivo desarrollar y completar l</w:t>
      </w:r>
      <w:r>
        <w:t xml:space="preserve">as determinaciones de ordenación pormenorizada en su ámbito.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712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9074" name="Group 4090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333" name="Rectangle 2133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1334" name="Rectangle 2133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335" name="Rectangle 2133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199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074" style="width:18.7031pt;height:264.21pt;position:absolute;mso-position-horizontal-relative:page;mso-position-horizontal:absolute;margin-left:662.928pt;mso-position-vertical-relative:page;margin-top:508.71pt;" coordsize="2375,33554">
                <v:rect id="Rectangle 2133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33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33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199 de 350 </w:t>
                        </w:r>
                      </w:p>
                    </w:txbxContent>
                  </v:textbox>
                </v:rect>
                <w10:wrap type="square"/>
              </v:group>
            </w:pict>
          </mc:Fallback>
        </mc:AlternateContent>
      </w:r>
      <w:r>
        <w:t xml:space="preserve"> </w:t>
      </w:r>
    </w:p>
    <w:p w:rsidR="00025683" w:rsidRDefault="007C2AAB">
      <w:pPr>
        <w:ind w:left="14" w:right="200"/>
      </w:pPr>
      <w:r>
        <w:t>El ámbito del Plan Especial recoge los terrenos al este del camino La Candelaria, entre el Barranco de los Mocanes y el Barranco de Chajarche con una superfici</w:t>
      </w:r>
      <w:r>
        <w:t xml:space="preserve">e de 62.940 m2s.  </w:t>
      </w:r>
    </w:p>
    <w:p w:rsidR="00025683" w:rsidRDefault="007C2AAB">
      <w:pPr>
        <w:spacing w:after="0" w:line="259" w:lineRule="auto"/>
        <w:ind w:left="14" w:firstLine="0"/>
        <w:jc w:val="left"/>
      </w:pPr>
      <w:r>
        <w:t xml:space="preserve"> </w:t>
      </w:r>
    </w:p>
    <w:p w:rsidR="00025683" w:rsidRDefault="007C2AAB">
      <w:pPr>
        <w:ind w:left="14" w:right="200"/>
      </w:pPr>
      <w:r>
        <w:t xml:space="preserve">El ámbito del Plan Especial tiene una franja al borde del camino La Candelaria contenido en la delimitación del Bien de Interés Cultural (BIC) en la categoría de Sitio Histórico, a favor del Camino de Candelaria, declarado mediante el </w:t>
      </w:r>
      <w:r>
        <w:t xml:space="preserve">Decreto 227/2008, de 25 de noviembre, del Gobierno de Canarias y publicado en el BOC nº245 de 9 de diciembre de 2008.  </w:t>
      </w:r>
    </w:p>
    <w:p w:rsidR="00025683" w:rsidRDefault="007C2AAB">
      <w:pPr>
        <w:spacing w:after="0" w:line="259" w:lineRule="auto"/>
        <w:ind w:left="14" w:firstLine="0"/>
        <w:jc w:val="left"/>
      </w:pPr>
      <w:r>
        <w:t xml:space="preserve"> </w:t>
      </w:r>
    </w:p>
    <w:p w:rsidR="00025683" w:rsidRDefault="007C2AAB">
      <w:pPr>
        <w:ind w:left="14" w:right="200"/>
      </w:pPr>
      <w:r>
        <w:t xml:space="preserve">Los terrenos incluidos en el ámbito del PEPP de La Vera de Igueste están categorizados por el PGO de Candelaria, en su mayor parte, como Suelo Rústico de Protección Ambiental en la subcategoría de Protección Paisajística (SRPP).  </w:t>
      </w:r>
    </w:p>
    <w:p w:rsidR="00025683" w:rsidRDefault="007C2AAB">
      <w:pPr>
        <w:ind w:left="14" w:right="200"/>
      </w:pPr>
      <w:r>
        <w:t>La franja de terrenos inc</w:t>
      </w:r>
      <w:r>
        <w:t xml:space="preserve">luida en la delimitación del BIC del Camino La Candelaria están categorizados por el PGO de Candelaria como Suelo Rústico de Protección Ambiental en la subcategoría de Protección Cultural (SRPC)  </w:t>
      </w:r>
    </w:p>
    <w:p w:rsidR="00025683" w:rsidRDefault="007C2AAB">
      <w:pPr>
        <w:spacing w:after="0" w:line="259" w:lineRule="auto"/>
        <w:ind w:left="14" w:firstLine="0"/>
        <w:jc w:val="left"/>
      </w:pPr>
      <w:r>
        <w:t xml:space="preserve"> </w:t>
      </w:r>
    </w:p>
    <w:p w:rsidR="00025683" w:rsidRDefault="007C2AAB">
      <w:pPr>
        <w:ind w:left="14" w:right="200"/>
      </w:pPr>
      <w:r>
        <w:t>El Parque Periurbano de La Vera de Igueste está reconocid</w:t>
      </w:r>
      <w:r>
        <w:t>o desde el PGO de Candelaria como Espacio Libre Público de Sistema General, en la categoría de Parque Periurbano.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0" w:right="986" w:firstLine="0"/>
        <w:jc w:val="right"/>
      </w:pPr>
      <w:r>
        <w:rPr>
          <w:noProof/>
        </w:rPr>
        <w:drawing>
          <wp:inline distT="0" distB="0" distL="0" distR="0">
            <wp:extent cx="5390443" cy="3622447"/>
            <wp:effectExtent l="0" t="0" r="0" b="0"/>
            <wp:docPr id="21369" name="Picture 21369"/>
            <wp:cNvGraphicFramePr/>
            <a:graphic xmlns:a="http://schemas.openxmlformats.org/drawingml/2006/main">
              <a:graphicData uri="http://schemas.openxmlformats.org/drawingml/2006/picture">
                <pic:pic xmlns:pic="http://schemas.openxmlformats.org/drawingml/2006/picture">
                  <pic:nvPicPr>
                    <pic:cNvPr id="21369" name="Picture 21369"/>
                    <pic:cNvPicPr/>
                  </pic:nvPicPr>
                  <pic:blipFill>
                    <a:blip r:embed="rId86"/>
                    <a:stretch>
                      <a:fillRect/>
                    </a:stretch>
                  </pic:blipFill>
                  <pic:spPr>
                    <a:xfrm>
                      <a:off x="0" y="0"/>
                      <a:ext cx="5390443" cy="3622447"/>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Suelo rustico de protección paisajística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722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9276" name="Group 4092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374" name="Rectangle 2137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1375" name="Rectangle 2137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376" name="Rectangle 2137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200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276" style="width:18.7031pt;height:264.21pt;position:absolute;mso-position-horizontal-relative:page;mso-position-horizontal:absolute;margin-left:662.928pt;mso-position-vertical-relative:page;margin-top:508.71pt;" coordsize="2375,33554">
                <v:rect id="Rectangle 2137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37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37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200 de 350 </w:t>
                        </w:r>
                      </w:p>
                    </w:txbxContent>
                  </v:textbox>
                </v:rect>
                <w10:wrap type="square"/>
              </v:group>
            </w:pict>
          </mc:Fallback>
        </mc:AlternateContent>
      </w:r>
      <w:r>
        <w:rPr>
          <w:b/>
        </w:rPr>
        <w:t xml:space="preserve"> </w:t>
      </w:r>
    </w:p>
    <w:p w:rsidR="00025683" w:rsidRDefault="007C2AAB">
      <w:pPr>
        <w:spacing w:after="0" w:line="259" w:lineRule="auto"/>
        <w:ind w:left="0" w:right="1015" w:firstLine="0"/>
        <w:jc w:val="right"/>
      </w:pPr>
      <w:r>
        <w:rPr>
          <w:noProof/>
        </w:rPr>
        <w:drawing>
          <wp:inline distT="0" distB="0" distL="0" distR="0">
            <wp:extent cx="5384105" cy="3648417"/>
            <wp:effectExtent l="0" t="0" r="0" b="0"/>
            <wp:docPr id="21371" name="Picture 21371"/>
            <wp:cNvGraphicFramePr/>
            <a:graphic xmlns:a="http://schemas.openxmlformats.org/drawingml/2006/main">
              <a:graphicData uri="http://schemas.openxmlformats.org/drawingml/2006/picture">
                <pic:pic xmlns:pic="http://schemas.openxmlformats.org/drawingml/2006/picture">
                  <pic:nvPicPr>
                    <pic:cNvPr id="21371" name="Picture 21371"/>
                    <pic:cNvPicPr/>
                  </pic:nvPicPr>
                  <pic:blipFill>
                    <a:blip r:embed="rId87"/>
                    <a:stretch>
                      <a:fillRect/>
                    </a:stretch>
                  </pic:blipFill>
                  <pic:spPr>
                    <a:xfrm>
                      <a:off x="0" y="0"/>
                      <a:ext cx="5384105" cy="3648417"/>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ind w:left="14" w:right="200"/>
      </w:pPr>
      <w:r>
        <w:t>Parque periurbano</w:t>
      </w:r>
      <w:r>
        <w:rPr>
          <w:rFonts w:ascii="Times New Roman" w:eastAsia="Times New Roman" w:hAnsi="Times New Roman" w:cs="Times New Roman"/>
          <w:sz w:val="24"/>
        </w:rPr>
        <w:t xml:space="preserve"> </w:t>
      </w:r>
    </w:p>
    <w:p w:rsidR="00025683" w:rsidRDefault="007C2AAB">
      <w:pPr>
        <w:spacing w:after="0" w:line="259" w:lineRule="auto"/>
        <w:ind w:left="14" w:firstLine="0"/>
      </w:pPr>
      <w:r>
        <w:rPr>
          <w:rFonts w:ascii="Calibri" w:eastAsia="Calibri" w:hAnsi="Calibri" w:cs="Calibri"/>
          <w:noProof/>
        </w:rPr>
        <mc:AlternateContent>
          <mc:Choice Requires="wpg">
            <w:drawing>
              <wp:anchor distT="0" distB="0" distL="114300" distR="114300" simplePos="0" relativeHeight="25187328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8438" name="Group 4084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407" name="Rectangle 2140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1408" name="Rectangle 2140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409" name="Rectangle 2140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201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8438" style="width:18.7031pt;height:264.21pt;position:absolute;mso-position-horizontal-relative:page;mso-position-horizontal:absolute;margin-left:662.928pt;mso-position-vertical-relative:page;margin-top:508.71pt;" coordsize="2375,33554">
                <v:rect id="Rectangle 2140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4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4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201 de 350 </w:t>
                        </w:r>
                      </w:p>
                    </w:txbxContent>
                  </v:textbox>
                </v:rect>
                <w10:wrap type="topAndBottom"/>
              </v:group>
            </w:pict>
          </mc:Fallback>
        </mc:AlternateContent>
      </w:r>
      <w:r>
        <w:rPr>
          <w:noProof/>
        </w:rPr>
        <w:drawing>
          <wp:inline distT="0" distB="0" distL="0" distR="0">
            <wp:extent cx="5373338" cy="8011935"/>
            <wp:effectExtent l="0" t="0" r="0" b="0"/>
            <wp:docPr id="21404" name="Picture 21404"/>
            <wp:cNvGraphicFramePr/>
            <a:graphic xmlns:a="http://schemas.openxmlformats.org/drawingml/2006/main">
              <a:graphicData uri="http://schemas.openxmlformats.org/drawingml/2006/picture">
                <pic:pic xmlns:pic="http://schemas.openxmlformats.org/drawingml/2006/picture">
                  <pic:nvPicPr>
                    <pic:cNvPr id="21404" name="Picture 21404"/>
                    <pic:cNvPicPr/>
                  </pic:nvPicPr>
                  <pic:blipFill>
                    <a:blip r:embed="rId88"/>
                    <a:stretch>
                      <a:fillRect/>
                    </a:stretch>
                  </pic:blipFill>
                  <pic:spPr>
                    <a:xfrm>
                      <a:off x="0" y="0"/>
                      <a:ext cx="5373338" cy="8011935"/>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12"/>
        <w:ind w:left="22" w:right="197"/>
      </w:pPr>
      <w:r>
        <w:rPr>
          <w:b/>
        </w:rPr>
        <w:t xml:space="preserve">      1.ALTERNATIVA SELECCIONADA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El ámbito del Parque Periurbano de Pasacola, se encuentra íntegrame</w:t>
      </w:r>
      <w:r>
        <w:t>nte incluido en el Bien de Interés Cultural (BIC) del Camino de Candelaria, en atención a sus elementos patrimoniales existentes, su valor cultural y ambiental, así como a la presencia de los vestigios del antiguo caserío de Pasacola, considerado el primer</w:t>
      </w:r>
      <w:r>
        <w:t xml:space="preserve"> asentamiento humano en las medianías del municipio. Por esta razón, la propuesta de ordenación se fundamenta en un modelo de intervención mínima, respetuoso con la memoria histórica y los valores ambientales del lugar. En este marco, se prioriza la restau</w:t>
      </w:r>
      <w:r>
        <w:t xml:space="preserve">ración del paisaje agrario tradicional y la activación de usos compatibles con el carácter patrimonial y productivo del entorno.  </w:t>
      </w:r>
    </w:p>
    <w:p w:rsidR="00025683" w:rsidRDefault="007C2AAB">
      <w:pPr>
        <w:spacing w:after="0" w:line="259" w:lineRule="auto"/>
        <w:ind w:left="14" w:firstLine="0"/>
        <w:jc w:val="left"/>
      </w:pPr>
      <w:r>
        <w:t xml:space="preserve">  </w:t>
      </w:r>
    </w:p>
    <w:p w:rsidR="00025683" w:rsidRDefault="007C2AAB">
      <w:pPr>
        <w:ind w:left="14" w:right="200"/>
      </w:pPr>
      <w:r>
        <w:t>De forma complementaria, el Parque Periurbano de La Vera de Igueste se concibe como un ámbito destinado a usos recreativos</w:t>
      </w:r>
      <w:r>
        <w:t xml:space="preserve">, de esparcimiento, descanso y contemplación del paisaje, planteados siempre con un nivel de baja intensidad e intervención en el territorio, de manera que resulten compatibles con los valores patrimoniales y ambientales del conjunto. </w:t>
      </w:r>
    </w:p>
    <w:p w:rsidR="00025683" w:rsidRDefault="007C2AAB">
      <w:pPr>
        <w:spacing w:after="0" w:line="259" w:lineRule="auto"/>
        <w:ind w:left="14" w:firstLine="0"/>
        <w:jc w:val="left"/>
      </w:pPr>
      <w:r>
        <w:t xml:space="preserve">  </w:t>
      </w:r>
    </w:p>
    <w:p w:rsidR="00025683" w:rsidRDefault="007C2AAB">
      <w:pPr>
        <w:ind w:left="14" w:right="200"/>
      </w:pPr>
      <w:r>
        <w:t>Se opta por la Al</w:t>
      </w:r>
      <w:r>
        <w:t>ternativa 2, cuya ordenación plantea una propuesta de intervención moderada que incorpora instalaciones destinadas a favorecer el uso ciudadano en ciertas zonas del parque. Dichas instalaciones estarán orientadas tanto a los vecinos de los barrios cercanos</w:t>
      </w:r>
      <w:r>
        <w:t xml:space="preserve"> como a la ciudadanía del municipio en general, posibilitando actividades de descanso, esparcimiento y juego infantil, y ofreciendo, además, un espacio de reposo para los senderistas que recorran el Camino de La Candelaria.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743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9560" name="Group 4095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511" name="Rectangle 2151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1512" name="Rectangle 2151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513" name="Rectangle 2151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202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560" style="width:18.7031pt;height:264.21pt;position:absolute;mso-position-horizontal-relative:page;mso-position-horizontal:absolute;margin-left:662.928pt;mso-position-vertical-relative:page;margin-top:508.71pt;" coordsize="2375,33554">
                <v:rect id="Rectangle 2151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51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51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202 de 350 </w:t>
                        </w:r>
                      </w:p>
                    </w:txbxContent>
                  </v:textbox>
                </v:rect>
                <w10:wrap type="square"/>
              </v:group>
            </w:pict>
          </mc:Fallback>
        </mc:AlternateContent>
      </w:r>
      <w:r>
        <w:t>Por otra parte, resulta imprescindible garantizar la coordin</w:t>
      </w:r>
      <w:r>
        <w:t xml:space="preserve">ación y complementariedad entre la propuesta de ordenación del Parque Periurbano de La Vera de Igueste y la del Parque Periurbano de Pasacola, cuyos planes especiales se encuentran en proceso de redacción de manera simultánea </w:t>
      </w:r>
    </w:p>
    <w:p w:rsidR="00025683" w:rsidRDefault="007C2AAB">
      <w:pPr>
        <w:spacing w:after="0" w:line="259" w:lineRule="auto"/>
        <w:ind w:left="14" w:firstLine="0"/>
        <w:jc w:val="left"/>
      </w:pPr>
      <w:r>
        <w:t xml:space="preserve"> </w:t>
      </w:r>
    </w:p>
    <w:p w:rsidR="00025683" w:rsidRDefault="007C2AAB">
      <w:pPr>
        <w:ind w:left="14" w:right="200"/>
      </w:pPr>
      <w:r>
        <w:t xml:space="preserve">Con esta alternativa se resuelve la accesibilidad a la zona, mediante la incorporación de una zona de aparcamientos destinada a dar servicio a ambos parques.  </w:t>
      </w:r>
    </w:p>
    <w:p w:rsidR="00025683" w:rsidRDefault="007C2AAB">
      <w:pPr>
        <w:spacing w:after="3" w:line="238" w:lineRule="auto"/>
        <w:ind w:left="9" w:hanging="10"/>
        <w:jc w:val="left"/>
      </w:pPr>
      <w:r>
        <w:t>La intervención se orientará prioritariamente a la recualificación del paisaje, mediante la recu</w:t>
      </w:r>
      <w:r>
        <w:t xml:space="preserve">peración del carácter agrícola tradicional del espacio y la regeneración ambiental y paisajística del entorno, garantizando al mismo tiempo la protección de la vegetación potencial y de los hábitats naturales existentes. </w:t>
      </w:r>
    </w:p>
    <w:p w:rsidR="00025683" w:rsidRDefault="007C2AAB">
      <w:pPr>
        <w:spacing w:after="0" w:line="259" w:lineRule="auto"/>
        <w:ind w:left="14" w:firstLine="0"/>
        <w:jc w:val="left"/>
      </w:pPr>
      <w:r>
        <w:t xml:space="preserve"> </w:t>
      </w:r>
    </w:p>
    <w:p w:rsidR="00025683" w:rsidRDefault="007C2AAB">
      <w:pPr>
        <w:ind w:left="14" w:right="200"/>
      </w:pPr>
      <w:r>
        <w:t>En lo que respecta al transporte</w:t>
      </w:r>
      <w:r>
        <w:t xml:space="preserve"> público se propone ubicar una nueva parada de la línea 2 del Taxi compartido de Candelaria en las proximidades del parque. Está parada deberá contar con algún tipo de infraestructura como una marquesina que proporcione sombra a los usuarios y haga más agr</w:t>
      </w:r>
      <w:r>
        <w:t xml:space="preserve">adable la espera. Esta medida tiene como objetivo mejorar la conectividad actual del parque con el resto del municipio, facilitando el acceso y fomentando el uso del transporte público para llegar al área del Parque Periurbano de La Vera de Igueste.  </w:t>
      </w:r>
    </w:p>
    <w:p w:rsidR="00025683" w:rsidRDefault="007C2AAB">
      <w:pPr>
        <w:spacing w:after="0" w:line="259" w:lineRule="auto"/>
        <w:ind w:left="14" w:firstLine="0"/>
        <w:jc w:val="left"/>
      </w:pPr>
      <w:r>
        <w:t xml:space="preserve"> </w:t>
      </w:r>
    </w:p>
    <w:p w:rsidR="00025683" w:rsidRDefault="007C2AAB">
      <w:pPr>
        <w:ind w:left="14" w:right="200"/>
      </w:pPr>
      <w:r>
        <w:t>La</w:t>
      </w:r>
      <w:r>
        <w:t xml:space="preserve"> accesibilidad en el interior del Parque Periurbano de La Vera de Igueste se fundamenta en la regeneración de los senderos y caminos que se conservan, ampliándose para la creación de recorridos que permitan la incorporación de circuitos y aparatos saludabl</w:t>
      </w:r>
      <w:r>
        <w:t xml:space="preserve">es, así como descubrir las áreas regeneradas y los valores del paisaje.  </w:t>
      </w:r>
    </w:p>
    <w:p w:rsidR="00025683" w:rsidRDefault="007C2AAB">
      <w:pPr>
        <w:spacing w:after="0" w:line="259" w:lineRule="auto"/>
        <w:ind w:left="14" w:firstLine="0"/>
        <w:jc w:val="left"/>
      </w:pPr>
      <w:r>
        <w:t xml:space="preserve"> </w:t>
      </w:r>
    </w:p>
    <w:p w:rsidR="00025683" w:rsidRDefault="007C2AAB">
      <w:pPr>
        <w:ind w:left="14" w:right="200"/>
      </w:pPr>
      <w:r>
        <w:t>Se propone la creación de cuatro miradores: el Mirador de La Jiménez, vinculado al acceso peatonal junto al Camino de La Candelaria; los miradores de Las Caletillas y de Candelaria</w:t>
      </w:r>
      <w:r>
        <w:t xml:space="preserve">, situados al sur del ámbito y asociados a los recorridos peatonales propuestos; y, por último, el Mirador de Igueste, ubicado al noreste y vinculado al área de recuperación del cultivo tradicional. </w:t>
      </w:r>
    </w:p>
    <w:p w:rsidR="00025683" w:rsidRDefault="007C2AAB">
      <w:pPr>
        <w:spacing w:after="0" w:line="259" w:lineRule="auto"/>
        <w:ind w:left="14" w:firstLine="0"/>
        <w:jc w:val="left"/>
      </w:pPr>
      <w:r>
        <w:t xml:space="preserve"> </w:t>
      </w:r>
    </w:p>
    <w:p w:rsidR="00025683" w:rsidRDefault="007C2AAB">
      <w:pPr>
        <w:ind w:left="14" w:right="200"/>
      </w:pPr>
      <w:r>
        <w:t>En este marco, se han definido cuatro zonas de ordenac</w:t>
      </w:r>
      <w:r>
        <w:t>ión, sobre las cuales se establecen las condiciones de intervención que servirán de guía para el desarrollo del futuro proyecto de ejecución del Parque Periurbano, asegurando que cada actuación respete el entorno y contribuya a la integración paisajística,</w:t>
      </w:r>
      <w:r>
        <w:t xml:space="preserve"> funcional y cultural del espacio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7532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9466" name="Group 4094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563" name="Rectangle 2156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1564" name="Rectangle 2156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565" name="Rectangle 2156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203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466" style="width:18.7031pt;height:264.21pt;position:absolute;mso-position-horizontal-relative:page;mso-position-horizontal:absolute;margin-left:662.928pt;mso-position-vertical-relative:page;margin-top:508.71pt;" coordsize="2375,33554">
                <v:rect id="Rectangle 2156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5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5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203 de 350 </w:t>
                        </w:r>
                      </w:p>
                    </w:txbxContent>
                  </v:textbox>
                </v:rect>
                <w10:wrap type="topAndBottom"/>
              </v:group>
            </w:pict>
          </mc:Fallback>
        </mc:AlternateContent>
      </w:r>
      <w:r>
        <w:rPr>
          <w:b/>
          <w:color w:val="FF0000"/>
        </w:rPr>
        <w:t xml:space="preserve"> </w:t>
      </w:r>
    </w:p>
    <w:p w:rsidR="00025683" w:rsidRDefault="007C2AAB">
      <w:pPr>
        <w:spacing w:after="0" w:line="259" w:lineRule="auto"/>
        <w:ind w:left="0" w:right="415" w:firstLine="0"/>
        <w:jc w:val="right"/>
      </w:pPr>
      <w:r>
        <w:rPr>
          <w:noProof/>
        </w:rPr>
        <w:drawing>
          <wp:inline distT="0" distB="0" distL="0" distR="0">
            <wp:extent cx="5751939" cy="5820213"/>
            <wp:effectExtent l="0" t="0" r="0" b="0"/>
            <wp:docPr id="21560" name="Picture 21560"/>
            <wp:cNvGraphicFramePr/>
            <a:graphic xmlns:a="http://schemas.openxmlformats.org/drawingml/2006/main">
              <a:graphicData uri="http://schemas.openxmlformats.org/drawingml/2006/picture">
                <pic:pic xmlns:pic="http://schemas.openxmlformats.org/drawingml/2006/picture">
                  <pic:nvPicPr>
                    <pic:cNvPr id="21560" name="Picture 21560"/>
                    <pic:cNvPicPr/>
                  </pic:nvPicPr>
                  <pic:blipFill>
                    <a:blip r:embed="rId89"/>
                    <a:stretch>
                      <a:fillRect/>
                    </a:stretch>
                  </pic:blipFill>
                  <pic:spPr>
                    <a:xfrm>
                      <a:off x="0" y="0"/>
                      <a:ext cx="5751939" cy="5820213"/>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b/>
          <w:color w:val="FF0000"/>
        </w:rPr>
        <w:t xml:space="preserve"> </w:t>
      </w:r>
    </w:p>
    <w:p w:rsidR="00025683" w:rsidRDefault="007C2AAB">
      <w:pPr>
        <w:ind w:left="14" w:right="200"/>
      </w:pPr>
      <w:r>
        <w:t xml:space="preserve">Zona A – </w:t>
      </w:r>
      <w:r>
        <w:t xml:space="preserve">Bancales tradicionales  </w:t>
      </w:r>
    </w:p>
    <w:p w:rsidR="00025683" w:rsidRDefault="007C2AAB">
      <w:pPr>
        <w:ind w:left="14" w:right="200"/>
      </w:pPr>
      <w:r>
        <w:t>Incluye las áreas de bancales originales que, por su estado de conservación, resulten susceptibles de recuperación. Se prevé la restauración de muros y bancales, así como de los sistemas de riego tradicionales existentes, con el fi</w:t>
      </w:r>
      <w:r>
        <w:t xml:space="preserve">n de recuperar el carácter agrícola de la zona.  </w:t>
      </w:r>
    </w:p>
    <w:p w:rsidR="00025683" w:rsidRDefault="007C2AAB">
      <w:pPr>
        <w:spacing w:after="0" w:line="259" w:lineRule="auto"/>
        <w:ind w:left="14" w:firstLine="0"/>
        <w:jc w:val="left"/>
      </w:pPr>
      <w:r>
        <w:t xml:space="preserve"> </w:t>
      </w:r>
    </w:p>
    <w:p w:rsidR="00025683" w:rsidRDefault="007C2AAB">
      <w:pPr>
        <w:ind w:left="14" w:right="200"/>
      </w:pPr>
      <w:r>
        <w:t xml:space="preserve">Zona B – Área de aparcamiento  </w:t>
      </w:r>
    </w:p>
    <w:p w:rsidR="00025683" w:rsidRDefault="007C2AAB">
      <w:pPr>
        <w:spacing w:after="0" w:line="259" w:lineRule="auto"/>
        <w:ind w:left="14" w:firstLine="0"/>
        <w:jc w:val="left"/>
      </w:pPr>
      <w:r>
        <w:t xml:space="preserve"> </w:t>
      </w:r>
    </w:p>
    <w:p w:rsidR="00025683" w:rsidRDefault="007C2AAB">
      <w:pPr>
        <w:ind w:left="14" w:right="200"/>
      </w:pPr>
      <w:r>
        <w:t>Área que albergará zona de estacionamiento para vehículos que de servicio tanto al Parque de La Vera de Igueste como al cercano parque de Pasacola. 65 plazas aproximadame</w:t>
      </w:r>
      <w:r>
        <w:t>nte.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ind w:left="14" w:right="200"/>
      </w:pPr>
      <w:r>
        <w:t xml:space="preserve">Zona C – Área recreativa  </w:t>
      </w:r>
    </w:p>
    <w:p w:rsidR="00025683" w:rsidRDefault="007C2AAB">
      <w:pPr>
        <w:spacing w:after="0" w:line="259" w:lineRule="auto"/>
        <w:ind w:left="14" w:firstLine="0"/>
        <w:jc w:val="left"/>
      </w:pPr>
      <w:r>
        <w:t xml:space="preserve"> </w:t>
      </w:r>
    </w:p>
    <w:p w:rsidR="00025683" w:rsidRDefault="007C2AAB">
      <w:pPr>
        <w:ind w:left="14" w:right="200"/>
      </w:pPr>
      <w:r>
        <w:t>En la zona central del parque, donde las estructuras de bancales se han perdido prácticamente del todo, se incorporará una zona recreativa para el esparcimiento con áreas de estancia, picnic, juegos infantiles y actividades deportivas, así como la incorpor</w:t>
      </w:r>
      <w:r>
        <w:t xml:space="preserve">ación de nuevos senderos y caminos que favorezcan su conexión interna y permitan el paseo y la práctica de la carrera a pie  </w:t>
      </w:r>
    </w:p>
    <w:p w:rsidR="00025683" w:rsidRDefault="007C2AAB">
      <w:pPr>
        <w:spacing w:after="0" w:line="259" w:lineRule="auto"/>
        <w:ind w:left="14" w:firstLine="0"/>
        <w:jc w:val="left"/>
      </w:pPr>
      <w:r>
        <w:t xml:space="preserve"> </w:t>
      </w:r>
    </w:p>
    <w:p w:rsidR="00025683" w:rsidRDefault="007C2AAB">
      <w:pPr>
        <w:ind w:left="14" w:right="200"/>
      </w:pPr>
      <w:r>
        <w:t xml:space="preserve">Zona D – Rehabilitación ambiental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763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08634" name="Group 4086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665" name="Rectangle 2166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1666" name="Rectangle 2166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667" name="Rectangle 2166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204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8634" style="width:18.7031pt;height:264.21pt;position:absolute;mso-position-horizontal-relative:page;mso-position-horizontal:absolute;margin-left:662.928pt;mso-position-vertical-relative:page;margin-top:508.71pt;" coordsize="2375,33554">
                <v:rect id="Rectangle 2166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66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66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204 de 350 </w:t>
                        </w:r>
                      </w:p>
                    </w:txbxContent>
                  </v:textbox>
                </v:rect>
                <w10:wrap type="square"/>
              </v:group>
            </w:pict>
          </mc:Fallback>
        </mc:AlternateContent>
      </w:r>
      <w:r>
        <w:t xml:space="preserve"> </w:t>
      </w:r>
    </w:p>
    <w:p w:rsidR="00025683" w:rsidRDefault="007C2AAB">
      <w:pPr>
        <w:ind w:left="14" w:right="200"/>
      </w:pPr>
      <w:r>
        <w:t>En los restantes terrenos que conforman el plan especial, se plantea exclusivamente la regeneración y li</w:t>
      </w:r>
      <w:r>
        <w:t xml:space="preserve">mpieza del entorno, priorizando la conservación y el mantenimiento de los hábitats naturales existentes.  </w:t>
      </w:r>
    </w:p>
    <w:p w:rsidR="00025683" w:rsidRDefault="007C2AAB">
      <w:pPr>
        <w:spacing w:after="0" w:line="259" w:lineRule="auto"/>
        <w:ind w:left="14" w:firstLine="0"/>
        <w:jc w:val="left"/>
      </w:pPr>
      <w:r>
        <w:t xml:space="preserve"> </w:t>
      </w:r>
    </w:p>
    <w:p w:rsidR="00025683" w:rsidRDefault="007C2AAB">
      <w:pPr>
        <w:ind w:left="14" w:right="200"/>
      </w:pPr>
      <w:r>
        <w:t>En las áreas susceptibles de revegetación, se fomentará la plantación de especies autóctonas propias del piso bioclimático, así como se procederá a</w:t>
      </w:r>
      <w:r>
        <w:t xml:space="preserve"> la eliminación de especies invasoras detectadas.  </w:t>
      </w:r>
    </w:p>
    <w:p w:rsidR="00025683" w:rsidRDefault="007C2AAB">
      <w:pPr>
        <w:spacing w:after="0" w:line="259" w:lineRule="auto"/>
        <w:ind w:left="14" w:firstLine="0"/>
        <w:jc w:val="left"/>
      </w:pPr>
      <w:r>
        <w:t xml:space="preserve"> </w:t>
      </w:r>
    </w:p>
    <w:p w:rsidR="00025683" w:rsidRDefault="007C2AAB">
      <w:pPr>
        <w:ind w:left="14" w:right="200"/>
      </w:pPr>
      <w:r>
        <w:t xml:space="preserve">La movilidad y accesibilidad al Parque de La Vera de Igueste dependen actualmente del camino de Candelaria, único viario de acceso. Este camino también da servicio al futuro Parque de Pasacola, situado </w:t>
      </w:r>
      <w:r>
        <w:t xml:space="preserve">en las proximidades.  </w:t>
      </w:r>
    </w:p>
    <w:p w:rsidR="00025683" w:rsidRDefault="007C2AAB">
      <w:pPr>
        <w:spacing w:after="0" w:line="259" w:lineRule="auto"/>
        <w:ind w:left="14" w:firstLine="0"/>
        <w:jc w:val="left"/>
      </w:pPr>
      <w:r>
        <w:t xml:space="preserve"> </w:t>
      </w:r>
    </w:p>
    <w:p w:rsidR="00025683" w:rsidRDefault="007C2AAB">
      <w:pPr>
        <w:ind w:left="14" w:right="200"/>
      </w:pPr>
      <w:r>
        <w:t xml:space="preserve">Se ha considerado fundamental, para la ordenación y el planteamiento de la movilidad de la zona, entender ambos parques como propuestas complementarias. En este sentido, la zona de aparcamientos prevista, estará destinada a cubrir </w:t>
      </w:r>
      <w:r>
        <w:t>las necesidades de estacionamiento de ambos espacios. Desde dicho aparcamiento, el acceso al Parque de Pasacola será prioritariamente peatonal, atendiendo a la consideración del camino de Candelaria como sitio histórico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0" w:line="216" w:lineRule="auto"/>
        <w:ind w:left="14" w:right="1704" w:firstLine="0"/>
      </w:pPr>
      <w:r>
        <w:rPr>
          <w:rFonts w:ascii="Calibri" w:eastAsia="Calibri" w:hAnsi="Calibri" w:cs="Calibri"/>
          <w:noProof/>
        </w:rPr>
        <mc:AlternateContent>
          <mc:Choice Requires="wpg">
            <w:drawing>
              <wp:anchor distT="0" distB="0" distL="114300" distR="114300" simplePos="0" relativeHeight="251877376"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9449" name="Group 4094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699" name="Rectangle 2169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Validación: 3J3KYNW3CJM</w:t>
                              </w:r>
                              <w:r>
                                <w:rPr>
                                  <w:sz w:val="12"/>
                                </w:rPr>
                                <w:t xml:space="preserve">74AZ6SEHNT4KKY </w:t>
                              </w:r>
                            </w:p>
                          </w:txbxContent>
                        </wps:txbx>
                        <wps:bodyPr horzOverflow="overflow" vert="horz" lIns="0" tIns="0" rIns="0" bIns="0" rtlCol="0">
                          <a:noAutofit/>
                        </wps:bodyPr>
                      </wps:wsp>
                      <wps:wsp>
                        <wps:cNvPr id="21700" name="Rectangle 2170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701" name="Rectangle 2170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205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449" style="width:18.7031pt;height:264.21pt;position:absolute;mso-position-horizontal-relative:page;mso-position-horizontal:absolute;margin-left:662.928pt;mso-position-vertical-relative:page;margin-top:508.71pt;" coordsize="2375,33554">
                <v:rect id="Rectangle 2169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70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70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205 de 350 </w:t>
                        </w:r>
                      </w:p>
                    </w:txbxContent>
                  </v:textbox>
                </v:rect>
                <w10:wrap type="topAndBottom"/>
              </v:group>
            </w:pict>
          </mc:Fallback>
        </mc:AlternateContent>
      </w:r>
      <w:r>
        <w:rPr>
          <w:noProof/>
        </w:rPr>
        <w:drawing>
          <wp:inline distT="0" distB="0" distL="0" distR="0">
            <wp:extent cx="4943805" cy="6228487"/>
            <wp:effectExtent l="0" t="0" r="0" b="0"/>
            <wp:docPr id="21696" name="Picture 21696"/>
            <wp:cNvGraphicFramePr/>
            <a:graphic xmlns:a="http://schemas.openxmlformats.org/drawingml/2006/main">
              <a:graphicData uri="http://schemas.openxmlformats.org/drawingml/2006/picture">
                <pic:pic xmlns:pic="http://schemas.openxmlformats.org/drawingml/2006/picture">
                  <pic:nvPicPr>
                    <pic:cNvPr id="21696" name="Picture 21696"/>
                    <pic:cNvPicPr/>
                  </pic:nvPicPr>
                  <pic:blipFill>
                    <a:blip r:embed="rId90"/>
                    <a:stretch>
                      <a:fillRect/>
                    </a:stretch>
                  </pic:blipFill>
                  <pic:spPr>
                    <a:xfrm>
                      <a:off x="0" y="0"/>
                      <a:ext cx="4943805" cy="6228487"/>
                    </a:xfrm>
                    <a:prstGeom prst="rect">
                      <a:avLst/>
                    </a:prstGeom>
                  </pic:spPr>
                </pic:pic>
              </a:graphicData>
            </a:graphic>
          </wp:inline>
        </w:drawing>
      </w:r>
      <w:r>
        <w:rPr>
          <w:rFonts w:ascii="Times New Roman" w:eastAsia="Times New Roman" w:hAnsi="Times New Roman" w:cs="Times New Roman"/>
          <w:sz w:val="24"/>
        </w:rPr>
        <w:t xml:space="preserve"> </w:t>
      </w:r>
      <w:r>
        <w:rPr>
          <w:b/>
          <w:color w:val="FF0000"/>
        </w:rPr>
        <w:t xml:space="preserve"> </w:t>
      </w:r>
    </w:p>
    <w:p w:rsidR="00025683" w:rsidRDefault="007C2AAB">
      <w:pPr>
        <w:spacing w:after="0" w:line="259" w:lineRule="auto"/>
        <w:ind w:left="0" w:right="983" w:firstLine="0"/>
        <w:jc w:val="right"/>
      </w:pPr>
      <w:r>
        <w:rPr>
          <w:rFonts w:ascii="Calibri" w:eastAsia="Calibri" w:hAnsi="Calibri" w:cs="Calibri"/>
          <w:noProof/>
        </w:rPr>
        <mc:AlternateContent>
          <mc:Choice Requires="wpg">
            <w:drawing>
              <wp:inline distT="0" distB="0" distL="0" distR="0">
                <wp:extent cx="5386428" cy="5617447"/>
                <wp:effectExtent l="0" t="0" r="0" b="0"/>
                <wp:docPr id="409331" name="Group 409331"/>
                <wp:cNvGraphicFramePr/>
                <a:graphic xmlns:a="http://schemas.openxmlformats.org/drawingml/2006/main">
                  <a:graphicData uri="http://schemas.microsoft.com/office/word/2010/wordprocessingGroup">
                    <wpg:wgp>
                      <wpg:cNvGrpSpPr/>
                      <wpg:grpSpPr>
                        <a:xfrm>
                          <a:off x="0" y="0"/>
                          <a:ext cx="5386428" cy="5617447"/>
                          <a:chOff x="0" y="0"/>
                          <a:chExt cx="5386428" cy="5617447"/>
                        </a:xfrm>
                      </wpg:grpSpPr>
                      <wps:wsp>
                        <wps:cNvPr id="21727" name="Rectangle 21727"/>
                        <wps:cNvSpPr/>
                        <wps:spPr>
                          <a:xfrm>
                            <a:off x="5105146" y="182624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728" name="Rectangle 21728"/>
                        <wps:cNvSpPr/>
                        <wps:spPr>
                          <a:xfrm>
                            <a:off x="305" y="1963162"/>
                            <a:ext cx="51809" cy="207922"/>
                          </a:xfrm>
                          <a:prstGeom prst="rect">
                            <a:avLst/>
                          </a:prstGeom>
                          <a:ln>
                            <a:noFill/>
                          </a:ln>
                        </wps:spPr>
                        <wps:txbx>
                          <w:txbxContent>
                            <w:p w:rsidR="00025683" w:rsidRDefault="007C2AAB">
                              <w:pPr>
                                <w:spacing w:after="160" w:line="259" w:lineRule="auto"/>
                                <w:ind w:left="0" w:firstLine="0"/>
                                <w:jc w:val="left"/>
                              </w:pPr>
                              <w:r>
                                <w:rPr>
                                  <w:b/>
                                  <w:color w:val="FF0000"/>
                                </w:rPr>
                                <w:t xml:space="preserve"> </w:t>
                              </w:r>
                            </w:p>
                          </w:txbxContent>
                        </wps:txbx>
                        <wps:bodyPr horzOverflow="overflow" vert="horz" lIns="0" tIns="0" rIns="0" bIns="0" rtlCol="0">
                          <a:noAutofit/>
                        </wps:bodyPr>
                      </wps:wsp>
                      <pic:pic xmlns:pic="http://schemas.openxmlformats.org/drawingml/2006/picture">
                        <pic:nvPicPr>
                          <pic:cNvPr id="21732" name="Picture 21732"/>
                          <pic:cNvPicPr/>
                        </pic:nvPicPr>
                        <pic:blipFill>
                          <a:blip r:embed="rId93"/>
                          <a:stretch>
                            <a:fillRect/>
                          </a:stretch>
                        </pic:blipFill>
                        <pic:spPr>
                          <a:xfrm>
                            <a:off x="0" y="0"/>
                            <a:ext cx="5075510" cy="1961344"/>
                          </a:xfrm>
                          <a:prstGeom prst="rect">
                            <a:avLst/>
                          </a:prstGeom>
                        </pic:spPr>
                      </pic:pic>
                      <pic:pic xmlns:pic="http://schemas.openxmlformats.org/drawingml/2006/picture">
                        <pic:nvPicPr>
                          <pic:cNvPr id="21734" name="Picture 21734"/>
                          <pic:cNvPicPr/>
                        </pic:nvPicPr>
                        <pic:blipFill>
                          <a:blip r:embed="rId94"/>
                          <a:stretch>
                            <a:fillRect/>
                          </a:stretch>
                        </pic:blipFill>
                        <pic:spPr>
                          <a:xfrm>
                            <a:off x="0" y="2122783"/>
                            <a:ext cx="5386428" cy="3494663"/>
                          </a:xfrm>
                          <a:prstGeom prst="rect">
                            <a:avLst/>
                          </a:prstGeom>
                        </pic:spPr>
                      </pic:pic>
                    </wpg:wgp>
                  </a:graphicData>
                </a:graphic>
              </wp:inline>
            </w:drawing>
          </mc:Choice>
          <mc:Fallback xmlns:a="http://schemas.openxmlformats.org/drawingml/2006/main">
            <w:pict>
              <v:group id="Group 409331" style="width:424.128pt;height:442.319pt;mso-position-horizontal-relative:char;mso-position-vertical-relative:line" coordsize="53864,56174">
                <v:rect id="Rectangle 21727" style="position:absolute;width:506;height:2243;left:51051;top:1826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21728" style="position:absolute;width:518;height:2079;left:3;top:19631;" filled="f" stroked="f">
                  <v:textbox inset="0,0,0,0">
                    <w:txbxContent>
                      <w:p>
                        <w:pPr>
                          <w:spacing w:before="0" w:after="160" w:line="259" w:lineRule="auto"/>
                          <w:ind w:left="0" w:firstLine="0"/>
                          <w:jc w:val="left"/>
                        </w:pPr>
                        <w:r>
                          <w:rPr>
                            <w:rFonts w:cs="Arial" w:hAnsi="Arial" w:eastAsia="Arial" w:ascii="Arial"/>
                            <w:b w:val="1"/>
                            <w:color w:val="ff0000"/>
                          </w:rPr>
                          <w:t xml:space="preserve"> </w:t>
                        </w:r>
                      </w:p>
                    </w:txbxContent>
                  </v:textbox>
                </v:rect>
                <v:shape id="Picture 21732" style="position:absolute;width:50755;height:19613;left:0;top:0;" filled="f">
                  <v:imagedata r:id="rId93"/>
                </v:shape>
                <v:shape id="Picture 21734" style="position:absolute;width:53864;height:34946;left:0;top:21227;" filled="f">
                  <v:imagedata r:id="rId94"/>
                </v:shape>
              </v:group>
            </w:pict>
          </mc:Fallback>
        </mc:AlternateConten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78400"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09332" name="Group 40933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737" name="Rectangle 2173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1738" name="Rectangle 2173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739" name="Rectangle 2173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206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09332" style="width:18.7031pt;height:264.21pt;position:absolute;mso-position-horizontal-relative:page;mso-position-horizontal:absolute;margin-left:662.928pt;mso-position-vertical-relative:page;margin-top:508.71pt;" coordsize="2375,33554">
                <v:rect id="Rectangle 2173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73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73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206 de 350 </w:t>
                        </w:r>
                      </w:p>
                    </w:txbxContent>
                  </v:textbox>
                </v:rect>
                <w10:wrap type="topAndBottom"/>
              </v:group>
            </w:pict>
          </mc:Fallback>
        </mc:AlternateContent>
      </w:r>
      <w:r>
        <w:rPr>
          <w:b/>
          <w:color w:val="FF0000"/>
        </w:rPr>
        <w:t xml:space="preserve"> </w:t>
      </w:r>
    </w:p>
    <w:p w:rsidR="00025683" w:rsidRDefault="007C2AAB">
      <w:pPr>
        <w:spacing w:after="0" w:line="259" w:lineRule="auto"/>
        <w:ind w:left="0" w:right="983" w:firstLine="0"/>
        <w:jc w:val="right"/>
      </w:pPr>
      <w:r>
        <w:rPr>
          <w:noProof/>
        </w:rPr>
        <w:drawing>
          <wp:inline distT="0" distB="0" distL="0" distR="0">
            <wp:extent cx="5401035" cy="4791365"/>
            <wp:effectExtent l="0" t="0" r="0" b="0"/>
            <wp:docPr id="21803" name="Picture 21803"/>
            <wp:cNvGraphicFramePr/>
            <a:graphic xmlns:a="http://schemas.openxmlformats.org/drawingml/2006/main">
              <a:graphicData uri="http://schemas.openxmlformats.org/drawingml/2006/picture">
                <pic:pic xmlns:pic="http://schemas.openxmlformats.org/drawingml/2006/picture">
                  <pic:nvPicPr>
                    <pic:cNvPr id="21803" name="Picture 21803"/>
                    <pic:cNvPicPr/>
                  </pic:nvPicPr>
                  <pic:blipFill>
                    <a:blip r:embed="rId95"/>
                    <a:stretch>
                      <a:fillRect/>
                    </a:stretch>
                  </pic:blipFill>
                  <pic:spPr>
                    <a:xfrm>
                      <a:off x="0" y="0"/>
                      <a:ext cx="5401035" cy="4791365"/>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12"/>
        <w:ind w:left="14" w:right="197"/>
      </w:pPr>
      <w:r>
        <w:rPr>
          <w:b/>
        </w:rPr>
        <w:t xml:space="preserve">    2. CONCLUSIONES </w:t>
      </w:r>
    </w:p>
    <w:p w:rsidR="00025683" w:rsidRDefault="007C2AAB">
      <w:pPr>
        <w:spacing w:after="0" w:line="259" w:lineRule="auto"/>
        <w:ind w:left="14" w:firstLine="0"/>
        <w:jc w:val="left"/>
      </w:pPr>
      <w:r>
        <w:t xml:space="preserve"> </w:t>
      </w:r>
    </w:p>
    <w:p w:rsidR="00025683" w:rsidRDefault="007C2AAB">
      <w:pPr>
        <w:ind w:left="14" w:right="200"/>
      </w:pPr>
      <w:r>
        <w:t xml:space="preserve">De acuerdo a todo lo expuesto anteriormente, se informa FAVORABLE la aprobación inicial del Plan Especial Parque periurbano La Vera de Igueste, T.M. de Candelaria…”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SEGUNDO. </w:t>
      </w:r>
      <w:r>
        <w:t>Abrir un período de información pública por plazo de un mes mediante anuncio en</w:t>
      </w:r>
      <w:r>
        <w:t xml:space="preserve"> el Boletín Oficial de Canarias y en el periódico de mayor difusión.</w:t>
      </w:r>
      <w:r>
        <w:rPr>
          <w:rFonts w:ascii="Times New Roman" w:eastAsia="Times New Roman" w:hAnsi="Times New Roman" w:cs="Times New Roman"/>
          <w:sz w:val="24"/>
        </w:rP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794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10123" name="Group 4101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806" name="Rectangle 2180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1807" name="Rectangle 2180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808" name="Rectangle 2180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esPublico Gestiona | Página</w:t>
                              </w:r>
                              <w:r>
                                <w:rPr>
                                  <w:sz w:val="12"/>
                                </w:rPr>
                                <w:t xml:space="preserve"> 207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0123" style="width:18.7031pt;height:264.21pt;position:absolute;mso-position-horizontal-relative:page;mso-position-horizontal:absolute;margin-left:662.928pt;mso-position-vertical-relative:page;margin-top:508.71pt;" coordsize="2375,33554">
                <v:rect id="Rectangle 2180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80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80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207 de 350 </w:t>
                        </w:r>
                      </w:p>
                    </w:txbxContent>
                  </v:textbox>
                </v:rect>
                <w10:wrap type="square"/>
              </v:group>
            </w:pict>
          </mc:Fallback>
        </mc:AlternateContent>
      </w:r>
      <w:r>
        <w:t xml:space="preserve">Asimismo, estará disponible en la sede electrónica de este Ayuntamiento https://sedeelectronica.candelaria.es/publico/tablon. </w:t>
      </w:r>
    </w:p>
    <w:p w:rsidR="00025683" w:rsidRDefault="007C2AAB">
      <w:pPr>
        <w:spacing w:after="0" w:line="259" w:lineRule="auto"/>
        <w:ind w:left="14" w:firstLine="0"/>
        <w:jc w:val="left"/>
      </w:pPr>
      <w:r>
        <w:rPr>
          <w:b/>
        </w:rPr>
        <w:t xml:space="preserve"> </w:t>
      </w:r>
    </w:p>
    <w:p w:rsidR="00025683" w:rsidRDefault="007C2AAB">
      <w:pPr>
        <w:ind w:left="14" w:right="200"/>
      </w:pPr>
      <w:r>
        <w:rPr>
          <w:b/>
        </w:rPr>
        <w:t>TERCERO</w:t>
      </w:r>
      <w:r>
        <w:t>. Solicitar, simultáneamente al trámite de información pública, los informes, dictámenes u otro tipo de pro</w:t>
      </w:r>
      <w:r>
        <w:t>nunciamientos a órganos y Entidades administrativas gestores de intereses públicos afectados, previstos legalmente como preceptivos.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CUARTO</w:t>
      </w:r>
      <w:r>
        <w:t>.- Ordenar la suspensión facultativa del otorgamiento de las licencias de obras de edificación (excluyendo las per</w:t>
      </w:r>
      <w:r>
        <w:t>mitidas por la Ley 4/2017, de 13 de julio, del Suelo y de los Espacios Naturales Protegidos de Canarias, en las situaciones legales de las construcciones preexistentes y en la situación de fuera de ordenación y las provisionales permitidas conforme al artí</w:t>
      </w:r>
      <w:r>
        <w:t>culo 32 de la misma Ley), así como la suspensión de la autorización de obras de urbanización (excluyendo la mera conservación y mantenimiento) en todo el ámbito de la modificación.</w:t>
      </w:r>
      <w:r>
        <w:rPr>
          <w:rFonts w:ascii="Times New Roman" w:eastAsia="Times New Roman" w:hAnsi="Times New Roman" w:cs="Times New Roman"/>
          <w:sz w:val="24"/>
        </w:rPr>
        <w:t xml:space="preserve"> </w:t>
      </w:r>
    </w:p>
    <w:p w:rsidR="00025683" w:rsidRDefault="007C2AAB">
      <w:pPr>
        <w:ind w:left="14" w:right="200"/>
      </w:pPr>
      <w:r>
        <w:t>Esta suspensión surtirá efectos desde el día siguiente a la publicación de</w:t>
      </w:r>
      <w:r>
        <w:t xml:space="preserve">l anuncio en el Boletín Oficial, y tendrá un plazo de un (1) año. por un plazo de un año.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QUINTO.- </w:t>
      </w:r>
      <w:r>
        <w:t>Ordenar la publicación de este acuerdo de suspensión en el Boletín Oficial de Canarias y en, al menos, dos de los diarios de mayor difusión en la isla.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SEXTO.- </w:t>
      </w:r>
      <w:r>
        <w:t>Contra el acuerdo de suspensión del otorgamiento de licencias, se podrá interponer recurso potestativo de reposición ante el órgano que lo dictó en el plazo de un mes a contar desde el día siguiente de su notificación o publicación, o recurso cont</w:t>
      </w:r>
      <w:r>
        <w:t>encioso-administrativo ante la Jurisdicción Contenciosa-administrativa, en el plazo de dos meses a contar desde el día siguiente de su notificación o publicación….”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Por lo que se eleva a esta propuesta al Pleno del Ayuntamiento, que resolverá como mejor</w:t>
      </w:r>
      <w:r>
        <w:t xml:space="preserve"> proceda.”.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firstLine="708"/>
      </w:pPr>
      <w:r>
        <w:rPr>
          <w:b/>
        </w:rPr>
        <w:t>DICTAMEN FAVORABLE DE 22 DE DICIEMBRE DE LA COMISIÓN INFORMATIVA DE P. y G. URBANÍSTICA Y AMBIENTAL, OBRAS Y SERVICIOS PÚBLICOS.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8044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10441" name="Group 4104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922" name="Rectangle 2192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1923" name="Rectangle 2192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1924" name="Rectangle 2192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208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0441" style="width:18.7031pt;height:264.21pt;position:absolute;mso-position-horizontal-relative:page;mso-position-horizontal:absolute;margin-left:662.928pt;mso-position-vertical-relative:page;margin-top:508.71pt;" coordsize="2375,33554">
                <v:rect id="Rectangle 2192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192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192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208 de 350 </w:t>
                        </w:r>
                      </w:p>
                    </w:txbxContent>
                  </v:textbox>
                </v:rect>
                <w10:wrap type="square"/>
              </v:group>
            </w:pict>
          </mc:Fallback>
        </mc:AlternateContent>
      </w:r>
      <w:r>
        <w:rPr>
          <w:b/>
        </w:rPr>
        <w:t xml:space="preserve"> </w:t>
      </w:r>
    </w:p>
    <w:p w:rsidR="00025683" w:rsidRDefault="007C2AAB">
      <w:pPr>
        <w:ind w:left="722" w:right="200"/>
      </w:pPr>
      <w:r>
        <w:t xml:space="preserve">Votos a favor: 4. </w:t>
      </w:r>
    </w:p>
    <w:p w:rsidR="00025683" w:rsidRDefault="007C2AAB">
      <w:pPr>
        <w:ind w:left="14" w:right="200" w:firstLine="708"/>
      </w:pPr>
      <w:r>
        <w:t xml:space="preserve">4 concejales del Grupo Socialista, Don Reinaldo José Triviño Blanco, Don Airam Pérez Chinea, Doña Margarita Eva Tendero Barroso y Doña María del Carmen Clemente Díaz. </w:t>
      </w:r>
    </w:p>
    <w:p w:rsidR="00025683" w:rsidRDefault="007C2AAB">
      <w:pPr>
        <w:spacing w:after="0" w:line="259" w:lineRule="auto"/>
        <w:ind w:left="14" w:firstLine="0"/>
        <w:jc w:val="left"/>
      </w:pPr>
      <w:r>
        <w:t xml:space="preserve"> </w:t>
      </w:r>
    </w:p>
    <w:p w:rsidR="00025683" w:rsidRDefault="007C2AAB">
      <w:pPr>
        <w:ind w:left="722" w:right="200"/>
      </w:pPr>
      <w:r>
        <w:t xml:space="preserve">Votos en contra: 0. </w:t>
      </w:r>
    </w:p>
    <w:p w:rsidR="00025683" w:rsidRDefault="007C2AAB">
      <w:pPr>
        <w:spacing w:after="0" w:line="259" w:lineRule="auto"/>
        <w:ind w:left="722" w:firstLine="0"/>
        <w:jc w:val="left"/>
      </w:pPr>
      <w:r>
        <w:t xml:space="preserve"> </w:t>
      </w:r>
    </w:p>
    <w:p w:rsidR="00025683" w:rsidRDefault="007C2AAB">
      <w:pPr>
        <w:ind w:left="722" w:right="200"/>
      </w:pPr>
      <w:r>
        <w:t xml:space="preserve">Abstenciones: 3. </w:t>
      </w:r>
    </w:p>
    <w:p w:rsidR="00025683" w:rsidRDefault="007C2AAB">
      <w:pPr>
        <w:ind w:left="14" w:right="200" w:firstLine="708"/>
      </w:pPr>
      <w:r>
        <w:t>2 de los concejales del Grupo Popular, Don Ja</w:t>
      </w:r>
      <w:r>
        <w:t xml:space="preserve">cobo López Fariña y Doña Sheila Castellano Batista.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(USP), Doña Violeta López Jiménez. </w:t>
      </w:r>
    </w:p>
    <w:p w:rsidR="00025683" w:rsidRDefault="007C2AAB">
      <w:pPr>
        <w:spacing w:after="0" w:line="259" w:lineRule="auto"/>
        <w:ind w:left="722"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12"/>
        <w:ind w:left="722" w:right="197"/>
      </w:pPr>
      <w:r>
        <w:rPr>
          <w:b/>
        </w:rPr>
        <w:t xml:space="preserve">JUNTA DE PORTAVOCES DE 22 DE DICIEMBRE DE 2025. </w:t>
      </w:r>
    </w:p>
    <w:p w:rsidR="00025683" w:rsidRDefault="007C2AAB">
      <w:pPr>
        <w:ind w:left="722" w:right="200"/>
      </w:pPr>
      <w:r>
        <w:t xml:space="preserve">Quedó oída. </w:t>
      </w:r>
    </w:p>
    <w:p w:rsidR="00025683" w:rsidRDefault="007C2AAB">
      <w:pPr>
        <w:spacing w:after="0" w:line="259" w:lineRule="auto"/>
        <w:ind w:left="722"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12"/>
        <w:ind w:left="722" w:right="197"/>
      </w:pPr>
      <w:r>
        <w:rPr>
          <w:b/>
        </w:rPr>
        <w:t xml:space="preserve">VOTACIÓN EN EL PLENO DE 29 DE DICIEMBRE DE 2025. </w:t>
      </w:r>
    </w:p>
    <w:p w:rsidR="00025683" w:rsidRDefault="007C2AAB">
      <w:pPr>
        <w:spacing w:after="0" w:line="259" w:lineRule="auto"/>
        <w:ind w:left="14" w:firstLine="0"/>
        <w:jc w:val="left"/>
      </w:pPr>
      <w:r>
        <w:rPr>
          <w:b/>
        </w:rPr>
        <w:t xml:space="preserve"> </w:t>
      </w:r>
    </w:p>
    <w:p w:rsidR="00025683" w:rsidRDefault="007C2AAB">
      <w:pPr>
        <w:ind w:left="722" w:right="200"/>
      </w:pPr>
      <w:r>
        <w:t xml:space="preserve">Votos a favor: 12. </w:t>
      </w:r>
    </w:p>
    <w:p w:rsidR="00025683" w:rsidRDefault="007C2AAB">
      <w:pPr>
        <w:ind w:left="14" w:right="200" w:firstLine="708"/>
      </w:pPr>
      <w:r>
        <w:t>11 concejales del Grupo Socialista: Dª. María Concepción Brito Núñez, D. Jorge Baute Delgado, D. José Francisco Pinto Ramos, Dª. Olivia Concepción Pérez, D. Reinaldo José Triviño Blanc</w:t>
      </w:r>
      <w:r>
        <w:t xml:space="preserve">o, D. Manuel Alberto González Pestano, Dª. Margarita Eva Tendero Barroso, D. Airam Pérez Chinea, Dª. María del Carmen Clemente Díaz, D. Olegario Francisco Alonso Bello, Dª. Mónica Monserrat Yanes Delgado.  </w:t>
      </w:r>
    </w:p>
    <w:p w:rsidR="00025683" w:rsidRDefault="007C2AAB">
      <w:pPr>
        <w:spacing w:after="0" w:line="259" w:lineRule="auto"/>
        <w:ind w:left="14" w:firstLine="0"/>
        <w:jc w:val="left"/>
      </w:pPr>
      <w:r>
        <w:t xml:space="preserve"> </w:t>
      </w:r>
    </w:p>
    <w:p w:rsidR="00025683" w:rsidRDefault="007C2AAB">
      <w:pPr>
        <w:ind w:left="722" w:right="200"/>
      </w:pPr>
      <w:r>
        <w:t>1 del concejal del Grupo Mixto (Vox), D. José T</w:t>
      </w:r>
      <w:r>
        <w:t xml:space="preserve">ortosa Pallarés. </w:t>
      </w:r>
    </w:p>
    <w:p w:rsidR="00025683" w:rsidRDefault="007C2AAB">
      <w:pPr>
        <w:spacing w:after="0" w:line="259" w:lineRule="auto"/>
        <w:ind w:left="722" w:firstLine="0"/>
        <w:jc w:val="left"/>
      </w:pPr>
      <w:r>
        <w:t xml:space="preserve"> </w:t>
      </w:r>
    </w:p>
    <w:p w:rsidR="00025683" w:rsidRDefault="007C2AAB">
      <w:pPr>
        <w:ind w:left="722" w:right="200"/>
      </w:pPr>
      <w:r>
        <w:t xml:space="preserve">Votos en contra: 0. </w:t>
      </w:r>
    </w:p>
    <w:p w:rsidR="00025683" w:rsidRDefault="007C2AAB">
      <w:pPr>
        <w:spacing w:after="0" w:line="259" w:lineRule="auto"/>
        <w:ind w:left="722" w:firstLine="0"/>
        <w:jc w:val="left"/>
      </w:pPr>
      <w:r>
        <w:t xml:space="preserve"> </w:t>
      </w:r>
    </w:p>
    <w:p w:rsidR="00025683" w:rsidRDefault="007C2AAB">
      <w:pPr>
        <w:ind w:left="722" w:right="200"/>
      </w:pPr>
      <w:r>
        <w:t xml:space="preserve">Abstenciones: 7. </w:t>
      </w:r>
    </w:p>
    <w:p w:rsidR="00025683" w:rsidRDefault="007C2AAB">
      <w:pPr>
        <w:spacing w:after="0" w:line="259" w:lineRule="auto"/>
        <w:ind w:left="722" w:firstLine="0"/>
        <w:jc w:val="left"/>
      </w:pPr>
      <w:r>
        <w:t xml:space="preserve"> </w:t>
      </w:r>
    </w:p>
    <w:p w:rsidR="00025683" w:rsidRDefault="007C2AAB">
      <w:pPr>
        <w:ind w:left="14" w:right="200" w:firstLine="708"/>
      </w:pPr>
      <w:r>
        <w:t xml:space="preserve">5 concejales del Grupo Popular: D. Jacobo López Fariña, D. Miguel Eduardo Hernández Chitty, Dª. Raquel Martín Castro, Dª. María Carlota Díaz González y D. José Daniel Sosa González.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(CC), Doña Ángela Cruz Perera. </w:t>
      </w:r>
    </w:p>
    <w:p w:rsidR="00025683" w:rsidRDefault="007C2AAB">
      <w:pPr>
        <w:spacing w:after="0" w:line="259" w:lineRule="auto"/>
        <w:ind w:left="14" w:firstLine="0"/>
        <w:jc w:val="left"/>
      </w:pPr>
      <w:r>
        <w:t xml:space="preserve"> </w:t>
      </w:r>
    </w:p>
    <w:p w:rsidR="00025683" w:rsidRDefault="007C2AAB">
      <w:pPr>
        <w:ind w:left="722" w:right="200"/>
      </w:pPr>
      <w:r>
        <w:t>1 de la concejal del Grupo Mixto (USP), Dª. Violeta López Jiménez.</w:t>
      </w:r>
      <w:r>
        <w:rPr>
          <w:rFonts w:ascii="Times New Roman" w:eastAsia="Times New Roman" w:hAnsi="Times New Roman" w:cs="Times New Roman"/>
          <w:sz w:val="24"/>
        </w:rPr>
        <w:t xml:space="preserve"> </w:t>
      </w:r>
    </w:p>
    <w:p w:rsidR="00025683" w:rsidRDefault="007C2AAB">
      <w:pPr>
        <w:spacing w:after="0" w:line="259" w:lineRule="auto"/>
        <w:ind w:left="722" w:firstLine="0"/>
        <w:jc w:val="left"/>
      </w:pPr>
      <w:r>
        <w:rPr>
          <w:color w:val="FF0000"/>
        </w:rPr>
        <w:t xml:space="preserve"> </w:t>
      </w:r>
    </w:p>
    <w:p w:rsidR="00025683" w:rsidRDefault="007C2AAB">
      <w:pPr>
        <w:spacing w:after="12"/>
        <w:ind w:left="14" w:right="197"/>
      </w:pPr>
      <w:r>
        <w:rPr>
          <w:rFonts w:ascii="Calibri" w:eastAsia="Calibri" w:hAnsi="Calibri" w:cs="Calibri"/>
          <w:noProof/>
        </w:rPr>
        <mc:AlternateContent>
          <mc:Choice Requires="wpg">
            <w:drawing>
              <wp:anchor distT="0" distB="0" distL="114300" distR="114300" simplePos="0" relativeHeight="25188147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10812" name="Group 4108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053" name="Rectangle 2205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2054" name="Rectangle 2205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055" name="Rectangle 2205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209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0812" style="width:18.7031pt;height:264.21pt;position:absolute;mso-position-horizontal-relative:page;mso-position-horizontal:absolute;margin-left:662.928pt;mso-position-vertical-relative:page;margin-top:508.71pt;" coordsize="2375,33554">
                <v:rect id="Rectangle 2205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205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05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209 de 350 </w:t>
                        </w:r>
                      </w:p>
                    </w:txbxContent>
                  </v:textbox>
                </v:rect>
                <w10:wrap type="square"/>
              </v:group>
            </w:pict>
          </mc:Fallback>
        </mc:AlternateContent>
      </w:r>
      <w:r>
        <w:rPr>
          <w:b/>
        </w:rPr>
        <w:t xml:space="preserve">                          ACUERDO DEL PLENO DE 29 DE DICIEMBRE DE 2025.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PRIMERO: Aprobar inicialmente el Plan Especial de Ordenación del Parque Periur</w:t>
      </w:r>
      <w:r>
        <w:rPr>
          <w:b/>
        </w:rPr>
        <w:t>bano de La Vera de Igueste, según lo indicado en el informe técnico favorable emitido con fecha 15/12/2025.</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SEGUNDO: Abrir un período de información pública por plazo de un mes mediante anuncio en el Boletín Oficial de Canarias y en el periódico</w:t>
      </w:r>
      <w:r>
        <w:rPr>
          <w:b/>
        </w:rPr>
        <w:t xml:space="preserve"> de mayor difusión.</w:t>
      </w:r>
      <w:r>
        <w:rPr>
          <w:rFonts w:ascii="Times New Roman" w:eastAsia="Times New Roman" w:hAnsi="Times New Roman" w:cs="Times New Roman"/>
          <w:sz w:val="24"/>
        </w:rPr>
        <w:t xml:space="preserve"> </w:t>
      </w:r>
    </w:p>
    <w:p w:rsidR="00025683" w:rsidRDefault="007C2AAB">
      <w:pPr>
        <w:spacing w:after="12"/>
        <w:ind w:left="14" w:right="197" w:firstLine="708"/>
      </w:pPr>
      <w:r>
        <w:rPr>
          <w:b/>
        </w:rPr>
        <w:t xml:space="preserve">Asimismo, estará disponible en la sede electrónica de este Ayuntamiento https://sedeelectronica.candelaria.es/publico/tablon.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TERCERO: Solicitar, simultáneamente al trámite de información pública, los informes, dictámenes u o</w:t>
      </w:r>
      <w:r>
        <w:rPr>
          <w:b/>
        </w:rPr>
        <w:t>tro tipo de pronunciamientos a órganos y Entidades administrativas gestores de intereses públicos afectados, previstos legalmente como preceptivos.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CUARTO: Ordenar la suspensión facultativa del otorgamiento de las licencias de obras de edificació</w:t>
      </w:r>
      <w:r>
        <w:rPr>
          <w:b/>
        </w:rPr>
        <w:t>n (excluyendo las permitidas por la Ley 4/2017, de 13 de julio, del Suelo y de los Espacios Naturales Protegidos de Canarias, en las situaciones legales de las construcciones preexistentes y en la situación de fuera de ordenación y las provisionales permit</w:t>
      </w:r>
      <w:r>
        <w:rPr>
          <w:b/>
        </w:rPr>
        <w:t>idas conforme al artículo 32 de la misma Ley), así como la suspensión de la autorización de obras de urbanización (excluyendo la mera conservación y mantenimiento) en todo el ámbito de la modificación.</w:t>
      </w:r>
      <w:r>
        <w:rPr>
          <w:rFonts w:ascii="Times New Roman" w:eastAsia="Times New Roman" w:hAnsi="Times New Roman" w:cs="Times New Roman"/>
          <w:sz w:val="24"/>
        </w:rPr>
        <w:t xml:space="preserve"> </w:t>
      </w:r>
    </w:p>
    <w:p w:rsidR="00025683" w:rsidRDefault="007C2AAB">
      <w:pPr>
        <w:spacing w:after="12"/>
        <w:ind w:left="14" w:right="197"/>
      </w:pPr>
      <w:r>
        <w:rPr>
          <w:b/>
        </w:rPr>
        <w:t>Esta suspensión surtirá efectos desde el día siguient</w:t>
      </w:r>
      <w:r>
        <w:rPr>
          <w:b/>
        </w:rPr>
        <w:t xml:space="preserve">e a la publicación del anuncio en el Boletín Oficial, y tendrá un plazo de un (1) año. por un plazo de un año.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QUINTO: Ordenar la publicación de este acuerdo de suspensión en el Boletín Oficial de Canarias y en, al menos, dos de los diarios de may</w:t>
      </w:r>
      <w:r>
        <w:rPr>
          <w:b/>
        </w:rPr>
        <w:t>or difusión en la isla.</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SEXTO: Contra el acuerdo de suspensión del otorgamiento de licencias, se podrá interponer recurso potestativo de reposición ante el órgano que lo dictó en el plazo de un mes a contar desde el día siguiente de su notificació</w:t>
      </w:r>
      <w:r>
        <w:rPr>
          <w:b/>
        </w:rPr>
        <w:t>n o publicación, o recurso contencioso-administrativo ante la Jurisdicción Contenciosa-administrativa, en el plazo de dos meses a contar desde el día siguiente de su notificación o publicación.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38" w:line="259" w:lineRule="auto"/>
        <w:ind w:left="14" w:firstLine="0"/>
        <w:jc w:val="left"/>
      </w:pPr>
      <w:r>
        <w:rPr>
          <w:b/>
        </w:rPr>
        <w:t xml:space="preserve"> </w:t>
      </w:r>
    </w:p>
    <w:p w:rsidR="00025683" w:rsidRDefault="007C2AAB">
      <w:pPr>
        <w:spacing w:after="4" w:line="245" w:lineRule="auto"/>
        <w:ind w:left="-1" w:right="193" w:firstLine="708"/>
      </w:pPr>
      <w:r>
        <w:rPr>
          <w:rFonts w:ascii="Calibri" w:eastAsia="Calibri" w:hAnsi="Calibri" w:cs="Calibri"/>
          <w:noProof/>
        </w:rPr>
        <mc:AlternateContent>
          <mc:Choice Requires="wpg">
            <w:drawing>
              <wp:anchor distT="0" distB="0" distL="114300" distR="114300" simplePos="0" relativeHeight="251882496" behindDoc="1" locked="0" layoutInCell="1" allowOverlap="1">
                <wp:simplePos x="0" y="0"/>
                <wp:positionH relativeFrom="column">
                  <wp:posOffset>9144</wp:posOffset>
                </wp:positionH>
                <wp:positionV relativeFrom="paragraph">
                  <wp:posOffset>194897</wp:posOffset>
                </wp:positionV>
                <wp:extent cx="5941518" cy="618744"/>
                <wp:effectExtent l="0" t="0" r="0" b="0"/>
                <wp:wrapNone/>
                <wp:docPr id="411087" name="Group 411087"/>
                <wp:cNvGraphicFramePr/>
                <a:graphic xmlns:a="http://schemas.openxmlformats.org/drawingml/2006/main">
                  <a:graphicData uri="http://schemas.microsoft.com/office/word/2010/wordprocessingGroup">
                    <wpg:wgp>
                      <wpg:cNvGrpSpPr/>
                      <wpg:grpSpPr>
                        <a:xfrm>
                          <a:off x="0" y="0"/>
                          <a:ext cx="5941518" cy="618744"/>
                          <a:chOff x="0" y="0"/>
                          <a:chExt cx="5941518" cy="618744"/>
                        </a:xfrm>
                      </wpg:grpSpPr>
                      <wps:wsp>
                        <wps:cNvPr id="446930" name="Shape 446930"/>
                        <wps:cNvSpPr/>
                        <wps:spPr>
                          <a:xfrm>
                            <a:off x="1824558" y="0"/>
                            <a:ext cx="4116960" cy="210312"/>
                          </a:xfrm>
                          <a:custGeom>
                            <a:avLst/>
                            <a:gdLst/>
                            <a:ahLst/>
                            <a:cxnLst/>
                            <a:rect l="0" t="0" r="0" b="0"/>
                            <a:pathLst>
                              <a:path w="4116960" h="210312">
                                <a:moveTo>
                                  <a:pt x="0" y="0"/>
                                </a:moveTo>
                                <a:lnTo>
                                  <a:pt x="4116960" y="0"/>
                                </a:lnTo>
                                <a:lnTo>
                                  <a:pt x="4116960"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6931" name="Shape 446931"/>
                        <wps:cNvSpPr/>
                        <wps:spPr>
                          <a:xfrm>
                            <a:off x="0" y="204215"/>
                            <a:ext cx="5941441" cy="210312"/>
                          </a:xfrm>
                          <a:custGeom>
                            <a:avLst/>
                            <a:gdLst/>
                            <a:ahLst/>
                            <a:cxnLst/>
                            <a:rect l="0" t="0" r="0" b="0"/>
                            <a:pathLst>
                              <a:path w="5941441" h="210312">
                                <a:moveTo>
                                  <a:pt x="0" y="0"/>
                                </a:moveTo>
                                <a:lnTo>
                                  <a:pt x="5941441" y="0"/>
                                </a:lnTo>
                                <a:lnTo>
                                  <a:pt x="5941441"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6932" name="Shape 446932"/>
                        <wps:cNvSpPr/>
                        <wps:spPr>
                          <a:xfrm>
                            <a:off x="0" y="408432"/>
                            <a:ext cx="3103118" cy="210312"/>
                          </a:xfrm>
                          <a:custGeom>
                            <a:avLst/>
                            <a:gdLst/>
                            <a:ahLst/>
                            <a:cxnLst/>
                            <a:rect l="0" t="0" r="0" b="0"/>
                            <a:pathLst>
                              <a:path w="3103118" h="210312">
                                <a:moveTo>
                                  <a:pt x="0" y="0"/>
                                </a:moveTo>
                                <a:lnTo>
                                  <a:pt x="3103118" y="0"/>
                                </a:lnTo>
                                <a:lnTo>
                                  <a:pt x="3103118"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w:pict>
              <v:group id="Group 411087" style="width:467.836pt;height:48.72pt;position:absolute;z-index:-2147483590;mso-position-horizontal-relative:text;mso-position-horizontal:absolute;margin-left:0.720001pt;mso-position-vertical-relative:text;margin-top:15.3462pt;" coordsize="59415,6187">
                <v:shape id="Shape 446933" style="position:absolute;width:41169;height:2103;left:18245;top:0;" coordsize="4116960,210312" path="m0,0l4116960,0l4116960,210312l0,210312l0,0">
                  <v:stroke weight="0pt" endcap="square" joinstyle="miter" miterlimit="10" on="false" color="#000000" opacity="0"/>
                  <v:fill on="true" color="#f5f7f9"/>
                </v:shape>
                <v:shape id="Shape 446934" style="position:absolute;width:59414;height:2103;left:0;top:2042;" coordsize="5941441,210312" path="m0,0l5941441,0l5941441,210312l0,210312l0,0">
                  <v:stroke weight="0pt" endcap="square" joinstyle="miter" miterlimit="10" on="false" color="#000000" opacity="0"/>
                  <v:fill on="true" color="#f5f7f9"/>
                </v:shape>
                <v:shape id="Shape 446935" style="position:absolute;width:31031;height:2103;left:0;top:4084;" coordsize="3103118,210312" path="m0,0l3103118,0l3103118,210312l0,210312l0,0">
                  <v:stroke weight="0pt" endcap="square" joinstyle="miter" miterlimit="10" on="false" color="#000000" opacity="0"/>
                  <v:fill on="true" color="#f5f7f9"/>
                </v:shape>
              </v:group>
            </w:pict>
          </mc:Fallback>
        </mc:AlternateContent>
      </w:r>
      <w:r>
        <w:rPr>
          <w:b/>
          <w:sz w:val="28"/>
        </w:rPr>
        <w:t xml:space="preserve">8.- </w:t>
      </w:r>
      <w:r>
        <w:rPr>
          <w:b/>
          <w:sz w:val="28"/>
          <w:u w:val="single" w:color="000000"/>
        </w:rPr>
        <w:t>Expediente 8787/2025</w:t>
      </w:r>
      <w:r>
        <w:rPr>
          <w:b/>
          <w:sz w:val="28"/>
        </w:rPr>
        <w:t>. Propuesta de Concejal Delegado Hacienda al Pleno de la Aprobación inicial de la Ordenanza reguladora de limpieza de los espacios públicos, gestión de residuos y economía circular del municipio de Candelaria.</w:t>
      </w:r>
      <w:r>
        <w:rPr>
          <w:rFonts w:ascii="Times New Roman" w:eastAsia="Times New Roman" w:hAnsi="Times New Roman" w:cs="Times New Roman"/>
          <w:sz w:val="28"/>
        </w:rPr>
        <w:t xml:space="preserve"> </w:t>
      </w:r>
    </w:p>
    <w:p w:rsidR="00025683" w:rsidRDefault="007C2AAB">
      <w:pPr>
        <w:spacing w:after="0" w:line="259" w:lineRule="auto"/>
        <w:ind w:left="14" w:firstLine="0"/>
        <w:jc w:val="left"/>
      </w:pPr>
      <w:r>
        <w:rPr>
          <w:b/>
          <w:sz w:val="28"/>
        </w:rPr>
        <w:t xml:space="preserve"> </w:t>
      </w:r>
    </w:p>
    <w:p w:rsidR="00025683" w:rsidRDefault="007C2AAB">
      <w:pPr>
        <w:spacing w:after="12"/>
        <w:ind w:left="14" w:right="197" w:firstLine="708"/>
      </w:pPr>
      <w:r>
        <w:rPr>
          <w:b/>
        </w:rPr>
        <w:t>Consta en el expediente informe emitido por</w:t>
      </w:r>
      <w:r>
        <w:rPr>
          <w:b/>
        </w:rPr>
        <w:t xml:space="preserve"> el funcionario Don Javier González Gómez, Arquitecto Técnico municipal, de fecha 15 de diciembre de 2025 que transcrito literalmente dice:</w:t>
      </w:r>
      <w:r>
        <w:t xml:space="preserve"> </w:t>
      </w:r>
      <w:r>
        <w:rPr>
          <w:rFonts w:ascii="Times New Roman" w:eastAsia="Times New Roman" w:hAnsi="Times New Roman" w:cs="Times New Roman"/>
          <w:sz w:val="24"/>
        </w:rPr>
        <w:t xml:space="preserve"> </w:t>
      </w:r>
    </w:p>
    <w:p w:rsidR="00025683" w:rsidRDefault="007C2AAB">
      <w:pPr>
        <w:spacing w:after="0" w:line="259" w:lineRule="auto"/>
        <w:ind w:left="722" w:firstLine="0"/>
        <w:jc w:val="left"/>
      </w:pPr>
      <w:r>
        <w:t xml:space="preserve"> </w:t>
      </w:r>
    </w:p>
    <w:p w:rsidR="00025683" w:rsidRDefault="007C2AAB">
      <w:pPr>
        <w:ind w:left="14" w:right="200" w:firstLine="708"/>
      </w:pPr>
      <w:r>
        <w:rPr>
          <w:rFonts w:ascii="Calibri" w:eastAsia="Calibri" w:hAnsi="Calibri" w:cs="Calibri"/>
          <w:noProof/>
        </w:rPr>
        <mc:AlternateContent>
          <mc:Choice Requires="wpg">
            <w:drawing>
              <wp:anchor distT="0" distB="0" distL="114300" distR="114300" simplePos="0" relativeHeight="25188352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11088" name="Group 4110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207" name="Rectangle 2220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2208" name="Rectangle 2220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209" name="Rectangle 2220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210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1088" style="width:18.7031pt;height:264.21pt;position:absolute;mso-position-horizontal-relative:page;mso-position-horizontal:absolute;margin-left:662.928pt;mso-position-vertical-relative:page;margin-top:508.71pt;" coordsize="2375,33554">
                <v:rect id="Rectangle 2220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22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2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210 de 350 </w:t>
                        </w:r>
                      </w:p>
                    </w:txbxContent>
                  </v:textbox>
                </v:rect>
                <w10:wrap type="square"/>
              </v:group>
            </w:pict>
          </mc:Fallback>
        </mc:AlternateContent>
      </w:r>
      <w:r>
        <w:t>Visto el expediente antedicho, el funcionario Don Javier González Gómez, que desempeña el puesto de trabajo de Arquitecto Técnico adscrito en la Concejalía de Ob</w:t>
      </w:r>
      <w:r>
        <w:t xml:space="preserve">ras Públicas, Servicios Públicos, Transporte y Accesibilidad emite el siguiente informe:  </w:t>
      </w:r>
    </w:p>
    <w:p w:rsidR="00025683" w:rsidRDefault="007C2AAB">
      <w:pPr>
        <w:spacing w:after="0" w:line="259" w:lineRule="auto"/>
        <w:ind w:left="722" w:firstLine="0"/>
        <w:jc w:val="left"/>
      </w:pPr>
      <w:r>
        <w:t xml:space="preserve"> </w:t>
      </w:r>
    </w:p>
    <w:p w:rsidR="00025683" w:rsidRDefault="007C2AAB">
      <w:pPr>
        <w:spacing w:after="12"/>
        <w:ind w:left="722" w:right="197"/>
      </w:pPr>
      <w:r>
        <w:rPr>
          <w:b/>
        </w:rPr>
        <w:t xml:space="preserve">1.- ANTECEDENTES DE HECHO </w:t>
      </w:r>
    </w:p>
    <w:p w:rsidR="00025683" w:rsidRDefault="007C2AAB">
      <w:pPr>
        <w:spacing w:after="0" w:line="259" w:lineRule="auto"/>
        <w:ind w:left="722" w:firstLine="0"/>
        <w:jc w:val="left"/>
      </w:pPr>
      <w:r>
        <w:rPr>
          <w:b/>
        </w:rPr>
        <w:t xml:space="preserve"> </w:t>
      </w:r>
    </w:p>
    <w:p w:rsidR="00025683" w:rsidRDefault="007C2AAB">
      <w:pPr>
        <w:ind w:left="14" w:right="200" w:firstLine="708"/>
      </w:pPr>
      <w:r>
        <w:t>PRIMERO. – Con fecha 10 de septiembre de 2025, la Concejalía de Hacienda, Recursos Humanos y Empresas Concesionarias dicta providencia</w:t>
      </w:r>
      <w:r>
        <w:t xml:space="preserve"> solicitando informe técnico sobre la adecuación a la normativa vigente del borrador de la Ordenanza Reguladora de Limpieza de los Espacios Públicos, Gestión de Residuos y Economía Circular del municipio de Candelaria a los técnicos Daniel Espejo Cómez y e</w:t>
      </w:r>
      <w:r>
        <w:t xml:space="preserve">l que suscribe este informe.  </w:t>
      </w:r>
    </w:p>
    <w:p w:rsidR="00025683" w:rsidRDefault="007C2AAB">
      <w:pPr>
        <w:spacing w:after="0" w:line="259" w:lineRule="auto"/>
        <w:ind w:left="722" w:firstLine="0"/>
        <w:jc w:val="left"/>
      </w:pPr>
      <w:r>
        <w:t xml:space="preserve"> </w:t>
      </w:r>
    </w:p>
    <w:p w:rsidR="00025683" w:rsidRDefault="007C2AAB">
      <w:pPr>
        <w:ind w:left="14" w:right="200" w:firstLine="708"/>
      </w:pPr>
      <w:r>
        <w:t>SEGUNDO. – El borrador de la ordenanza fue remitido por Gesplan al Ayuntamiento con fecha 06 de junio de 2025, constando acuse de recibo en esa fecha. No obstante, la solicitud de informe técnico se ha realizado mediante pr</w:t>
      </w:r>
      <w:r>
        <w:t xml:space="preserve">ovidencia de 10 de septiembre de 2025, con un plazo de 5 días hábiles para su emisión. En este tiempo limitado se han podido realizar observaciones generales que evidencian la necesidad de reelaboración del documento.  </w:t>
      </w:r>
    </w:p>
    <w:p w:rsidR="00025683" w:rsidRDefault="007C2AAB">
      <w:pPr>
        <w:spacing w:after="0" w:line="259" w:lineRule="auto"/>
        <w:ind w:left="722" w:firstLine="0"/>
        <w:jc w:val="left"/>
      </w:pPr>
      <w:r>
        <w:t xml:space="preserve"> </w:t>
      </w:r>
    </w:p>
    <w:p w:rsidR="00025683" w:rsidRDefault="007C2AAB">
      <w:pPr>
        <w:ind w:left="14" w:right="200" w:firstLine="708"/>
      </w:pPr>
      <w:r>
        <w:t>TERCERO. – Con fecha 16 de septiem</w:t>
      </w:r>
      <w:r>
        <w:t xml:space="preserve">bre se remite documento de trabajo al equipo redactor (GESPLAN) con observaciones técnicas y anotaciones, a fin de que pudieran adelantarse en la incorporación de correcciones.  </w:t>
      </w:r>
    </w:p>
    <w:p w:rsidR="00025683" w:rsidRDefault="007C2AAB">
      <w:pPr>
        <w:spacing w:after="0" w:line="259" w:lineRule="auto"/>
        <w:ind w:left="722" w:firstLine="0"/>
        <w:jc w:val="left"/>
      </w:pPr>
      <w:r>
        <w:t xml:space="preserve"> </w:t>
      </w:r>
    </w:p>
    <w:p w:rsidR="00025683" w:rsidRDefault="007C2AAB">
      <w:pPr>
        <w:ind w:left="14" w:right="200" w:firstLine="708"/>
      </w:pPr>
      <w:r>
        <w:t>CUARTO. – Con fecha 17 de septiembre de 2025 se emite por parte del técnico</w:t>
      </w:r>
      <w:r>
        <w:t xml:space="preserve"> Daniel Espejo Comez – en mi ausencia por I.T.- informe técnico con la siguiente literalidad concluye:  </w:t>
      </w:r>
    </w:p>
    <w:p w:rsidR="00025683" w:rsidRDefault="007C2AAB">
      <w:pPr>
        <w:spacing w:after="0" w:line="259" w:lineRule="auto"/>
        <w:ind w:left="722" w:firstLine="0"/>
        <w:jc w:val="left"/>
      </w:pPr>
      <w:r>
        <w:t xml:space="preserve"> </w:t>
      </w:r>
    </w:p>
    <w:p w:rsidR="00025683" w:rsidRDefault="007C2AAB">
      <w:pPr>
        <w:ind w:left="14" w:right="200" w:firstLine="708"/>
      </w:pPr>
      <w:r>
        <w:t>“En base a todo lo anteriormente expuesto, se informa DESFAVORABLE el borrador de la Ordenanza Reguladora de Limpieza de los Espacios Públicos, Gesti</w:t>
      </w:r>
      <w:r>
        <w:t xml:space="preserve">ón de Residuos y Economía Circular del municipio de Candelaria. Se recomienda al equipo redactor su revisión integral y su ajuste a la normativa aplicable y a la realidad municipal, de acuerdo con las observaciones técnicas efectuadas.”  </w:t>
      </w:r>
    </w:p>
    <w:p w:rsidR="00025683" w:rsidRDefault="007C2AAB">
      <w:pPr>
        <w:spacing w:after="0" w:line="259" w:lineRule="auto"/>
        <w:ind w:left="722" w:firstLine="0"/>
        <w:jc w:val="left"/>
      </w:pPr>
      <w:r>
        <w:t xml:space="preserve"> </w:t>
      </w:r>
    </w:p>
    <w:p w:rsidR="00025683" w:rsidRDefault="007C2AAB">
      <w:pPr>
        <w:ind w:left="14" w:right="200" w:firstLine="708"/>
      </w:pPr>
      <w:r>
        <w:t>QUINTO. – Con f</w:t>
      </w:r>
      <w:r>
        <w:t>echa 11 de diciembre de 2025 y número de registro 2025-ERE-11006 Gesplan remite PROPUESTA DE ORDENANZA REGULADORA DE LIMPIEZA DE LOS ESPACIOS PÚBLICOS, GESTIÓN DE RESIDUOS Y ECONOMÍA CIRCULAR DEL MUNICIPIO DE CANDELARIA, diciembre 2025.</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722" w:right="197"/>
      </w:pPr>
      <w:r>
        <w:rPr>
          <w:b/>
        </w:rPr>
        <w:t xml:space="preserve">2.- OBJETO  </w:t>
      </w:r>
    </w:p>
    <w:p w:rsidR="00025683" w:rsidRDefault="007C2AAB">
      <w:pPr>
        <w:spacing w:after="0" w:line="259" w:lineRule="auto"/>
        <w:ind w:left="14" w:firstLine="0"/>
        <w:jc w:val="left"/>
      </w:pPr>
      <w:r>
        <w:t xml:space="preserve"> </w:t>
      </w:r>
    </w:p>
    <w:p w:rsidR="00025683" w:rsidRDefault="007C2AAB">
      <w:pPr>
        <w:ind w:left="14" w:right="200"/>
      </w:pPr>
      <w:r>
        <w:t>El presente informe tiene por objeto valorar técnicamente la adecuación del borrador de la Ordenanza de Residuos a la normativa vigente y valorar su viabilidad para su aprobación desde el punto de vista técnica y alineación con el PPTP que rige el actual c</w:t>
      </w:r>
      <w:r>
        <w:t xml:space="preserve">ontrato de concesión del servicio.  </w:t>
      </w:r>
    </w:p>
    <w:p w:rsidR="00025683" w:rsidRDefault="007C2AAB">
      <w:pPr>
        <w:spacing w:after="0" w:line="259" w:lineRule="auto"/>
        <w:ind w:left="14" w:firstLine="0"/>
        <w:jc w:val="left"/>
      </w:pPr>
      <w:r>
        <w:rPr>
          <w:b/>
        </w:rPr>
        <w:t xml:space="preserve"> </w:t>
      </w:r>
    </w:p>
    <w:p w:rsidR="00025683" w:rsidRDefault="007C2AAB">
      <w:pPr>
        <w:spacing w:after="12"/>
        <w:ind w:left="722" w:right="197"/>
      </w:pPr>
      <w:r>
        <w:rPr>
          <w:b/>
        </w:rPr>
        <w:t xml:space="preserve">3.- CONSIDERACIONES TÉCNICAS  </w:t>
      </w:r>
    </w:p>
    <w:p w:rsidR="00025683" w:rsidRDefault="007C2AAB">
      <w:pPr>
        <w:spacing w:after="0" w:line="259" w:lineRule="auto"/>
        <w:ind w:left="14" w:firstLine="0"/>
        <w:jc w:val="left"/>
      </w:pPr>
      <w:r>
        <w:t xml:space="preserve"> </w:t>
      </w:r>
    </w:p>
    <w:p w:rsidR="00025683" w:rsidRDefault="007C2AAB">
      <w:pPr>
        <w:ind w:left="14" w:right="200" w:firstLine="708"/>
      </w:pPr>
      <w:r>
        <w:t xml:space="preserve">La PROPUESTA DE ORDENANZA REGULADORA DE LIMPIEZA DE LOS ESPACIOS PÚBLICOS, GESTIÓN DE RESIDUOS Y ECONOMÍA CIRCULAR DEL MUNICIPIO DE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8454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411227" name="Group 41122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2322" name="Rectangle 22322"/>
                        <wps:cNvSpPr/>
                        <wps:spPr>
                          <a:xfrm rot="-5399999">
                            <a:off x="-1151584" y="2085021"/>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2323" name="Rectangle 22323"/>
                        <wps:cNvSpPr/>
                        <wps:spPr>
                          <a:xfrm rot="-5399999">
                            <a:off x="-976166" y="2184239"/>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324" name="Rectangle 22324"/>
                        <wps:cNvSpPr/>
                        <wps:spPr>
                          <a:xfrm rot="-5399999">
                            <a:off x="-2018623" y="1065581"/>
                            <a:ext cx="4455271"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211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1227" style="width:18.7031pt;height:263.766pt;position:absolute;mso-position-horizontal-relative:page;mso-position-horizontal:absolute;margin-left:662.928pt;mso-position-vertical-relative:page;margin-top:509.154pt;" coordsize="2375,33498">
                <v:rect id="Rectangle 22322" style="position:absolute;width:24163;height:1132;left:-11515;top:208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232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32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211 de 350 </w:t>
                        </w:r>
                      </w:p>
                    </w:txbxContent>
                  </v:textbox>
                </v:rect>
                <w10:wrap type="square"/>
              </v:group>
            </w:pict>
          </mc:Fallback>
        </mc:AlternateContent>
      </w:r>
      <w:r>
        <w:t>CANDELARIA, diciembre 2025, que se propone aprobar técnicamente configura un modelo de gestión de residuos</w:t>
      </w:r>
      <w:r>
        <w:t xml:space="preserve"> coherente con el marco normativo vigente y con la situación actual del servicio municipal. En particular, apuesta por un sistema basado en islas de aportación como eje central de la recogida, avanzando hacia un esquema más completo, sostenible y racionali</w:t>
      </w:r>
      <w:r>
        <w:t xml:space="preserve">zado.  </w:t>
      </w:r>
    </w:p>
    <w:p w:rsidR="00025683" w:rsidRDefault="007C2AAB">
      <w:pPr>
        <w:spacing w:after="0" w:line="259" w:lineRule="auto"/>
        <w:ind w:left="14" w:firstLine="0"/>
        <w:jc w:val="left"/>
      </w:pPr>
      <w:r>
        <w:t xml:space="preserve"> </w:t>
      </w:r>
    </w:p>
    <w:p w:rsidR="00025683" w:rsidRDefault="007C2AAB">
      <w:pPr>
        <w:ind w:left="14" w:right="200" w:firstLine="708"/>
      </w:pPr>
      <w:r>
        <w:t>Desde el punto de vista técnico, se considera adecuado que las islas de aportación integren todas las fracciones de recogida separada previstas (resto, biorresiduo, envases, papelcartón, vidrio, y las que en su caso se incorporen), evitando despl</w:t>
      </w:r>
      <w:r>
        <w:t xml:space="preserve">azamientos innecesarios, minimizando la dispersión de contenedores en vía pública y facilitando el cumplimiento de los objetivos de separación y reciclaje.  </w:t>
      </w:r>
    </w:p>
    <w:p w:rsidR="00025683" w:rsidRDefault="007C2AAB">
      <w:pPr>
        <w:spacing w:after="0" w:line="259" w:lineRule="auto"/>
        <w:ind w:left="14" w:firstLine="0"/>
        <w:jc w:val="left"/>
      </w:pPr>
      <w:r>
        <w:t xml:space="preserve"> </w:t>
      </w:r>
    </w:p>
    <w:p w:rsidR="00025683" w:rsidRDefault="007C2AAB">
      <w:pPr>
        <w:ind w:left="14" w:right="200" w:firstLine="708"/>
      </w:pPr>
      <w:r>
        <w:t>Esta configuración también simplifica la comunicación a la ciudadanía, al asociar de forma clara</w:t>
      </w:r>
      <w:r>
        <w:t xml:space="preserve"> cada punto de aportación con el conjunto de flujos que deben gestionarse. La ordenanza no incorpora un sistema de recogida puerta a puerta, dado que este modelo no está contemplado en el actual Pliego de Prescripciones Técnicas del contrato de limpieza y </w:t>
      </w:r>
      <w:r>
        <w:t xml:space="preserve">recogida. Incluirlo normativamente sin respaldo contractual ni operativo generaría una disfunción entre lo regulado y lo realmente prestable por el servicio.  </w:t>
      </w:r>
    </w:p>
    <w:p w:rsidR="00025683" w:rsidRDefault="007C2AAB">
      <w:pPr>
        <w:spacing w:after="0" w:line="259" w:lineRule="auto"/>
        <w:ind w:left="14" w:firstLine="0"/>
        <w:jc w:val="left"/>
      </w:pPr>
      <w:r>
        <w:t xml:space="preserve"> </w:t>
      </w:r>
    </w:p>
    <w:p w:rsidR="00025683" w:rsidRDefault="007C2AAB">
      <w:pPr>
        <w:ind w:left="14" w:right="200" w:firstLine="708"/>
      </w:pPr>
      <w:r>
        <w:t xml:space="preserve">No obstante, la redacción es lo suficientemente flexible como para permitir, en el futuro, la </w:t>
      </w:r>
      <w:r>
        <w:t>implantación de modalidades diferenciadas de recogida allí donde el planeamiento, la contratación y los recursos lo hagan viable. Igualmente, no se establece en la ordenanza un horario cerrado de depósito de residuos vinculado a recogidas nocturnas, puesto</w:t>
      </w:r>
      <w:r>
        <w:t xml:space="preserve"> que en este momento no existe un convenio laboral que permita organizar de forma estable la recogida en horario nocturno. Fijar limitaciones horarias estrictas al vertido, desvinculadas de las horas reales de retirada, podría traducirse en pérdida de efic</w:t>
      </w:r>
      <w:r>
        <w:t xml:space="preserve">iencia del servicio, aumento de episodios de incumplimiento formal y mayor conflictividad vecinal.  </w:t>
      </w:r>
    </w:p>
    <w:p w:rsidR="00025683" w:rsidRDefault="007C2AAB">
      <w:pPr>
        <w:spacing w:after="0" w:line="259" w:lineRule="auto"/>
        <w:ind w:left="14" w:firstLine="0"/>
        <w:jc w:val="left"/>
      </w:pPr>
      <w:r>
        <w:t xml:space="preserve"> </w:t>
      </w:r>
    </w:p>
    <w:p w:rsidR="00025683" w:rsidRDefault="007C2AAB">
      <w:pPr>
        <w:spacing w:after="0" w:line="249" w:lineRule="auto"/>
        <w:ind w:left="10" w:right="235" w:hanging="10"/>
        <w:jc w:val="right"/>
      </w:pPr>
      <w:r>
        <w:t xml:space="preserve">Por ello, se opta por una regulación que pone el acento en el uso correcto de los </w:t>
      </w:r>
      <w:r>
        <w:t xml:space="preserve">contenedores, la separación adecuada y la minimización de molestias, dejando margen para ajustar en el futuro las franjas horarias de depósito si las condiciones laborales y organizativas del servicio lo permiten.  </w:t>
      </w:r>
    </w:p>
    <w:p w:rsidR="00025683" w:rsidRDefault="007C2AAB">
      <w:pPr>
        <w:spacing w:after="0" w:line="259" w:lineRule="auto"/>
        <w:ind w:left="14" w:firstLine="0"/>
        <w:jc w:val="left"/>
      </w:pPr>
      <w:r>
        <w:t xml:space="preserve"> </w:t>
      </w:r>
    </w:p>
    <w:p w:rsidR="00025683" w:rsidRDefault="007C2AAB">
      <w:pPr>
        <w:ind w:left="14" w:right="200"/>
      </w:pPr>
      <w:r>
        <w:t>En relación con la ocupación de la vía</w:t>
      </w:r>
      <w:r>
        <w:t xml:space="preserve"> pública para la colocación de recipientes y contenedores para residuos de construcción y demolición (RCD), la ordenanza remite expresamente al procedimiento municipal habilitado para la solicitud de ocupación de vía, de forma coherente con la normativa de</w:t>
      </w:r>
      <w:r>
        <w:t xml:space="preserve"> uso del dominio público local. De este modo se garantiza que la gestión de los RCD se articule siempre con autorización previa y bajo condiciones de seguridad, limpieza y restitución del espacio público.  </w:t>
      </w:r>
    </w:p>
    <w:p w:rsidR="00025683" w:rsidRDefault="007C2AAB">
      <w:pPr>
        <w:spacing w:after="0" w:line="259" w:lineRule="auto"/>
        <w:ind w:left="14" w:firstLine="0"/>
        <w:jc w:val="left"/>
      </w:pPr>
      <w:r>
        <w:t xml:space="preserve"> </w:t>
      </w:r>
    </w:p>
    <w:p w:rsidR="00025683" w:rsidRDefault="007C2AAB">
      <w:pPr>
        <w:ind w:left="14" w:right="200"/>
      </w:pPr>
      <w:r>
        <w:t>Asimismo, la ordenanza incorpora una regulación</w:t>
      </w:r>
      <w:r>
        <w:t xml:space="preserve"> específica frente a pintadas y grafitis en paramentos, mobiliario urbano y resto del espacio público, considerándolos una forma de suciedad y deterioro del entorno urbano. Se prevé su prohibición expresa, la exigencia de reposición al estado original y, e</w:t>
      </w:r>
      <w:r>
        <w:t xml:space="preserve">n su caso, la aplicación del correspondiente régimen sancionador, reforzando la protección de fachadas, equipamientos y elementos singulares del municipio frente a este tipo de conductas.  </w:t>
      </w:r>
    </w:p>
    <w:p w:rsidR="00025683" w:rsidRDefault="007C2AAB">
      <w:pPr>
        <w:spacing w:after="0" w:line="259" w:lineRule="auto"/>
        <w:ind w:left="14" w:firstLine="0"/>
        <w:jc w:val="left"/>
      </w:pPr>
      <w:r>
        <w:t xml:space="preserve"> </w:t>
      </w:r>
    </w:p>
    <w:p w:rsidR="00025683" w:rsidRDefault="007C2AAB">
      <w:pPr>
        <w:ind w:left="14" w:right="200"/>
      </w:pPr>
      <w:r>
        <w:rPr>
          <w:rFonts w:ascii="Calibri" w:eastAsia="Calibri" w:hAnsi="Calibri" w:cs="Calibri"/>
          <w:noProof/>
        </w:rPr>
        <mc:AlternateContent>
          <mc:Choice Requires="wpg">
            <w:drawing>
              <wp:anchor distT="0" distB="0" distL="114300" distR="114300" simplePos="0" relativeHeight="25188556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11451" name="Group 41145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429" name="Rectangle 2242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2430" name="Rectangle 2243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w:t>
                              </w:r>
                              <w:r>
                                <w:rPr>
                                  <w:sz w:val="12"/>
                                </w:rPr>
                                <w:t xml:space="preserve">ttps://candelaria.sedelectronica.es/ </w:t>
                              </w:r>
                            </w:p>
                          </w:txbxContent>
                        </wps:txbx>
                        <wps:bodyPr horzOverflow="overflow" vert="horz" lIns="0" tIns="0" rIns="0" bIns="0" rtlCol="0">
                          <a:noAutofit/>
                        </wps:bodyPr>
                      </wps:wsp>
                      <wps:wsp>
                        <wps:cNvPr id="22431" name="Rectangle 2243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212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1451" style="width:18.7031pt;height:264.21pt;position:absolute;mso-position-horizontal-relative:page;mso-position-horizontal:absolute;margin-left:662.928pt;mso-position-vertical-relative:page;margin-top:508.71pt;" coordsize="2375,33554">
                <v:rect id="Rectangle 2242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243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43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212 de 350 </w:t>
                        </w:r>
                      </w:p>
                    </w:txbxContent>
                  </v:textbox>
                </v:rect>
                <w10:wrap type="square"/>
              </v:group>
            </w:pict>
          </mc:Fallback>
        </mc:AlternateContent>
      </w:r>
      <w:r>
        <w:t>En conjunto, la ordenanza supone un avance ordenado y realista: consolida el modelo de islas de aportación como infraestr</w:t>
      </w:r>
      <w:r>
        <w:t xml:space="preserve">uctura básica de la recogida; evita regular figuras (como el puerta a puerta) que no cuentan hoy con soporte técnico-contractual; no impone horarios de vertido que no puedan coordinarse con la operativa real del servicio; y encaja la ocupación de vía para </w:t>
      </w:r>
      <w:r>
        <w:t>RCD y la lucha contra los grafitis dentro de los procedimientos y mecanismos de control municipal ya existentes, preservando así la coherencia entre la norma y la capacidad efectiva de gestión local. Asimismo, se considera adecuada la incorporación en el a</w:t>
      </w:r>
      <w:r>
        <w:t xml:space="preserve">rtículo de prohibiciones, de una mención expresa a la prohibición del vertido de aguas residuales procedentes de la limpieza de terrazas privadas y de restauración a través de los imbornales de recogida de aguas pluviales del viario público, estableciendo </w:t>
      </w:r>
      <w:r>
        <w:t>que dichas aguas deben evacuarse mediante las instalaciones interiores correspondientes hacia la red de saneamiento. Con ello se refuerza la protección de la red de pluviales, se evita la contaminación y la suciedad asociada a detergentes y grasas en la ví</w:t>
      </w:r>
      <w:r>
        <w:t xml:space="preserve">a pública y se asegura la coherencia con la normativa sectorial en materia de vertidos </w:t>
      </w:r>
    </w:p>
    <w:p w:rsidR="00025683" w:rsidRDefault="007C2AAB">
      <w:pPr>
        <w:spacing w:after="0" w:line="259" w:lineRule="auto"/>
        <w:ind w:left="14" w:firstLine="0"/>
        <w:jc w:val="left"/>
      </w:pPr>
      <w:r>
        <w:t xml:space="preserve"> </w:t>
      </w:r>
    </w:p>
    <w:p w:rsidR="00025683" w:rsidRDefault="007C2AAB">
      <w:pPr>
        <w:spacing w:after="12"/>
        <w:ind w:left="14" w:right="197"/>
      </w:pPr>
      <w:r>
        <w:rPr>
          <w:b/>
        </w:rPr>
        <w:t xml:space="preserve">CONCLUSIONES  </w:t>
      </w:r>
    </w:p>
    <w:p w:rsidR="00025683" w:rsidRDefault="007C2AAB">
      <w:pPr>
        <w:spacing w:after="0" w:line="259" w:lineRule="auto"/>
        <w:ind w:left="14" w:firstLine="0"/>
        <w:jc w:val="left"/>
      </w:pPr>
      <w:r>
        <w:rPr>
          <w:b/>
        </w:rPr>
        <w:t xml:space="preserve"> </w:t>
      </w:r>
    </w:p>
    <w:p w:rsidR="00025683" w:rsidRDefault="007C2AAB">
      <w:pPr>
        <w:ind w:left="14" w:right="200"/>
      </w:pPr>
      <w:r>
        <w:t>En base a todo lo anteriormente expuesto, se informa FAVORABLE la PROPUESTA DE ORDENANZA REGULADORA DE LIMPIEZA DE LOS ESPACIOS PÚBLICOS, GESTIÓN DE RESIDUOS Y ECONOMÍA CIRCULAR DEL MUNICIPIO DE CANDELARIA, diciembre 2025. Al margen de consideraciones jurí</w:t>
      </w:r>
      <w:r>
        <w:t xml:space="preserve">dicas, y sometiendo a superior criterio, es cuanto tengo que informar”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 w:line="249" w:lineRule="auto"/>
        <w:ind w:left="17" w:right="197" w:hanging="10"/>
      </w:pPr>
      <w:r>
        <w:rPr>
          <w:b/>
          <w:sz w:val="24"/>
        </w:rPr>
        <w:t>Consta en el expediente Informe</w:t>
      </w:r>
      <w:r>
        <w:rPr>
          <w:b/>
          <w:color w:val="FF0000"/>
          <w:sz w:val="24"/>
        </w:rPr>
        <w:t xml:space="preserve"> </w:t>
      </w:r>
      <w:r>
        <w:rPr>
          <w:b/>
          <w:sz w:val="24"/>
        </w:rPr>
        <w:t>Jurídico emitido por el Secretario General, de 22 de diciembre de 2025, del siguiente tenor literal:</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91" w:line="259" w:lineRule="auto"/>
        <w:ind w:left="274" w:right="458" w:hanging="10"/>
        <w:jc w:val="center"/>
      </w:pPr>
      <w:r>
        <w:t>“</w:t>
      </w:r>
      <w:r>
        <w:rPr>
          <w:b/>
        </w:rPr>
        <w:t>INFORME</w:t>
      </w:r>
      <w:r>
        <w:rPr>
          <w:rFonts w:ascii="Times New Roman" w:eastAsia="Times New Roman" w:hAnsi="Times New Roman" w:cs="Times New Roman"/>
          <w:sz w:val="24"/>
        </w:rPr>
        <w:t xml:space="preserve"> </w:t>
      </w:r>
    </w:p>
    <w:p w:rsidR="00025683" w:rsidRDefault="007C2AAB">
      <w:pPr>
        <w:spacing w:after="12"/>
        <w:ind w:left="1147" w:right="197"/>
      </w:pPr>
      <w:r>
        <w:rPr>
          <w:b/>
        </w:rPr>
        <w:t>Visto el expediente antedicho, se emite el siguiente informe:</w:t>
      </w:r>
      <w:r>
        <w:rPr>
          <w:rFonts w:ascii="Times New Roman" w:eastAsia="Times New Roman" w:hAnsi="Times New Roman" w:cs="Times New Roman"/>
          <w:sz w:val="24"/>
        </w:rPr>
        <w:t xml:space="preserve"> </w:t>
      </w:r>
    </w:p>
    <w:p w:rsidR="00025683" w:rsidRDefault="007C2AAB">
      <w:pPr>
        <w:pStyle w:val="Ttulo4"/>
        <w:spacing w:after="79"/>
        <w:ind w:left="274" w:right="461"/>
      </w:pPr>
      <w:r>
        <w:t>Antecedentes de hecho</w:t>
      </w:r>
      <w:r>
        <w:rPr>
          <w:rFonts w:ascii="Times New Roman" w:eastAsia="Times New Roman" w:hAnsi="Times New Roman" w:cs="Times New Roman"/>
          <w:b w:val="0"/>
          <w:sz w:val="24"/>
        </w:rPr>
        <w:t xml:space="preserve"> </w:t>
      </w:r>
    </w:p>
    <w:p w:rsidR="00025683" w:rsidRDefault="007C2AAB">
      <w:pPr>
        <w:spacing w:after="111"/>
        <w:ind w:left="1147" w:right="197"/>
      </w:pPr>
      <w:r>
        <w:rPr>
          <w:b/>
        </w:rPr>
        <w:t xml:space="preserve">El presente expediente consta de los siguientes documentos: </w:t>
      </w:r>
    </w:p>
    <w:p w:rsidR="00025683" w:rsidRDefault="007C2AAB">
      <w:pPr>
        <w:spacing w:after="158" w:line="238" w:lineRule="auto"/>
        <w:ind w:left="-1" w:firstLine="1133"/>
        <w:jc w:val="left"/>
      </w:pPr>
      <w:r>
        <w:t>1.- Ordenanza elaborada por Gesplan que actúa como medio propio del Ayuntamiento para elaboración y asesorami</w:t>
      </w:r>
      <w:r>
        <w:t xml:space="preserve">ento técnico sobre la Ordenanza y que el tenor literal de la ordenanza damos por reproducido. </w:t>
      </w:r>
    </w:p>
    <w:p w:rsidR="00025683" w:rsidRDefault="007C2AAB">
      <w:pPr>
        <w:spacing w:after="112"/>
        <w:ind w:left="14" w:right="200"/>
      </w:pPr>
      <w:r>
        <w:t xml:space="preserve">Se debe en el artículo dos donde dice “Tenerife” debe decir “Candelaria (Tenerife)”. </w:t>
      </w:r>
    </w:p>
    <w:p w:rsidR="00025683" w:rsidRDefault="007C2AAB">
      <w:pPr>
        <w:spacing w:after="109"/>
        <w:ind w:left="1147" w:right="200"/>
      </w:pPr>
      <w:r>
        <w:t xml:space="preserve">2.- Informe técnico favorable que concluye literalmente: </w:t>
      </w:r>
    </w:p>
    <w:p w:rsidR="00025683" w:rsidRDefault="007C2AAB">
      <w:pPr>
        <w:spacing w:after="120" w:line="238" w:lineRule="auto"/>
        <w:ind w:left="21" w:right="211"/>
      </w:pPr>
      <w:r>
        <w:rPr>
          <w:i/>
        </w:rPr>
        <w:t xml:space="preserve">En base a todo lo anteriormente expuesto, se informa FAVORABLE la PROPUESTA DE ORDENANZA REGULADORA DE LIMPIEZA DE LOS ESPACIOS PÚBLICOS, GESTIÓN DE RESIDUOS Y ECONOMÍA CIRCULAR DEL MUNICIPIO DE CANDELARIA, diciembre 2025. </w:t>
      </w:r>
    </w:p>
    <w:p w:rsidR="00025683" w:rsidRDefault="007C2AAB">
      <w:pPr>
        <w:spacing w:after="9" w:line="249" w:lineRule="auto"/>
        <w:ind w:left="10" w:right="235" w:hanging="10"/>
        <w:jc w:val="right"/>
      </w:pPr>
      <w:r>
        <w:t>La Ordenanza cumple con el actua</w:t>
      </w:r>
      <w:r>
        <w:t xml:space="preserve">l PPTP del actual contrato 2024-2031 que se </w:t>
      </w:r>
    </w:p>
    <w:p w:rsidR="00025683" w:rsidRDefault="007C2AAB">
      <w:pPr>
        <w:spacing w:after="109"/>
        <w:ind w:left="14" w:right="200"/>
      </w:pPr>
      <w:r>
        <w:t>incluye en el expediente como se expresa en el informe técnico salvo que hubiera cualesquiera difunción técnica entre ambos extensos documentos que deberá de ser objeto de interpretación por el responsable del c</w:t>
      </w:r>
      <w:r>
        <w:t xml:space="preserve">ontrato, el Ingeniero Don Daniel Espejo Cómez. </w:t>
      </w:r>
    </w:p>
    <w:p w:rsidR="00025683" w:rsidRDefault="007C2AAB">
      <w:pPr>
        <w:spacing w:after="111" w:line="259" w:lineRule="auto"/>
        <w:ind w:left="2282" w:firstLine="0"/>
        <w:jc w:val="left"/>
      </w:pPr>
      <w:r>
        <w:rPr>
          <w:b/>
        </w:rPr>
        <w:t xml:space="preserve"> </w:t>
      </w:r>
    </w:p>
    <w:p w:rsidR="00025683" w:rsidRDefault="007C2AAB">
      <w:pPr>
        <w:spacing w:after="90"/>
        <w:ind w:left="2282" w:right="197"/>
      </w:pPr>
      <w:r>
        <w:rPr>
          <w:b/>
        </w:rPr>
        <w:t>Fundamentos de derecho</w:t>
      </w:r>
      <w:r>
        <w:rPr>
          <w:rFonts w:ascii="Times New Roman" w:eastAsia="Times New Roman" w:hAnsi="Times New Roman" w:cs="Times New Roman"/>
          <w:sz w:val="24"/>
        </w:rPr>
        <w:t xml:space="preserve"> </w:t>
      </w:r>
    </w:p>
    <w:p w:rsidR="00025683" w:rsidRDefault="007C2AAB">
      <w:pPr>
        <w:spacing w:after="114"/>
        <w:ind w:left="14" w:right="197" w:firstLine="1133"/>
      </w:pPr>
      <w:r>
        <w:rPr>
          <w:b/>
        </w:rPr>
        <w:t xml:space="preserve">Es de aplicación el procedimiento de aprobación de ordenanzas y reglamentos en una Corporación local que es la siguiente del artículo 49 de la Ley de Bases del Régimen local: </w:t>
      </w:r>
    </w:p>
    <w:p w:rsidR="00025683" w:rsidRDefault="007C2AAB">
      <w:pPr>
        <w:spacing w:after="123" w:line="238" w:lineRule="auto"/>
        <w:ind w:left="21" w:right="49"/>
      </w:pPr>
      <w:r>
        <w:rPr>
          <w:rFonts w:ascii="Calibri" w:eastAsia="Calibri" w:hAnsi="Calibri" w:cs="Calibri"/>
          <w:noProof/>
        </w:rPr>
        <mc:AlternateContent>
          <mc:Choice Requires="wpg">
            <w:drawing>
              <wp:anchor distT="0" distB="0" distL="114300" distR="114300" simplePos="0" relativeHeight="25188659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11000" name="Group 4110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540" name="Rectangle 2254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w:t>
                              </w:r>
                              <w:r>
                                <w:rPr>
                                  <w:sz w:val="12"/>
                                </w:rPr>
                                <w:t xml:space="preserve">. Validación: 3J3KYNW3CJM74AZ6SEHNT4KKY </w:t>
                              </w:r>
                            </w:p>
                          </w:txbxContent>
                        </wps:txbx>
                        <wps:bodyPr horzOverflow="overflow" vert="horz" lIns="0" tIns="0" rIns="0" bIns="0" rtlCol="0">
                          <a:noAutofit/>
                        </wps:bodyPr>
                      </wps:wsp>
                      <wps:wsp>
                        <wps:cNvPr id="22541" name="Rectangle 2254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542" name="Rectangle 2254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213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1000" style="width:18.7031pt;height:264.21pt;position:absolute;mso-position-horizontal-relative:page;mso-position-horizontal:absolute;margin-left:662.928pt;mso-position-vertical-relative:page;margin-top:508.71pt;" coordsize="2375,33554">
                <v:rect id="Rectangle 2254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254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54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213 de 350 </w:t>
                        </w:r>
                      </w:p>
                    </w:txbxContent>
                  </v:textbox>
                </v:rect>
                <w10:wrap type="square"/>
              </v:group>
            </w:pict>
          </mc:Fallback>
        </mc:AlternateContent>
      </w:r>
      <w:r>
        <w:rPr>
          <w:i/>
        </w:rPr>
        <w:t xml:space="preserve">Artículo 49. La aprobación de las Ordenanzas locales se ajustará al siguiente procedimiento: a) Aprobación inicial por el Pleno.  </w:t>
      </w:r>
    </w:p>
    <w:p w:rsidR="00025683" w:rsidRDefault="007C2AAB">
      <w:pPr>
        <w:numPr>
          <w:ilvl w:val="0"/>
          <w:numId w:val="60"/>
        </w:numPr>
        <w:spacing w:after="123" w:line="238" w:lineRule="auto"/>
        <w:ind w:right="127"/>
      </w:pPr>
      <w:r>
        <w:rPr>
          <w:i/>
        </w:rPr>
        <w:t>Información pública y audiencia a los interesados por el plazo mínimo de treinta días para la presentación de reclamaciones y</w:t>
      </w:r>
      <w:r>
        <w:rPr>
          <w:i/>
        </w:rPr>
        <w:t xml:space="preserve"> sugerencias.  </w:t>
      </w:r>
    </w:p>
    <w:p w:rsidR="00025683" w:rsidRDefault="007C2AAB">
      <w:pPr>
        <w:numPr>
          <w:ilvl w:val="0"/>
          <w:numId w:val="60"/>
        </w:numPr>
        <w:spacing w:after="118" w:line="238" w:lineRule="auto"/>
        <w:ind w:right="127"/>
      </w:pPr>
      <w:r>
        <w:rPr>
          <w:i/>
        </w:rPr>
        <w:t>Resolución de todas las reclamaciones y sugerencias presentadas dentro del plazo y aprobación definitiva por el Pleno. En el caso de que no se hubiera presentado ninguna reclamación o sugerencia, se entenderá definitivamente adoptado el acu</w:t>
      </w:r>
      <w:r>
        <w:rPr>
          <w:i/>
        </w:rPr>
        <w:t xml:space="preserve">erdo hasta entonces provisional. </w:t>
      </w:r>
    </w:p>
    <w:p w:rsidR="00025683" w:rsidRDefault="007C2AAB">
      <w:pPr>
        <w:pStyle w:val="Ttulo4"/>
        <w:spacing w:after="100"/>
        <w:ind w:left="274" w:right="1275"/>
      </w:pPr>
      <w:r>
        <w:t xml:space="preserve">PROPUESTA DE ACUERDO </w:t>
      </w:r>
    </w:p>
    <w:p w:rsidR="00025683" w:rsidRDefault="007C2AAB">
      <w:pPr>
        <w:spacing w:after="12"/>
        <w:ind w:left="14" w:right="197"/>
      </w:pPr>
      <w:r>
        <w:rPr>
          <w:b/>
        </w:rPr>
        <w:t>Primero. Aprobación inicial del ORDENANZA REGULADORA DE LIMPIEZA DE LOS ESPACIOS PÚBLICOS, GESTIÓN DE RESIDUOS Y ECONOMÍA CIRCULAR DEL MUNICIPIO DE CANDELARIA que se incluye como anexo.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Segundo. So</w:t>
      </w:r>
      <w:r>
        <w:rPr>
          <w:b/>
        </w:rPr>
        <w:t>meter esta Ordenanza a información pública y audiencia de los interesados, con publicación en el Boletín Oficial de la Provincia y tablón de anuncios del Ayuntamiento, por el plazo de treinta días hábiles, para que puedan presentar reclamaciones o sugerenc</w:t>
      </w:r>
      <w:r>
        <w:rPr>
          <w:b/>
        </w:rPr>
        <w:t>ias, que serán resueltas por el Pleno de la Corporación.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Simultáneamente, publicar el texto de la Ordenanza municipal en el portal web del Ayuntamiento(</w:t>
      </w:r>
      <w:r>
        <w:rPr>
          <w:b/>
          <w:color w:val="0462C1"/>
        </w:rPr>
        <w:t>https://sedeelectronica.candelaria.es/transparencia/participacion/..../</w:t>
      </w:r>
      <w:r>
        <w:rPr>
          <w:b/>
        </w:rPr>
        <w:t>)con el objeto de dar audiencia a los ciudadanos afectados y recabar cuantas aportaciones adicionales puedan hacerse por otras personas o entidades.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93"/>
        <w:ind w:left="14" w:right="197"/>
      </w:pPr>
      <w:r>
        <w:rPr>
          <w:b/>
        </w:rPr>
        <w:t>Tercero. De no presentarse reclamaciones o sugerencias en el plazo señalado en la propuesta anterior, se</w:t>
      </w:r>
      <w:r>
        <w:rPr>
          <w:b/>
        </w:rPr>
        <w:t xml:space="preserve"> considerará aprobado definitivamente y el acuerdo de aprobación definitiva tácita de la Ordenanza, con el texto íntegro del mimo, se publicará para su general conocimiento en el Boletín Oficial de la Provincia y, asimismo, estará a disposición de los inte</w:t>
      </w:r>
      <w:r>
        <w:rPr>
          <w:b/>
        </w:rPr>
        <w:t>resados en la sede electrónica de este Ayuntamiento.</w:t>
      </w:r>
      <w:r>
        <w:rPr>
          <w:rFonts w:ascii="Times New Roman" w:eastAsia="Times New Roman" w:hAnsi="Times New Roman" w:cs="Times New Roman"/>
          <w:sz w:val="24"/>
        </w:rPr>
        <w:t xml:space="preserve"> </w:t>
      </w:r>
    </w:p>
    <w:p w:rsidR="00025683" w:rsidRDefault="007C2AAB">
      <w:pPr>
        <w:spacing w:after="137" w:line="259" w:lineRule="auto"/>
        <w:ind w:left="14" w:firstLine="0"/>
        <w:jc w:val="left"/>
      </w:pPr>
      <w:r>
        <w:rPr>
          <w:b/>
        </w:rPr>
        <w:t xml:space="preserve"> </w:t>
      </w:r>
    </w:p>
    <w:p w:rsidR="00025683" w:rsidRDefault="007C2AAB">
      <w:pPr>
        <w:ind w:left="14" w:right="200"/>
      </w:pPr>
      <w: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Consta en el expediente informe del funcionario Don Daniel Espejo Cómez, que desempeña el puesto de trabajo de Ingeniero Técnico Industrial adscrito en la Concejalía de Planificación y Gestión Urbanística y Ambiental; Vivienda y Agenda, de fecha 26 de dici</w:t>
      </w:r>
      <w:r>
        <w:rPr>
          <w:b/>
        </w:rPr>
        <w:t>embre de 2025, que transcrito literalmente dice: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color w:val="FF0000"/>
        </w:rPr>
        <w:t xml:space="preserve"> </w:t>
      </w:r>
    </w:p>
    <w:p w:rsidR="00025683" w:rsidRDefault="007C2AAB">
      <w:pPr>
        <w:spacing w:after="0" w:line="259" w:lineRule="auto"/>
        <w:ind w:left="14" w:firstLine="0"/>
        <w:jc w:val="left"/>
      </w:pPr>
      <w:r>
        <w:rPr>
          <w:color w:val="FF0000"/>
        </w:rPr>
        <w:t xml:space="preserve"> </w:t>
      </w:r>
    </w:p>
    <w:p w:rsidR="00025683" w:rsidRDefault="007C2AAB">
      <w:pPr>
        <w:spacing w:after="0" w:line="259" w:lineRule="auto"/>
        <w:ind w:left="14" w:firstLine="0"/>
        <w:jc w:val="left"/>
      </w:pPr>
      <w:r>
        <w:rPr>
          <w:color w:val="FF0000"/>
        </w:rPr>
        <w:t xml:space="preserve"> </w:t>
      </w:r>
      <w:r>
        <w:rPr>
          <w:rFonts w:ascii="Times New Roman" w:eastAsia="Times New Roman" w:hAnsi="Times New Roman" w:cs="Times New Roman"/>
          <w:sz w:val="24"/>
        </w:rPr>
        <w:t xml:space="preserve"> </w:t>
      </w:r>
    </w:p>
    <w:p w:rsidR="00025683" w:rsidRDefault="007C2AAB">
      <w:pPr>
        <w:pStyle w:val="Ttulo4"/>
        <w:ind w:left="274" w:right="458"/>
      </w:pPr>
      <w:r>
        <w:rPr>
          <w:b w:val="0"/>
        </w:rPr>
        <w:t>“</w:t>
      </w:r>
      <w:r>
        <w:t>INFORME</w:t>
      </w:r>
      <w:r>
        <w:rPr>
          <w:rFonts w:ascii="Times New Roman" w:eastAsia="Times New Roman" w:hAnsi="Times New Roman" w:cs="Times New Roman"/>
          <w:b w:val="0"/>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36" w:lineRule="auto"/>
        <w:ind w:left="9" w:right="102" w:hanging="10"/>
        <w:jc w:val="left"/>
      </w:pPr>
      <w:r>
        <w:rPr>
          <w:rFonts w:ascii="Calibri" w:eastAsia="Calibri" w:hAnsi="Calibri" w:cs="Calibri"/>
          <w:noProof/>
        </w:rPr>
        <mc:AlternateContent>
          <mc:Choice Requires="wpg">
            <w:drawing>
              <wp:anchor distT="0" distB="0" distL="114300" distR="114300" simplePos="0" relativeHeight="25188761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11774" name="Group 4117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681" name="Rectangle 2268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2682" name="Rectangle 2268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683" name="Rectangle 2268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214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1774" style="width:18.7031pt;height:264.21pt;position:absolute;mso-position-horizontal-relative:page;mso-position-horizontal:absolute;margin-left:662.928pt;mso-position-vertical-relative:page;margin-top:508.71pt;" coordsize="2375,33554">
                <v:rect id="Rectangle 2268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268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68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214 de 350 </w:t>
                        </w:r>
                      </w:p>
                    </w:txbxContent>
                  </v:textbox>
                </v:rect>
                <w10:wrap type="square"/>
              </v:group>
            </w:pict>
          </mc:Fallback>
        </mc:AlternateContent>
      </w:r>
      <w:r>
        <w:rPr>
          <w:b/>
        </w:rPr>
        <w:t>Visto el expediente antedicho, el funcionario Don Daniel Espejo Cómez, que desempeña el puesto de trabajo de Ingeniero Técnico Industrial adscrito en la Concejal</w:t>
      </w:r>
      <w:r>
        <w:rPr>
          <w:b/>
        </w:rPr>
        <w:t xml:space="preserve">ía de Planificación y Gestión Urbanística y Ambiental; Vivienda y Agenda Urbana emite el siguiente informe: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9" w:hanging="10"/>
        <w:jc w:val="left"/>
      </w:pPr>
      <w:r>
        <w:rPr>
          <w:b/>
          <w:shd w:val="clear" w:color="auto" w:fill="C0C0C0"/>
        </w:rPr>
        <w:t>1.- ANTECEDENTES DE HECHO</w:t>
      </w:r>
      <w:r>
        <w:rPr>
          <w:b/>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           PRIMERO. – </w:t>
      </w:r>
      <w:r>
        <w:t xml:space="preserve">Con fecha </w:t>
      </w:r>
      <w:r>
        <w:rPr>
          <w:b/>
        </w:rPr>
        <w:t>11 de septiembre de 2025</w:t>
      </w:r>
      <w:r>
        <w:t>, la Concejalía de Hacienda, Recursos Humanos y Empresas Concesionarias dicta providencia solicitando informe técnico sobre la adecuación a la normativa vigente del borrador de la Ordenanza Reguladora de Limpieza de los Espacios Públicos, Gestión de Residu</w:t>
      </w:r>
      <w:r>
        <w:t xml:space="preserve">os y Economía Circular del municipio de Candelaria.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           SEGUNDO. – </w:t>
      </w:r>
      <w:r>
        <w:t xml:space="preserve">Con fecha </w:t>
      </w:r>
      <w:r>
        <w:rPr>
          <w:b/>
        </w:rPr>
        <w:t>17 de septiembre de 2025</w:t>
      </w:r>
      <w:r>
        <w:t>, el técnico que suscribe emite informe desfavorable sobre el borrador remitido por GESPLAN, recomendando su revisión integral y ajuste a la nor</w:t>
      </w:r>
      <w:r>
        <w:t xml:space="preserve">mativa aplicable y a la realidad municipal.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           TERCERO. – </w:t>
      </w:r>
      <w:r>
        <w:t xml:space="preserve">Con fecha </w:t>
      </w:r>
      <w:r>
        <w:rPr>
          <w:b/>
        </w:rPr>
        <w:t>27 de octubre de 2025</w:t>
      </w:r>
      <w:r>
        <w:t>, mediante correo electrónico de D. Reinaldo José Triviño Blanco se comunica la reasignación de los trabajos de revisión técnica de la Ordenanza al Arquite</w:t>
      </w:r>
      <w:r>
        <w:t xml:space="preserve">cto Técnico municipal D. Javier González Gómez, a fin de que elaborase el informe técnico preceptivo para la elevación al Pleno.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           CUARTO. – </w:t>
      </w:r>
      <w:r>
        <w:t xml:space="preserve">Con fecha </w:t>
      </w:r>
      <w:r>
        <w:rPr>
          <w:b/>
        </w:rPr>
        <w:t>15 de diciembre de 2025</w:t>
      </w:r>
      <w:r>
        <w:t>, D. Javier González Gómez emite informe técnico favorable sobre la p</w:t>
      </w:r>
      <w:r>
        <w:t xml:space="preserve">ropuesta de Ordenanza en su versión de diciembre de 2025.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rPr>
          <w:b/>
        </w:rPr>
        <w:t xml:space="preserve">           QUINTO. – </w:t>
      </w:r>
      <w:r>
        <w:t xml:space="preserve">Con fecha </w:t>
      </w:r>
      <w:r>
        <w:rPr>
          <w:b/>
        </w:rPr>
        <w:t>23 de diciembre de 2025</w:t>
      </w:r>
      <w:r>
        <w:t>, consta la remisión de documentación complementaria por GESPLAN, así como la emisión de providencia por la que se le requiere al técnico qu</w:t>
      </w:r>
      <w:r>
        <w:t xml:space="preserve">e suscribe la emisión de informe técnico pronunciándose de forma favorable o desfavorable sobre la citada versión de diciembre de 2025, en atención a la convocatoria del Pleno de </w:t>
      </w:r>
      <w:r>
        <w:rPr>
          <w:b/>
        </w:rPr>
        <w:t>29 de diciembre de 2025</w:t>
      </w:r>
      <w: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9" w:hanging="10"/>
        <w:jc w:val="left"/>
      </w:pPr>
      <w:r>
        <w:rPr>
          <w:b/>
          <w:shd w:val="clear" w:color="auto" w:fill="C0C0C0"/>
        </w:rPr>
        <w:t>2.- OBJETO DE INFORME</w:t>
      </w:r>
      <w:r>
        <w:rPr>
          <w:b/>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            El present</w:t>
      </w:r>
      <w:r>
        <w:t>e informe tiene como objeto pronunciarse técnicamente respecto de la ORDE-</w:t>
      </w:r>
    </w:p>
    <w:p w:rsidR="00025683" w:rsidRDefault="007C2AAB">
      <w:pPr>
        <w:ind w:left="14" w:right="200"/>
      </w:pPr>
      <w:r>
        <w:t xml:space="preserve">NANZA REGULADORA DE LIMPIEZA DE LOS ESPACIOS PÚBLICOS, GESTIÓN DE RESIDUOS Y ECONOMÍA CIRCULAR DEL MUNICIPIO DE CANDELARIA, en su versión de diciembre de 2025  </w:t>
      </w:r>
    </w:p>
    <w:p w:rsidR="00025683" w:rsidRDefault="007C2AAB">
      <w:pPr>
        <w:spacing w:after="0" w:line="259" w:lineRule="auto"/>
        <w:ind w:left="14" w:firstLine="0"/>
        <w:jc w:val="left"/>
      </w:pPr>
      <w:r>
        <w:rPr>
          <w:b/>
        </w:rPr>
        <w:t xml:space="preserve"> </w:t>
      </w:r>
    </w:p>
    <w:p w:rsidR="00025683" w:rsidRDefault="007C2AAB">
      <w:pPr>
        <w:spacing w:after="0" w:line="259" w:lineRule="auto"/>
        <w:ind w:left="9" w:hanging="10"/>
        <w:jc w:val="left"/>
      </w:pPr>
      <w:r>
        <w:rPr>
          <w:b/>
          <w:shd w:val="clear" w:color="auto" w:fill="C0C0C0"/>
        </w:rPr>
        <w:t>3.- ALCANCE DEL IN</w:t>
      </w:r>
      <w:r>
        <w:rPr>
          <w:b/>
          <w:shd w:val="clear" w:color="auto" w:fill="C0C0C0"/>
        </w:rPr>
        <w:t>FORME Y LIMITACIÓN TEMPORAL</w:t>
      </w:r>
      <w:r>
        <w:rPr>
          <w:b/>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        El presente informe se emite en cumplimiento del requerimiento formulado, habiéndose procedido a la revisión de texto remitido, con un nivel de profundidad acorde con el plazo disponible.</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ind w:left="14" w:right="200"/>
      </w:pPr>
      <w:r>
        <w:t xml:space="preserve">        </w:t>
      </w:r>
      <w:r>
        <w:t>En este contexto, el alcance del análisis realizado se orienta a una valoración técnica de carácter general y operativo, centrada en la adecuación de la Ordenanza a la prestación actual del servicio, su compatibilidad con el contrato vigente y con el Plieg</w:t>
      </w:r>
      <w:r>
        <w:t xml:space="preserve">o de Prescripciones Técnicas Particulares (PPTP) que rige el contrato.  </w:t>
      </w:r>
    </w:p>
    <w:p w:rsidR="00025683" w:rsidRDefault="007C2AAB">
      <w:pPr>
        <w:spacing w:after="0" w:line="259" w:lineRule="auto"/>
        <w:ind w:left="14" w:firstLine="0"/>
        <w:jc w:val="left"/>
      </w:pPr>
      <w:r>
        <w:t xml:space="preserve"> </w:t>
      </w:r>
    </w:p>
    <w:p w:rsidR="00025683" w:rsidRDefault="007C2AAB">
      <w:pPr>
        <w:ind w:left="14" w:right="200"/>
      </w:pPr>
      <w:r>
        <w:t xml:space="preserve">        Todo ello sin perjuicio del informe técnico favorable que ya consta en el expediente, emitido por D. Javier González Gómez respecto de la versión de la Ordenanza de diciembr</w:t>
      </w:r>
      <w:r>
        <w:t xml:space="preserve">e de 2025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8864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12157" name="Group 41215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840" name="Rectangle 2284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2841" name="Rectangle 2284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842" name="Rectangle 2284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215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2157" style="width:18.7031pt;height:264.21pt;position:absolute;mso-position-horizontal-relative:page;mso-position-horizontal:absolute;margin-left:662.928pt;mso-position-vertical-relative:page;margin-top:508.71pt;" coordsize="2375,33554">
                <v:rect id="Rectangle 2284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284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84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215 de 350 </w:t>
                        </w:r>
                      </w:p>
                    </w:txbxContent>
                  </v:textbox>
                </v:rect>
                <w10:wrap type="square"/>
              </v:group>
            </w:pict>
          </mc:Fallback>
        </mc:AlternateContent>
      </w:r>
      <w:r>
        <w:rPr>
          <w:b/>
        </w:rPr>
        <w:t xml:space="preserve"> </w:t>
      </w:r>
    </w:p>
    <w:p w:rsidR="00025683" w:rsidRDefault="007C2AAB">
      <w:pPr>
        <w:spacing w:after="0" w:line="259" w:lineRule="auto"/>
        <w:ind w:left="9" w:hanging="10"/>
        <w:jc w:val="left"/>
      </w:pPr>
      <w:r>
        <w:rPr>
          <w:b/>
          <w:shd w:val="clear" w:color="auto" w:fill="C0C0C0"/>
        </w:rPr>
        <w:t>4.- CONSIDERACIONES TÉCNICAS</w:t>
      </w:r>
      <w:r>
        <w:rPr>
          <w:b/>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ind w:left="14" w:right="200"/>
      </w:pPr>
      <w:r>
        <w:t xml:space="preserve">         </w:t>
      </w:r>
      <w:r>
        <w:t xml:space="preserve">Dentro del alcance descrito y de la revisión efectuada, se realizan las siguientes consideraciones técnicas:  </w:t>
      </w:r>
    </w:p>
    <w:p w:rsidR="00025683" w:rsidRDefault="007C2AAB">
      <w:pPr>
        <w:spacing w:after="0" w:line="259" w:lineRule="auto"/>
        <w:ind w:left="14" w:firstLine="0"/>
        <w:jc w:val="left"/>
      </w:pPr>
      <w:r>
        <w:t xml:space="preserve"> </w:t>
      </w:r>
    </w:p>
    <w:p w:rsidR="00025683" w:rsidRDefault="007C2AAB">
      <w:pPr>
        <w:ind w:left="14" w:right="200"/>
      </w:pPr>
      <w:r>
        <w:t xml:space="preserve">         La versión de diciembre de 2025 configura un marco regulador que resulta aplicable al municipio y compatible operativamente con la pre</w:t>
      </w:r>
      <w:r>
        <w:t xml:space="preserve">stación actual del servicio, sin introducir obligaciones técnicas manifiestamente incompatibles con la capacidad real de ejecución del contrato vigente.  </w:t>
      </w:r>
    </w:p>
    <w:p w:rsidR="00025683" w:rsidRDefault="007C2AAB">
      <w:pPr>
        <w:spacing w:after="0" w:line="259" w:lineRule="auto"/>
        <w:ind w:left="14" w:firstLine="0"/>
        <w:jc w:val="left"/>
      </w:pPr>
      <w:r>
        <w:t xml:space="preserve"> </w:t>
      </w:r>
    </w:p>
    <w:p w:rsidR="00025683" w:rsidRDefault="007C2AAB">
      <w:pPr>
        <w:ind w:left="14" w:right="200"/>
      </w:pPr>
      <w:r>
        <w:t xml:space="preserve">         La ordenanza está alineada con la prestación actual del servicio, su compatibilidad con el</w:t>
      </w:r>
      <w:r>
        <w:t xml:space="preserve"> contrato vigente y con el PPTP que rige el contrato  </w:t>
      </w:r>
    </w:p>
    <w:p w:rsidR="00025683" w:rsidRDefault="007C2AAB">
      <w:pPr>
        <w:spacing w:after="0" w:line="259" w:lineRule="auto"/>
        <w:ind w:left="14" w:firstLine="0"/>
        <w:jc w:val="left"/>
      </w:pPr>
      <w:r>
        <w:t xml:space="preserve"> </w:t>
      </w:r>
    </w:p>
    <w:p w:rsidR="00025683" w:rsidRDefault="007C2AAB">
      <w:pPr>
        <w:ind w:left="14" w:right="200"/>
      </w:pPr>
      <w:r>
        <w:t xml:space="preserve">         No obstante lo anterior, se han detectado defectos de forma que deberán ser corregidos con carácter previo a la aprobación definitiva o, en su caso, antes de la publicación </w:t>
      </w:r>
      <w:r>
        <w:t xml:space="preserve">de la Ordenanza, a fin de garantizar la coherencia interna y la seguridad jurídica del texto normativo. En particular:  </w:t>
      </w:r>
    </w:p>
    <w:p w:rsidR="00025683" w:rsidRDefault="007C2AAB">
      <w:pPr>
        <w:spacing w:after="180" w:line="259" w:lineRule="auto"/>
        <w:ind w:left="14" w:firstLine="0"/>
        <w:jc w:val="left"/>
      </w:pPr>
      <w:r>
        <w:t xml:space="preserve"> </w:t>
      </w:r>
    </w:p>
    <w:p w:rsidR="00025683" w:rsidRDefault="007C2AAB">
      <w:pPr>
        <w:numPr>
          <w:ilvl w:val="0"/>
          <w:numId w:val="61"/>
        </w:numPr>
        <w:ind w:right="200" w:hanging="360"/>
      </w:pPr>
      <w:r>
        <w:rPr>
          <w:b/>
        </w:rPr>
        <w:t>Errores de numeración y estructura del articulado</w:t>
      </w:r>
      <w:r>
        <w:t>, con duplicidades y saltos en la numeración de determinados artículos (entre otros,</w:t>
      </w:r>
      <w:r>
        <w:t xml:space="preserve"> duplicidad de los artículos </w:t>
      </w:r>
      <w:r>
        <w:rPr>
          <w:b/>
        </w:rPr>
        <w:t>17, 18, 49, 83 y 92</w:t>
      </w:r>
      <w:r>
        <w:t xml:space="preserve">), así como incoherencias de rotulación en el bloque relativo al litoral, lo que exige la elaboración de una </w:t>
      </w:r>
      <w:r>
        <w:rPr>
          <w:b/>
        </w:rPr>
        <w:t>versión consolidada con numeración única y correlativa</w:t>
      </w:r>
      <w:r>
        <w:t>, incluyendo la corrección de la numeración d</w:t>
      </w:r>
      <w:r>
        <w:t xml:space="preserve">e los artículos </w:t>
      </w:r>
      <w:r>
        <w:rPr>
          <w:b/>
        </w:rPr>
        <w:t>27 y 33</w:t>
      </w:r>
      <w:r>
        <w:t xml:space="preserve">. </w:t>
      </w:r>
      <w:r>
        <w:rPr>
          <w:rFonts w:ascii="Times New Roman" w:eastAsia="Times New Roman" w:hAnsi="Times New Roman" w:cs="Times New Roman"/>
          <w:sz w:val="24"/>
        </w:rPr>
        <w:t xml:space="preserve"> </w:t>
      </w:r>
    </w:p>
    <w:p w:rsidR="00025683" w:rsidRDefault="007C2AAB">
      <w:pPr>
        <w:numPr>
          <w:ilvl w:val="0"/>
          <w:numId w:val="61"/>
        </w:numPr>
        <w:spacing w:after="178"/>
        <w:ind w:right="200" w:hanging="360"/>
      </w:pPr>
      <w:r>
        <w:rPr>
          <w:b/>
        </w:rPr>
        <w:t>Remisiones internas incorrectas</w:t>
      </w:r>
      <w:r>
        <w:t>, derivadas de las incoherencias de numeración, con referencias a artículos que no se corresponden con su contenido real, debiendo revisarse y corregirse la totalidad de las remisiones cruzadas tras</w:t>
      </w:r>
      <w:r>
        <w:t xml:space="preserve"> la consolidación del articulado. En particular, la remisión del </w:t>
      </w:r>
      <w:r>
        <w:rPr>
          <w:b/>
        </w:rPr>
        <w:t xml:space="preserve">art. 46.4 </w:t>
      </w:r>
      <w:r>
        <w:t xml:space="preserve">al “art. 50” para la fracción vidrio no se corresponde con la numeración rea </w:t>
      </w:r>
      <w:r>
        <w:rPr>
          <w:rFonts w:ascii="Times New Roman" w:eastAsia="Times New Roman" w:hAnsi="Times New Roman" w:cs="Times New Roman"/>
          <w:sz w:val="24"/>
        </w:rPr>
        <w:t xml:space="preserve"> </w:t>
      </w:r>
    </w:p>
    <w:p w:rsidR="00025683" w:rsidRDefault="007C2AAB">
      <w:pPr>
        <w:numPr>
          <w:ilvl w:val="0"/>
          <w:numId w:val="61"/>
        </w:numPr>
        <w:ind w:right="200" w:hanging="360"/>
      </w:pPr>
      <w:r>
        <w:t xml:space="preserve">Existencia de una </w:t>
      </w:r>
      <w:r>
        <w:rPr>
          <w:b/>
        </w:rPr>
        <w:t xml:space="preserve">referencia normativa incompleta </w:t>
      </w:r>
      <w:r>
        <w:t xml:space="preserve">mediante la expresión </w:t>
      </w:r>
      <w:r>
        <w:rPr>
          <w:b/>
        </w:rPr>
        <w:t>“artículo XX</w:t>
      </w:r>
      <w:r>
        <w:t>” en el apartado r</w:t>
      </w:r>
      <w:r>
        <w:t xml:space="preserve">elativo a residuos sanitarios.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9" w:hanging="10"/>
        <w:jc w:val="left"/>
      </w:pPr>
      <w:r>
        <w:rPr>
          <w:b/>
          <w:shd w:val="clear" w:color="auto" w:fill="C0C0C0"/>
        </w:rPr>
        <w:t>5.- CONCLUSIÓN</w:t>
      </w:r>
      <w:r>
        <w:rPr>
          <w:b/>
        </w:rPr>
        <w:t xml:space="preserve"> </w:t>
      </w:r>
      <w:r>
        <w:t xml:space="preserve">     </w:t>
      </w:r>
      <w:r>
        <w:rPr>
          <w:rFonts w:ascii="Times New Roman" w:eastAsia="Times New Roman" w:hAnsi="Times New Roman" w:cs="Times New Roman"/>
          <w:sz w:val="24"/>
        </w:rPr>
        <w:t xml:space="preserve"> </w:t>
      </w:r>
    </w:p>
    <w:p w:rsidR="00025683" w:rsidRDefault="007C2AAB">
      <w:pPr>
        <w:ind w:left="14" w:right="200"/>
      </w:pPr>
      <w:r>
        <w:t xml:space="preserve">           En base a la revisión efectuada, dentro del alcance indicado, el técnico que suscribe I</w:t>
      </w:r>
      <w:r>
        <w:rPr>
          <w:b/>
        </w:rPr>
        <w:t xml:space="preserve">NFORMA FAVORABLEMENTE </w:t>
      </w:r>
      <w:r>
        <w:t>la Ordenanza reguladora de la limpieza de los espacios públicos, gestión de r</w:t>
      </w:r>
      <w:r>
        <w:t xml:space="preserve">esiduos y economía circular del municipio de Candelaria, en su versión de diciembre de 2025, condicionado a la subsanación de las deficiencias formales señaladas en el apartado anterior, con carácter previo a su aprobación definitiva o publicación.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12"/>
        <w:ind w:left="14" w:right="197" w:firstLine="708"/>
      </w:pPr>
      <w:r>
        <w:rPr>
          <w:b/>
        </w:rPr>
        <w:t>D</w:t>
      </w:r>
      <w:r>
        <w:rPr>
          <w:b/>
        </w:rPr>
        <w:t>ICTAMEN FAVORABLE DE 22 DE DICIEMBRE DE LA COMISIÓN INFORMATIVA DE P. y G. URBANÍSTICA Y AMBIENTAL, OBRAS Y SERVICIOS PÚBLICOS.</w:t>
      </w:r>
      <w:r>
        <w:rPr>
          <w:rFonts w:ascii="Times New Roman" w:eastAsia="Times New Roman" w:hAnsi="Times New Roman" w:cs="Times New Roman"/>
          <w:sz w:val="24"/>
        </w:rPr>
        <w:t xml:space="preserve"> </w:t>
      </w:r>
    </w:p>
    <w:p w:rsidR="00025683" w:rsidRDefault="007C2AAB">
      <w:pPr>
        <w:spacing w:after="0" w:line="259" w:lineRule="auto"/>
        <w:ind w:left="722" w:firstLine="0"/>
        <w:jc w:val="left"/>
      </w:pPr>
      <w:r>
        <w:rPr>
          <w:b/>
        </w:rPr>
        <w:t xml:space="preserve"> </w:t>
      </w:r>
    </w:p>
    <w:p w:rsidR="00025683" w:rsidRDefault="007C2AAB">
      <w:pPr>
        <w:spacing w:after="12"/>
        <w:ind w:left="14" w:right="197" w:firstLine="708"/>
      </w:pPr>
      <w:r>
        <w:rPr>
          <w:b/>
        </w:rPr>
        <w:t xml:space="preserve">Previa ratificación de la urgencia por 6 votos a favor y una abstención de la concejal del Grupo Mixto (USP), Doña Violeta López Jiménez, se pasó al debate y votación del fondo del asunto con el resultado siguiente: </w:t>
      </w:r>
    </w:p>
    <w:p w:rsidR="00025683" w:rsidRDefault="007C2AAB">
      <w:pPr>
        <w:spacing w:after="0" w:line="259" w:lineRule="auto"/>
        <w:ind w:left="14" w:firstLine="0"/>
        <w:jc w:val="left"/>
      </w:pPr>
      <w:r>
        <w:rPr>
          <w:rFonts w:ascii="Calibri" w:eastAsia="Calibri" w:hAnsi="Calibri" w:cs="Calibri"/>
          <w:noProof/>
        </w:rPr>
        <mc:AlternateContent>
          <mc:Choice Requires="wpg">
            <w:drawing>
              <wp:anchor distT="0" distB="0" distL="114300" distR="114300" simplePos="0" relativeHeight="25188966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412464" name="Group 4124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977" name="Rectangle 2297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Validación: 3J3KYNW3CJM74AZ6SEH</w:t>
                              </w:r>
                              <w:r>
                                <w:rPr>
                                  <w:sz w:val="12"/>
                                </w:rPr>
                                <w:t xml:space="preserve">NT4KKY </w:t>
                              </w:r>
                            </w:p>
                          </w:txbxContent>
                        </wps:txbx>
                        <wps:bodyPr horzOverflow="overflow" vert="horz" lIns="0" tIns="0" rIns="0" bIns="0" rtlCol="0">
                          <a:noAutofit/>
                        </wps:bodyPr>
                      </wps:wsp>
                      <wps:wsp>
                        <wps:cNvPr id="22978" name="Rectangle 2297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2979" name="Rectangle 2297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216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2464" style="width:18.7031pt;height:264.21pt;position:absolute;mso-position-horizontal-relative:page;mso-position-horizontal:absolute;margin-left:662.928pt;mso-position-vertical-relative:page;margin-top:508.71pt;" coordsize="2375,33554">
                <v:rect id="Rectangle 2297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297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297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216 de 350 </w:t>
                        </w:r>
                      </w:p>
                    </w:txbxContent>
                  </v:textbox>
                </v:rect>
                <w10:wrap type="square"/>
              </v:group>
            </w:pict>
          </mc:Fallback>
        </mc:AlternateContent>
      </w:r>
      <w:r>
        <w:rPr>
          <w:b/>
        </w:rPr>
        <w:t xml:space="preserve"> </w:t>
      </w:r>
    </w:p>
    <w:p w:rsidR="00025683" w:rsidRDefault="007C2AAB">
      <w:pPr>
        <w:ind w:left="722" w:right="200"/>
      </w:pPr>
      <w:r>
        <w:t xml:space="preserve">Votos a favor: 4. </w:t>
      </w:r>
    </w:p>
    <w:p w:rsidR="00025683" w:rsidRDefault="007C2AAB">
      <w:pPr>
        <w:ind w:left="14" w:right="200" w:firstLine="708"/>
      </w:pPr>
      <w:r>
        <w:t>4 concejales del Grupo Socialista, Don Reinaldo José Triviño Blanco, Don Ai</w:t>
      </w:r>
      <w:r>
        <w:t xml:space="preserve">ram Pérez Chinea, Doña Margarita Eva Tendero Barroso y Doña María del Carmen Clemente Díaz. </w:t>
      </w:r>
    </w:p>
    <w:p w:rsidR="00025683" w:rsidRDefault="007C2AAB">
      <w:pPr>
        <w:spacing w:after="0" w:line="259" w:lineRule="auto"/>
        <w:ind w:left="14" w:firstLine="0"/>
        <w:jc w:val="left"/>
      </w:pPr>
      <w:r>
        <w:t xml:space="preserve"> </w:t>
      </w:r>
    </w:p>
    <w:p w:rsidR="00025683" w:rsidRDefault="007C2AAB">
      <w:pPr>
        <w:ind w:left="722" w:right="200"/>
      </w:pPr>
      <w:r>
        <w:t xml:space="preserve">Votos en contra: 0. </w:t>
      </w:r>
    </w:p>
    <w:p w:rsidR="00025683" w:rsidRDefault="007C2AAB">
      <w:pPr>
        <w:ind w:left="722" w:right="200"/>
      </w:pPr>
      <w:r>
        <w:t xml:space="preserve">Abstenciones: 3. </w:t>
      </w:r>
    </w:p>
    <w:p w:rsidR="00025683" w:rsidRDefault="007C2AAB">
      <w:pPr>
        <w:spacing w:after="0" w:line="259" w:lineRule="auto"/>
        <w:ind w:left="722" w:firstLine="0"/>
        <w:jc w:val="left"/>
      </w:pPr>
      <w:r>
        <w:t xml:space="preserve"> </w:t>
      </w:r>
    </w:p>
    <w:p w:rsidR="00025683" w:rsidRDefault="007C2AAB">
      <w:pPr>
        <w:ind w:left="14" w:right="200" w:firstLine="708"/>
      </w:pPr>
      <w:r>
        <w:t xml:space="preserve">2 de los concejales del Grupo Popular, Don Jacobo López Fariña y Doña Sheila Castellano Batista.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(USP), Doña Violeta López Jiménez.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12"/>
        <w:ind w:left="722" w:right="2172"/>
      </w:pPr>
      <w:r>
        <w:rPr>
          <w:b/>
        </w:rPr>
        <w:t xml:space="preserve">JUNTA DE PORTAVOCES DE 22 DE DICIEMBRE DE 2025. </w:t>
      </w:r>
      <w:r>
        <w:t xml:space="preserve">Quedó oída. </w:t>
      </w:r>
    </w:p>
    <w:p w:rsidR="00025683" w:rsidRDefault="007C2AAB">
      <w:pPr>
        <w:spacing w:after="0" w:line="259" w:lineRule="auto"/>
        <w:ind w:left="14" w:firstLine="0"/>
        <w:jc w:val="left"/>
      </w:pPr>
      <w:r>
        <w:t xml:space="preserve">  </w:t>
      </w:r>
    </w:p>
    <w:p w:rsidR="00025683" w:rsidRDefault="007C2AAB">
      <w:pPr>
        <w:spacing w:after="0" w:line="259" w:lineRule="auto"/>
        <w:ind w:left="722" w:firstLine="0"/>
        <w:jc w:val="left"/>
      </w:pPr>
      <w:r>
        <w:rPr>
          <w:b/>
        </w:rPr>
        <w:t xml:space="preserve"> </w:t>
      </w:r>
    </w:p>
    <w:p w:rsidR="00025683" w:rsidRDefault="007C2AAB">
      <w:pPr>
        <w:spacing w:after="12"/>
        <w:ind w:left="722" w:right="197"/>
      </w:pPr>
      <w:r>
        <w:rPr>
          <w:b/>
        </w:rPr>
        <w:t xml:space="preserve">VOTACIÓN EN EL PLENO DE 29 DE DICIEMBRE DE 2025. </w:t>
      </w:r>
    </w:p>
    <w:p w:rsidR="00025683" w:rsidRDefault="007C2AAB">
      <w:pPr>
        <w:spacing w:after="0" w:line="259" w:lineRule="auto"/>
        <w:ind w:left="14" w:firstLine="0"/>
        <w:jc w:val="left"/>
      </w:pPr>
      <w:r>
        <w:rPr>
          <w:b/>
        </w:rPr>
        <w:t xml:space="preserve"> </w:t>
      </w:r>
    </w:p>
    <w:p w:rsidR="00025683" w:rsidRDefault="007C2AAB">
      <w:pPr>
        <w:ind w:left="722" w:right="200"/>
      </w:pPr>
      <w:r>
        <w:t xml:space="preserve">Votos a favor: La unanimidad de los 19 concejales presentes: </w:t>
      </w:r>
    </w:p>
    <w:p w:rsidR="00025683" w:rsidRDefault="007C2AAB">
      <w:pPr>
        <w:spacing w:after="0" w:line="259" w:lineRule="auto"/>
        <w:ind w:left="722" w:firstLine="0"/>
        <w:jc w:val="left"/>
      </w:pPr>
      <w:r>
        <w:t xml:space="preserve"> </w:t>
      </w:r>
    </w:p>
    <w:p w:rsidR="00025683" w:rsidRDefault="007C2AAB">
      <w:pPr>
        <w:ind w:left="722" w:right="200"/>
      </w:pPr>
      <w:r>
        <w:t>1</w:t>
      </w:r>
      <w:r>
        <w:t xml:space="preserve">1 concejales del Grupo Socialista: Dª. María Concepción Brito Núñez, D. Jorge Baute </w:t>
      </w:r>
    </w:p>
    <w:p w:rsidR="00025683" w:rsidRDefault="007C2AAB">
      <w:pPr>
        <w:ind w:left="14" w:right="200"/>
      </w:pPr>
      <w:r>
        <w:t>Delgado, D. José Francisco Pinto Ramos, Dª. Olivia Concepción Pérez, D. Reinaldo José Triviño Blanco, D. Manuel Alberto González Pestano, Dª. Margarita Eva Tendero Barroso</w:t>
      </w:r>
      <w:r>
        <w:t xml:space="preserve">, D. Airam Pérez Chinea, Dª. María del Carmen Clemente Díaz, D. Olegario Francisco Alonso Bello, Dª. Mónica Monserrat Yanes Delgado.  </w:t>
      </w:r>
    </w:p>
    <w:p w:rsidR="00025683" w:rsidRDefault="007C2AAB">
      <w:pPr>
        <w:spacing w:after="0" w:line="259" w:lineRule="auto"/>
        <w:ind w:left="14" w:firstLine="0"/>
        <w:jc w:val="left"/>
      </w:pPr>
      <w:r>
        <w:t xml:space="preserve"> </w:t>
      </w:r>
    </w:p>
    <w:p w:rsidR="00025683" w:rsidRDefault="007C2AAB">
      <w:pPr>
        <w:ind w:left="14" w:right="200" w:firstLine="708"/>
      </w:pPr>
      <w:r>
        <w:t>5 concejales del Grupo Popular: D. Jacobo López Fariña, D. Miguel Eduardo Hernández Chitty, Dª. Raquel Martín Castro, D</w:t>
      </w:r>
      <w:r>
        <w:t xml:space="preserve">ª. María Carlota Díaz González y D. José Daniel Sosa González.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(CC), Doña Ángela Cruz Perera. </w:t>
      </w:r>
    </w:p>
    <w:p w:rsidR="00025683" w:rsidRDefault="007C2AAB">
      <w:pPr>
        <w:spacing w:after="0" w:line="259" w:lineRule="auto"/>
        <w:ind w:left="14" w:firstLine="0"/>
        <w:jc w:val="left"/>
      </w:pPr>
      <w:r>
        <w:t xml:space="preserve"> </w:t>
      </w:r>
    </w:p>
    <w:p w:rsidR="00025683" w:rsidRDefault="007C2AAB">
      <w:pPr>
        <w:ind w:left="722" w:right="200"/>
      </w:pPr>
      <w:r>
        <w:t xml:space="preserve">1 de la concejal del Grupo Mixto (USP), Dª. Violeta López Jiménez. </w:t>
      </w:r>
    </w:p>
    <w:p w:rsidR="00025683" w:rsidRDefault="007C2AAB">
      <w:pPr>
        <w:spacing w:after="0" w:line="259" w:lineRule="auto"/>
        <w:ind w:left="722" w:firstLine="0"/>
        <w:jc w:val="left"/>
      </w:pPr>
      <w:r>
        <w:t xml:space="preserve"> </w:t>
      </w:r>
    </w:p>
    <w:p w:rsidR="00025683" w:rsidRDefault="007C2AAB">
      <w:pPr>
        <w:ind w:left="722" w:right="200"/>
      </w:pPr>
      <w:r>
        <w:t xml:space="preserve">1 del concejal del Grupo Mixto (Vox), D. José Tortosa Pallarés. </w:t>
      </w:r>
    </w:p>
    <w:p w:rsidR="00025683" w:rsidRDefault="007C2AAB">
      <w:pPr>
        <w:spacing w:after="0" w:line="259" w:lineRule="auto"/>
        <w:ind w:left="722" w:firstLine="0"/>
        <w:jc w:val="left"/>
      </w:pPr>
      <w:r>
        <w:rPr>
          <w:color w:val="FFFFFF"/>
        </w:rPr>
        <w:t xml:space="preserve"> </w:t>
      </w:r>
    </w:p>
    <w:p w:rsidR="00025683" w:rsidRDefault="007C2AAB">
      <w:pPr>
        <w:spacing w:after="0" w:line="259" w:lineRule="auto"/>
        <w:ind w:left="722" w:firstLine="0"/>
        <w:jc w:val="left"/>
      </w:pPr>
      <w:r>
        <w:rPr>
          <w:color w:val="FFFFFF"/>
        </w:rPr>
        <w:t xml:space="preserve"> </w:t>
      </w:r>
    </w:p>
    <w:p w:rsidR="00025683" w:rsidRDefault="007C2AAB">
      <w:pPr>
        <w:tabs>
          <w:tab w:val="center" w:pos="5008"/>
        </w:tabs>
        <w:spacing w:after="12"/>
        <w:ind w:left="0" w:firstLine="0"/>
        <w:jc w:val="left"/>
      </w:pPr>
      <w:r>
        <w:rPr>
          <w:b/>
        </w:rPr>
        <w:t xml:space="preserve">                          </w:t>
      </w:r>
      <w:r>
        <w:rPr>
          <w:b/>
        </w:rPr>
        <w:tab/>
        <w:t xml:space="preserve">ACUERDO DEL PLENO DE 29 DE DICIEMBRE DE 2025.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rFonts w:ascii="Calibri" w:eastAsia="Calibri" w:hAnsi="Calibri" w:cs="Calibri"/>
          <w:noProof/>
        </w:rPr>
        <mc:AlternateContent>
          <mc:Choice Requires="wpg">
            <w:drawing>
              <wp:anchor distT="0" distB="0" distL="114300" distR="114300" simplePos="0" relativeHeight="251890688"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12380" name="Group 4123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078" name="Rectangle 2307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3079" name="Rectangle 2307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080" name="Rectangle 2308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217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2380" style="width:18.7031pt;height:264.21pt;position:absolute;mso-position-horizontal-relative:page;mso-position-horizontal:absolute;margin-left:662.928pt;mso-position-vertical-relative:page;margin-top:508.71pt;" coordsize="2375,33554">
                <v:rect id="Rectangle 2307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307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08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217 de 350 </w:t>
                        </w:r>
                      </w:p>
                    </w:txbxContent>
                  </v:textbox>
                </v:rect>
                <w10:wrap type="topAndBottom"/>
              </v:group>
            </w:pict>
          </mc:Fallback>
        </mc:AlternateContent>
      </w:r>
      <w:r>
        <w:rPr>
          <w:b/>
        </w:rPr>
        <w:t xml:space="preserve">       PRIMERO: Aprobación inicial de la Ordenanza Reguladora de Limpieza de los Espacios Públicos, Gestión de Residuos y Economía Circular del Municipio de Cand</w:t>
      </w:r>
      <w:r>
        <w:rPr>
          <w:b/>
        </w:rPr>
        <w:t>elaria que se incluye como anexo.</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w:t>
      </w:r>
      <w:r>
        <w:rPr>
          <w:b/>
        </w:rPr>
        <w:t>SEGUNDO: Someter esta Ordenanza a información pública y audiencia de los interesados, con publicación en el Boletín Oficial de la Provincia y tablón de anuncios del Ayuntamiento, por el plazo de treinta días hábiles, para que puedan presentar reclamaciones</w:t>
      </w:r>
      <w:r>
        <w:rPr>
          <w:b/>
        </w:rPr>
        <w:t xml:space="preserve"> o sugerencias, que serán resueltas por el Pleno de la Corporación</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12"/>
        <w:ind w:left="14" w:right="197"/>
      </w:pPr>
      <w:r>
        <w:rPr>
          <w:b/>
        </w:rPr>
        <w:t xml:space="preserve">       TERCERO: Dar traslado del acuerdo plenario a la Concejalía de Hacienda para que se realicen los trámites necesarios.</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r>
        <w:rPr>
          <w:rFonts w:ascii="Times New Roman" w:eastAsia="Times New Roman" w:hAnsi="Times New Roman" w:cs="Times New Roman"/>
          <w:sz w:val="24"/>
        </w:rPr>
        <w:t xml:space="preserve"> </w:t>
      </w:r>
    </w:p>
    <w:p w:rsidR="00025683" w:rsidRDefault="007C2AAB">
      <w:pPr>
        <w:spacing w:after="0" w:line="259" w:lineRule="auto"/>
        <w:ind w:left="14" w:firstLine="0"/>
        <w:jc w:val="left"/>
      </w:pPr>
      <w:r>
        <w:rPr>
          <w:b/>
        </w:rPr>
        <w:t xml:space="preserve">  </w:t>
      </w:r>
    </w:p>
    <w:p w:rsidR="00025683" w:rsidRDefault="007C2AAB">
      <w:pPr>
        <w:spacing w:after="0" w:line="259" w:lineRule="auto"/>
        <w:ind w:left="722" w:firstLine="0"/>
        <w:jc w:val="left"/>
      </w:pPr>
      <w:r>
        <w:rPr>
          <w:b/>
        </w:rP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0" w:line="259" w:lineRule="auto"/>
        <w:ind w:left="14" w:firstLine="0"/>
        <w:jc w:val="left"/>
      </w:pPr>
      <w:r>
        <w:t xml:space="preserve"> </w:t>
      </w:r>
    </w:p>
    <w:p w:rsidR="00025683" w:rsidRDefault="007C2AAB">
      <w:pPr>
        <w:spacing w:after="105" w:line="259" w:lineRule="auto"/>
        <w:ind w:left="14" w:firstLine="0"/>
        <w:jc w:val="left"/>
      </w:pPr>
      <w:r>
        <w:rPr>
          <w:b/>
        </w:rPr>
        <w:t xml:space="preserve"> </w:t>
      </w:r>
    </w:p>
    <w:p w:rsidR="00025683" w:rsidRDefault="007C2AAB">
      <w:pPr>
        <w:spacing w:after="107" w:line="259" w:lineRule="auto"/>
        <w:ind w:left="14" w:firstLine="0"/>
        <w:jc w:val="left"/>
      </w:pPr>
      <w:r>
        <w:rPr>
          <w:b/>
        </w:rPr>
        <w:t xml:space="preserve"> </w:t>
      </w:r>
    </w:p>
    <w:p w:rsidR="00025683" w:rsidRDefault="007C2AAB">
      <w:pPr>
        <w:spacing w:after="105" w:line="259" w:lineRule="auto"/>
        <w:ind w:left="14" w:firstLine="0"/>
        <w:jc w:val="left"/>
      </w:pPr>
      <w:r>
        <w:rPr>
          <w:b/>
        </w:rPr>
        <w:t xml:space="preserve"> </w:t>
      </w:r>
    </w:p>
    <w:p w:rsidR="00025683" w:rsidRDefault="007C2AAB">
      <w:pPr>
        <w:spacing w:after="107" w:line="259" w:lineRule="auto"/>
        <w:ind w:left="14" w:firstLine="0"/>
        <w:jc w:val="left"/>
      </w:pPr>
      <w:r>
        <w:rPr>
          <w:b/>
        </w:rPr>
        <w:t xml:space="preserve"> </w:t>
      </w:r>
    </w:p>
    <w:p w:rsidR="00025683" w:rsidRDefault="007C2AAB">
      <w:pPr>
        <w:spacing w:after="214" w:line="349" w:lineRule="auto"/>
        <w:ind w:left="14" w:right="419"/>
      </w:pPr>
      <w:r>
        <w:rPr>
          <w:rFonts w:ascii="Calibri" w:eastAsia="Calibri" w:hAnsi="Calibri" w:cs="Calibri"/>
          <w:noProof/>
        </w:rPr>
        <mc:AlternateContent>
          <mc:Choice Requires="wpg">
            <w:drawing>
              <wp:anchor distT="0" distB="0" distL="114300" distR="114300" simplePos="0" relativeHeight="251891712" behindDoc="0" locked="0" layoutInCell="1" allowOverlap="1">
                <wp:simplePos x="0" y="0"/>
                <wp:positionH relativeFrom="page">
                  <wp:posOffset>8419190</wp:posOffset>
                </wp:positionH>
                <wp:positionV relativeFrom="page">
                  <wp:posOffset>6460617</wp:posOffset>
                </wp:positionV>
                <wp:extent cx="237530" cy="3355467"/>
                <wp:effectExtent l="0" t="0" r="0" b="0"/>
                <wp:wrapTopAndBottom/>
                <wp:docPr id="412253" name="Group 4122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157" name="Rectangle 2315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3158" name="Rectangle 2315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159" name="Rectangle 2315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218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2253" style="width:18.7031pt;height:264.21pt;position:absolute;mso-position-horizontal-relative:page;mso-position-horizontal:absolute;margin-left:662.928pt;mso-position-vertical-relative:page;margin-top:508.71pt;" coordsize="2375,33554">
                <v:rect id="Rectangle 2315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315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15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218 de 350 </w:t>
                        </w:r>
                      </w:p>
                    </w:txbxContent>
                  </v:textbox>
                </v:rect>
                <w10:wrap type="topAndBottom"/>
              </v:group>
            </w:pict>
          </mc:Fallback>
        </mc:AlternateContent>
      </w:r>
      <w:r>
        <w:rPr>
          <w:b/>
        </w:rPr>
        <w:t>PROPUESTA DE ORDENANZA REGULADORA DE LIMPIEZA DE LOS ESPACIO</w:t>
      </w:r>
      <w:r>
        <w:rPr>
          <w:b/>
        </w:rPr>
        <w:t>S PÚBLICOS, GESTIÓN DE RESIDUOS Y ECONOMÍA CIRCULAR DEL MUNICIPIO DE CANDELARIA</w:t>
      </w:r>
      <w:r>
        <w:rPr>
          <w:rFonts w:ascii="Times New Roman" w:eastAsia="Times New Roman" w:hAnsi="Times New Roman" w:cs="Times New Roman"/>
          <w:sz w:val="24"/>
        </w:rPr>
        <w:t xml:space="preserve"> </w:t>
      </w:r>
    </w:p>
    <w:p w:rsidR="00025683" w:rsidRDefault="007C2AAB">
      <w:pPr>
        <w:spacing w:after="114" w:line="259" w:lineRule="auto"/>
        <w:ind w:left="14" w:firstLine="0"/>
        <w:jc w:val="left"/>
      </w:pPr>
      <w:r>
        <w:rPr>
          <w:b/>
        </w:rPr>
        <w:t xml:space="preserve"> </w:t>
      </w:r>
    </w:p>
    <w:p w:rsidR="00025683" w:rsidRDefault="007C2AAB">
      <w:pPr>
        <w:spacing w:after="194" w:line="259" w:lineRule="auto"/>
        <w:ind w:left="10" w:right="289" w:hanging="10"/>
        <w:jc w:val="center"/>
      </w:pPr>
      <w:r>
        <w:rPr>
          <w:color w:val="404040"/>
        </w:rPr>
        <w:t xml:space="preserve">Excmo. Ayuntamiento de Candelaria </w:t>
      </w:r>
      <w:r>
        <w:rPr>
          <w:rFonts w:ascii="Times New Roman" w:eastAsia="Times New Roman" w:hAnsi="Times New Roman" w:cs="Times New Roman"/>
          <w:sz w:val="24"/>
        </w:rPr>
        <w:t xml:space="preserve"> </w:t>
      </w:r>
    </w:p>
    <w:p w:rsidR="00025683" w:rsidRDefault="007C2AAB">
      <w:pPr>
        <w:spacing w:after="194" w:line="259" w:lineRule="auto"/>
        <w:ind w:left="10" w:right="1110" w:hanging="10"/>
        <w:jc w:val="center"/>
      </w:pPr>
      <w:r>
        <w:rPr>
          <w:color w:val="404040"/>
        </w:rPr>
        <w:t xml:space="preserve">                 Diciembre, 2025.</w:t>
      </w:r>
      <w:r>
        <w:rPr>
          <w:rFonts w:ascii="Times New Roman" w:eastAsia="Times New Roman" w:hAnsi="Times New Roman" w:cs="Times New Roman"/>
          <w:sz w:val="24"/>
        </w:rPr>
        <w:t xml:space="preserve"> </w:t>
      </w:r>
    </w:p>
    <w:p w:rsidR="00025683" w:rsidRDefault="00025683">
      <w:pPr>
        <w:sectPr w:rsidR="00025683">
          <w:headerReference w:type="even" r:id="rId96"/>
          <w:headerReference w:type="default" r:id="rId97"/>
          <w:footerReference w:type="even" r:id="rId98"/>
          <w:footerReference w:type="default" r:id="rId99"/>
          <w:headerReference w:type="first" r:id="rId100"/>
          <w:footerReference w:type="first" r:id="rId101"/>
          <w:pgSz w:w="14174" w:h="16838"/>
          <w:pgMar w:top="841" w:right="2059" w:bottom="572" w:left="2536" w:header="720" w:footer="543" w:gutter="0"/>
          <w:cols w:space="720"/>
          <w:titlePg/>
        </w:sectPr>
      </w:pPr>
    </w:p>
    <w:p w:rsidR="00025683" w:rsidRDefault="007C2AAB">
      <w:pPr>
        <w:spacing w:after="368"/>
        <w:ind w:left="0" w:right="197"/>
      </w:pPr>
      <w:r>
        <w:rPr>
          <w:b/>
        </w:rPr>
        <w:t>ÍNDICE</w:t>
      </w:r>
      <w:r>
        <w:rPr>
          <w:rFonts w:ascii="Times New Roman" w:eastAsia="Times New Roman" w:hAnsi="Times New Roman" w:cs="Times New Roman"/>
          <w:sz w:val="24"/>
        </w:rPr>
        <w:t xml:space="preserve"> </w:t>
      </w:r>
    </w:p>
    <w:p w:rsidR="00025683" w:rsidRDefault="007C2AAB">
      <w:pPr>
        <w:spacing w:after="323"/>
        <w:ind w:left="14" w:right="200"/>
      </w:pPr>
      <w:r>
        <w:t>SUMARIO. .....................................................................................</w:t>
      </w:r>
      <w:r>
        <w:t>......................................... 8</w:t>
      </w:r>
      <w:r>
        <w:rPr>
          <w:rFonts w:ascii="Times New Roman" w:eastAsia="Times New Roman" w:hAnsi="Times New Roman" w:cs="Times New Roman"/>
          <w:sz w:val="24"/>
        </w:rPr>
        <w:t xml:space="preserve"> </w:t>
      </w:r>
    </w:p>
    <w:p w:rsidR="00025683" w:rsidRDefault="007C2AAB">
      <w:pPr>
        <w:spacing w:after="323"/>
        <w:ind w:left="14" w:right="200"/>
      </w:pPr>
      <w:r>
        <w:t>ANEXO ................................................................................................................................ 10</w:t>
      </w:r>
      <w:r>
        <w:rPr>
          <w:rFonts w:ascii="Times New Roman" w:eastAsia="Times New Roman" w:hAnsi="Times New Roman" w:cs="Times New Roman"/>
          <w:sz w:val="24"/>
        </w:rPr>
        <w:t xml:space="preserve"> </w:t>
      </w:r>
    </w:p>
    <w:p w:rsidR="00025683" w:rsidRDefault="007C2AAB">
      <w:pPr>
        <w:spacing w:after="323"/>
        <w:ind w:left="14" w:right="200"/>
      </w:pPr>
      <w:r>
        <w:t>PREÁMBULO I. ...........................................................</w:t>
      </w:r>
      <w:r>
        <w:t>......................................................... 10</w:t>
      </w:r>
      <w:r>
        <w:rPr>
          <w:rFonts w:ascii="Times New Roman" w:eastAsia="Times New Roman" w:hAnsi="Times New Roman" w:cs="Times New Roman"/>
          <w:sz w:val="24"/>
        </w:rPr>
        <w:t xml:space="preserve"> </w:t>
      </w:r>
    </w:p>
    <w:p w:rsidR="00025683" w:rsidRDefault="007C2AAB">
      <w:pPr>
        <w:spacing w:after="323"/>
        <w:ind w:left="14" w:right="200"/>
      </w:pPr>
      <w:r>
        <w:t>PREÁMBULO II. ................................................................................................................... 12</w:t>
      </w:r>
      <w:r>
        <w:rPr>
          <w:rFonts w:ascii="Times New Roman" w:eastAsia="Times New Roman" w:hAnsi="Times New Roman" w:cs="Times New Roman"/>
          <w:sz w:val="24"/>
        </w:rPr>
        <w:t xml:space="preserve"> </w:t>
      </w:r>
    </w:p>
    <w:p w:rsidR="00025683" w:rsidRDefault="007C2AAB">
      <w:pPr>
        <w:spacing w:after="323"/>
        <w:ind w:left="14" w:right="200"/>
      </w:pPr>
      <w:r>
        <w:t>PREÁMBULO III. .............................................</w:t>
      </w:r>
      <w:r>
        <w:t>..................................................................... 12</w:t>
      </w:r>
      <w:r>
        <w:rPr>
          <w:rFonts w:ascii="Times New Roman" w:eastAsia="Times New Roman" w:hAnsi="Times New Roman" w:cs="Times New Roman"/>
          <w:sz w:val="24"/>
        </w:rPr>
        <w:t xml:space="preserve"> </w:t>
      </w:r>
    </w:p>
    <w:p w:rsidR="00025683" w:rsidRDefault="007C2AAB">
      <w:pPr>
        <w:spacing w:after="325"/>
        <w:ind w:left="14" w:right="200"/>
      </w:pPr>
      <w:r>
        <w:t>PREÁMBULO IV ................................................................................................................... 13</w:t>
      </w:r>
      <w:r>
        <w:rPr>
          <w:rFonts w:ascii="Times New Roman" w:eastAsia="Times New Roman" w:hAnsi="Times New Roman" w:cs="Times New Roman"/>
          <w:sz w:val="24"/>
        </w:rPr>
        <w:t xml:space="preserve"> </w:t>
      </w:r>
    </w:p>
    <w:p w:rsidR="00025683" w:rsidRDefault="007C2AAB">
      <w:pPr>
        <w:spacing w:after="325"/>
        <w:ind w:left="14" w:right="200"/>
      </w:pPr>
      <w:r>
        <w:t>PREÁMBULO V .....................................</w:t>
      </w:r>
      <w:r>
        <w:t>............................................................................... 14</w:t>
      </w:r>
      <w:r>
        <w:rPr>
          <w:rFonts w:ascii="Times New Roman" w:eastAsia="Times New Roman" w:hAnsi="Times New Roman" w:cs="Times New Roman"/>
          <w:sz w:val="24"/>
        </w:rPr>
        <w:t xml:space="preserve"> </w:t>
      </w:r>
    </w:p>
    <w:p w:rsidR="00025683" w:rsidRDefault="007C2AAB">
      <w:pPr>
        <w:spacing w:after="323"/>
        <w:ind w:left="14" w:right="200"/>
      </w:pPr>
      <w:r>
        <w:t>PREÁMBULO VI. .................................................................................................................. 15</w:t>
      </w:r>
      <w:r>
        <w:rPr>
          <w:rFonts w:ascii="Times New Roman" w:eastAsia="Times New Roman" w:hAnsi="Times New Roman" w:cs="Times New Roman"/>
          <w:sz w:val="24"/>
        </w:rPr>
        <w:t xml:space="preserve"> </w:t>
      </w:r>
    </w:p>
    <w:p w:rsidR="00025683" w:rsidRDefault="007C2AAB">
      <w:pPr>
        <w:spacing w:after="323"/>
        <w:ind w:left="14" w:right="200"/>
      </w:pPr>
      <w:r>
        <w:t xml:space="preserve">PREÁMBULO VII. </w:t>
      </w:r>
      <w:r>
        <w:t>................................................................................................................. 16</w:t>
      </w:r>
      <w:r>
        <w:rPr>
          <w:rFonts w:ascii="Times New Roman" w:eastAsia="Times New Roman" w:hAnsi="Times New Roman" w:cs="Times New Roman"/>
          <w:sz w:val="24"/>
        </w:rPr>
        <w:t xml:space="preserve"> </w:t>
      </w:r>
    </w:p>
    <w:p w:rsidR="00025683" w:rsidRDefault="007C2AAB">
      <w:pPr>
        <w:spacing w:after="322" w:line="249" w:lineRule="auto"/>
        <w:ind w:left="10" w:right="235" w:hanging="10"/>
        <w:jc w:val="right"/>
      </w:pPr>
      <w:r>
        <w:rPr>
          <w:rFonts w:ascii="Calibri" w:eastAsia="Calibri" w:hAnsi="Calibri" w:cs="Calibri"/>
          <w:noProof/>
        </w:rPr>
        <mc:AlternateContent>
          <mc:Choice Requires="wpg">
            <w:drawing>
              <wp:anchor distT="0" distB="0" distL="114300" distR="114300" simplePos="0" relativeHeight="25189273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2711" name="Group 4127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513" name="Rectangle 2351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3514" name="Rectangle 2351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3515" name="Rectangle 2351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w:t>
                              </w:r>
                              <w:r>
                                <w:rPr>
                                  <w:sz w:val="12"/>
                                </w:rPr>
                                <w:t xml:space="preserve"> desde la plataforma esPublico Gestiona | Página 219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2711" style="width:18.7031pt;height:264.21pt;position:absolute;mso-position-horizontal-relative:page;mso-position-horizontal:absolute;margin-left:662.928pt;mso-position-vertical-relative:page;margin-top:507.75pt;" coordsize="2375,33554">
                <v:rect id="Rectangle 2351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351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351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219 de 350 </w:t>
                        </w:r>
                      </w:p>
                    </w:txbxContent>
                  </v:textbox>
                </v:rect>
                <w10:wrap type="square"/>
              </v:group>
            </w:pict>
          </mc:Fallback>
        </mc:AlternateContent>
      </w:r>
      <w:r>
        <w:t>TÍTULO PRELIMINAR. Disposiciones Generales .................................................. 18</w:t>
      </w:r>
      <w:r>
        <w:rPr>
          <w:rFonts w:ascii="Times New Roman" w:eastAsia="Times New Roman" w:hAnsi="Times New Roman" w:cs="Times New Roman"/>
          <w:sz w:val="24"/>
        </w:rPr>
        <w:t xml:space="preserve"> </w:t>
      </w:r>
    </w:p>
    <w:p w:rsidR="00025683" w:rsidRDefault="007C2AAB">
      <w:pPr>
        <w:ind w:left="439" w:right="200"/>
      </w:pPr>
      <w:r>
        <w:t xml:space="preserve">Artículo 1. Objeto </w:t>
      </w:r>
      <w:r>
        <w:t>.......................................................................................................... 18</w:t>
      </w:r>
      <w:r>
        <w:rPr>
          <w:rFonts w:ascii="Times New Roman" w:eastAsia="Times New Roman" w:hAnsi="Times New Roman" w:cs="Times New Roman"/>
          <w:sz w:val="24"/>
        </w:rPr>
        <w:t xml:space="preserve"> </w:t>
      </w:r>
    </w:p>
    <w:p w:rsidR="00025683" w:rsidRDefault="007C2AAB">
      <w:pPr>
        <w:spacing w:after="83"/>
        <w:ind w:left="439" w:right="200"/>
      </w:pPr>
      <w:r>
        <w:t>Artículo. 2. Ámbito de aplicación ................................................................................... 18</w:t>
      </w:r>
      <w:r>
        <w:rPr>
          <w:rFonts w:ascii="Times New Roman" w:eastAsia="Times New Roman" w:hAnsi="Times New Roman" w:cs="Times New Roman"/>
          <w:sz w:val="24"/>
        </w:rPr>
        <w:t xml:space="preserve"> </w:t>
      </w:r>
    </w:p>
    <w:p w:rsidR="00025683" w:rsidRDefault="007C2AAB">
      <w:pPr>
        <w:spacing w:after="80"/>
        <w:ind w:left="439" w:right="200"/>
      </w:pPr>
      <w:r>
        <w:t>Artículo. 3. Competenci</w:t>
      </w:r>
      <w:r>
        <w:t>as locales ................................................................................. 19</w:t>
      </w:r>
      <w:r>
        <w:rPr>
          <w:rFonts w:ascii="Times New Roman" w:eastAsia="Times New Roman" w:hAnsi="Times New Roman" w:cs="Times New Roman"/>
          <w:sz w:val="24"/>
        </w:rPr>
        <w:t xml:space="preserve"> </w:t>
      </w:r>
    </w:p>
    <w:p w:rsidR="00025683" w:rsidRDefault="007C2AAB">
      <w:pPr>
        <w:spacing w:after="85"/>
        <w:ind w:left="439" w:right="200"/>
      </w:pPr>
      <w:r>
        <w:t>Artículo. 4. Definiciones .................................................................................................. 20</w:t>
      </w:r>
      <w:r>
        <w:rPr>
          <w:rFonts w:ascii="Times New Roman" w:eastAsia="Times New Roman" w:hAnsi="Times New Roman" w:cs="Times New Roman"/>
          <w:sz w:val="24"/>
        </w:rPr>
        <w:t xml:space="preserve"> </w:t>
      </w:r>
    </w:p>
    <w:p w:rsidR="00025683" w:rsidRDefault="007C2AAB">
      <w:pPr>
        <w:spacing w:after="329"/>
        <w:ind w:left="929" w:right="200" w:hanging="490"/>
      </w:pPr>
      <w:r>
        <w:t xml:space="preserve">Artículo. 5. Régimen fiscal. </w:t>
      </w:r>
      <w:r>
        <w:t>........................................................................................... 27</w:t>
      </w:r>
      <w:r>
        <w:rPr>
          <w:rFonts w:ascii="Times New Roman" w:eastAsia="Times New Roman" w:hAnsi="Times New Roman" w:cs="Times New Roman"/>
          <w:sz w:val="24"/>
        </w:rPr>
        <w:t xml:space="preserve"> </w:t>
      </w:r>
      <w:r>
        <w:t>TÍTULO I. Limpieza del espacio público ................................................................. 27</w:t>
      </w:r>
      <w:r>
        <w:rPr>
          <w:rFonts w:ascii="Times New Roman" w:eastAsia="Times New Roman" w:hAnsi="Times New Roman" w:cs="Times New Roman"/>
          <w:sz w:val="24"/>
        </w:rPr>
        <w:t xml:space="preserve"> </w:t>
      </w:r>
    </w:p>
    <w:p w:rsidR="00025683" w:rsidRDefault="007C2AAB">
      <w:pPr>
        <w:spacing w:after="322" w:line="249" w:lineRule="auto"/>
        <w:ind w:left="10" w:right="235" w:hanging="10"/>
        <w:jc w:val="right"/>
      </w:pPr>
      <w:r>
        <w:t>Capítulo I. Obligaciones en relación con la limpieza</w:t>
      </w:r>
      <w:r>
        <w:t xml:space="preserve"> del espacio público ................ 27</w:t>
      </w:r>
      <w:r>
        <w:rPr>
          <w:rFonts w:ascii="Times New Roman" w:eastAsia="Times New Roman" w:hAnsi="Times New Roman" w:cs="Times New Roman"/>
          <w:sz w:val="24"/>
        </w:rPr>
        <w:t xml:space="preserve"> </w:t>
      </w:r>
    </w:p>
    <w:p w:rsidR="00025683" w:rsidRDefault="007C2AAB">
      <w:pPr>
        <w:spacing w:after="83"/>
        <w:ind w:left="439" w:right="200"/>
      </w:pPr>
      <w:r>
        <w:t>Artículo. 6. Cumplimiento de obligaciones .................................................................... 27</w:t>
      </w:r>
      <w:r>
        <w:rPr>
          <w:rFonts w:ascii="Times New Roman" w:eastAsia="Times New Roman" w:hAnsi="Times New Roman" w:cs="Times New Roman"/>
          <w:sz w:val="24"/>
        </w:rPr>
        <w:t xml:space="preserve"> </w:t>
      </w:r>
    </w:p>
    <w:p w:rsidR="00025683" w:rsidRDefault="007C2AAB">
      <w:pPr>
        <w:spacing w:after="87"/>
        <w:ind w:left="439" w:right="200"/>
      </w:pPr>
      <w:r>
        <w:t>Artículo. 7. Colaboración ciudadana ...............................................................</w:t>
      </w:r>
      <w:r>
        <w:t>.............. 28</w:t>
      </w:r>
      <w:r>
        <w:rPr>
          <w:rFonts w:ascii="Times New Roman" w:eastAsia="Times New Roman" w:hAnsi="Times New Roman" w:cs="Times New Roman"/>
          <w:sz w:val="24"/>
        </w:rPr>
        <w:t xml:space="preserve"> </w:t>
      </w:r>
    </w:p>
    <w:p w:rsidR="00025683" w:rsidRDefault="007C2AAB">
      <w:pPr>
        <w:spacing w:after="217"/>
        <w:ind w:left="439" w:right="200"/>
      </w:pPr>
      <w:r>
        <w:t>Artículo. 8. Limpieza ante situaciones de emergencia .................................................... 28</w:t>
      </w:r>
      <w:r>
        <w:rPr>
          <w:rFonts w:ascii="Times New Roman" w:eastAsia="Times New Roman" w:hAnsi="Times New Roman" w:cs="Times New Roman"/>
          <w:sz w:val="24"/>
        </w:rPr>
        <w:t xml:space="preserve"> </w:t>
      </w:r>
    </w:p>
    <w:p w:rsidR="00025683" w:rsidRDefault="007C2AAB">
      <w:pPr>
        <w:spacing w:after="322" w:line="249" w:lineRule="auto"/>
        <w:ind w:left="10" w:right="318" w:hanging="10"/>
        <w:jc w:val="right"/>
      </w:pPr>
      <w:r>
        <w:t>Capítulo II. Actuaciones no permitidas .................................................................. 28</w:t>
      </w:r>
      <w:r>
        <w:rPr>
          <w:rFonts w:ascii="Times New Roman" w:eastAsia="Times New Roman" w:hAnsi="Times New Roman" w:cs="Times New Roman"/>
          <w:sz w:val="24"/>
        </w:rPr>
        <w:t xml:space="preserve"> </w:t>
      </w:r>
    </w:p>
    <w:p w:rsidR="00025683" w:rsidRDefault="007C2AAB">
      <w:pPr>
        <w:spacing w:after="191"/>
        <w:ind w:left="439" w:right="200"/>
      </w:pPr>
      <w:r>
        <w:t>Artículo. 9. Proh</w:t>
      </w:r>
      <w:r>
        <w:t>ibiciones ................................................................................................ 28</w:t>
      </w:r>
      <w:r>
        <w:rPr>
          <w:rFonts w:ascii="Times New Roman" w:eastAsia="Times New Roman" w:hAnsi="Times New Roman" w:cs="Times New Roman"/>
          <w:sz w:val="24"/>
        </w:rPr>
        <w:t xml:space="preserve"> </w:t>
      </w:r>
    </w:p>
    <w:p w:rsidR="00025683" w:rsidRDefault="007C2AAB">
      <w:pPr>
        <w:spacing w:after="322" w:line="249" w:lineRule="auto"/>
        <w:ind w:left="10" w:right="235" w:hanging="10"/>
        <w:jc w:val="right"/>
      </w:pPr>
      <w:r>
        <w:t>Capítulo III. Medidas respecto a determinadas actuaciones en el espacio público . 31</w:t>
      </w:r>
      <w:r>
        <w:rPr>
          <w:rFonts w:ascii="Times New Roman" w:eastAsia="Times New Roman" w:hAnsi="Times New Roman" w:cs="Times New Roman"/>
          <w:sz w:val="24"/>
        </w:rPr>
        <w:t xml:space="preserve"> </w:t>
      </w:r>
    </w:p>
    <w:p w:rsidR="00025683" w:rsidRDefault="007C2AAB">
      <w:pPr>
        <w:spacing w:after="111"/>
        <w:ind w:left="439" w:right="200"/>
      </w:pPr>
      <w:r>
        <w:t>Artículo. 10. Actividades privadas ........................</w:t>
      </w:r>
      <w:r>
        <w:t>......................................................... 31</w:t>
      </w:r>
      <w:r>
        <w:rPr>
          <w:rFonts w:ascii="Times New Roman" w:eastAsia="Times New Roman" w:hAnsi="Times New Roman" w:cs="Times New Roman"/>
          <w:sz w:val="24"/>
        </w:rPr>
        <w:t xml:space="preserve"> </w:t>
      </w:r>
      <w:r>
        <w:t>Artículo. 11. Actuaciones relacionadas con la publicidad. .............................................. 33</w:t>
      </w:r>
    </w:p>
    <w:p w:rsidR="00025683" w:rsidRDefault="007C2AAB">
      <w:pPr>
        <w:spacing w:after="89"/>
        <w:ind w:left="439" w:right="200"/>
      </w:pPr>
      <w:r>
        <w:t>Artículo. 12. Afecciones al espacio público por obras .................................</w:t>
      </w:r>
      <w:r>
        <w:t>.................... 34</w:t>
      </w:r>
      <w:r>
        <w:rPr>
          <w:rFonts w:ascii="Times New Roman" w:eastAsia="Times New Roman" w:hAnsi="Times New Roman" w:cs="Times New Roman"/>
          <w:sz w:val="24"/>
        </w:rPr>
        <w:t xml:space="preserve"> </w:t>
      </w:r>
      <w:r>
        <w:t>Artículo. 13. Carga y descarga. ..................................................................................... 35</w:t>
      </w:r>
      <w:r>
        <w:rPr>
          <w:rFonts w:ascii="Times New Roman" w:eastAsia="Times New Roman" w:hAnsi="Times New Roman" w:cs="Times New Roman"/>
          <w:sz w:val="24"/>
        </w:rPr>
        <w:t xml:space="preserve"> </w:t>
      </w:r>
    </w:p>
    <w:p w:rsidR="00025683" w:rsidRDefault="007C2AAB">
      <w:pPr>
        <w:ind w:left="439" w:right="200"/>
      </w:pPr>
      <w:r>
        <w:t>Artículo. 14. Transporte de residuos y materiales ......................................................... 36</w:t>
      </w:r>
      <w:r>
        <w:rPr>
          <w:rFonts w:ascii="Times New Roman" w:eastAsia="Times New Roman" w:hAnsi="Times New Roman" w:cs="Times New Roman"/>
          <w:sz w:val="24"/>
        </w:rPr>
        <w:t xml:space="preserve"> </w:t>
      </w:r>
    </w:p>
    <w:p w:rsidR="00025683" w:rsidRDefault="007C2AAB">
      <w:pPr>
        <w:spacing w:after="83"/>
        <w:ind w:left="439" w:right="200"/>
      </w:pPr>
      <w:r>
        <w:t>Artículo. 15. Animales ..................................................................................................... 36</w:t>
      </w:r>
      <w:r>
        <w:rPr>
          <w:rFonts w:ascii="Times New Roman" w:eastAsia="Times New Roman" w:hAnsi="Times New Roman" w:cs="Times New Roman"/>
          <w:sz w:val="24"/>
        </w:rPr>
        <w:t xml:space="preserve"> </w:t>
      </w:r>
    </w:p>
    <w:p w:rsidR="00025683" w:rsidRDefault="007C2AAB">
      <w:pPr>
        <w:spacing w:after="329"/>
        <w:ind w:left="929" w:right="200" w:hanging="490"/>
      </w:pPr>
      <w:r>
        <w:t>Artículo. 16. Actos públicos ........................................................................................... 36</w:t>
      </w:r>
      <w:r>
        <w:rPr>
          <w:rFonts w:ascii="Times New Roman" w:eastAsia="Times New Roman" w:hAnsi="Times New Roman" w:cs="Times New Roman"/>
          <w:sz w:val="24"/>
        </w:rPr>
        <w:t xml:space="preserve"> </w:t>
      </w:r>
      <w:r>
        <w:t>C</w:t>
      </w:r>
      <w:r>
        <w:t>apítulo IV. Limpieza de edificaciones ................................................................... 38</w:t>
      </w:r>
      <w:r>
        <w:rPr>
          <w:rFonts w:ascii="Times New Roman" w:eastAsia="Times New Roman" w:hAnsi="Times New Roman" w:cs="Times New Roman"/>
          <w:sz w:val="24"/>
        </w:rPr>
        <w:t xml:space="preserve"> </w:t>
      </w:r>
    </w:p>
    <w:p w:rsidR="00025683" w:rsidRDefault="007C2AAB">
      <w:pPr>
        <w:spacing w:after="80"/>
        <w:ind w:left="439" w:right="200"/>
      </w:pPr>
      <w:r>
        <w:t>Artículo. 17. Obligaciones de la propiedad de los inmuebles .........................................38</w:t>
      </w:r>
      <w:r>
        <w:rPr>
          <w:rFonts w:ascii="Times New Roman" w:eastAsia="Times New Roman" w:hAnsi="Times New Roman" w:cs="Times New Roman"/>
          <w:sz w:val="24"/>
        </w:rPr>
        <w:t xml:space="preserve"> </w:t>
      </w:r>
    </w:p>
    <w:p w:rsidR="00025683" w:rsidRDefault="007C2AAB">
      <w:pPr>
        <w:ind w:left="439" w:right="200"/>
      </w:pPr>
      <w:r>
        <w:t xml:space="preserve">Artículo. 18. Normas específicas para </w:t>
      </w:r>
      <w:r>
        <w:t>playas y litoral .................................................... 39</w:t>
      </w:r>
      <w:r>
        <w:rPr>
          <w:rFonts w:ascii="Times New Roman" w:eastAsia="Times New Roman" w:hAnsi="Times New Roman" w:cs="Times New Roman"/>
          <w:sz w:val="24"/>
        </w:rPr>
        <w:t xml:space="preserve"> </w:t>
      </w:r>
    </w:p>
    <w:p w:rsidR="00025683" w:rsidRDefault="007C2AAB">
      <w:pPr>
        <w:spacing w:after="323"/>
        <w:ind w:left="929" w:right="200"/>
      </w:pPr>
      <w:r>
        <w:t>TÍTULO II. Gestión de los residuos municipales .................................................... 41</w:t>
      </w:r>
      <w:r>
        <w:rPr>
          <w:rFonts w:ascii="Times New Roman" w:eastAsia="Times New Roman" w:hAnsi="Times New Roman" w:cs="Times New Roman"/>
          <w:sz w:val="24"/>
        </w:rPr>
        <w:t xml:space="preserve"> </w:t>
      </w:r>
    </w:p>
    <w:p w:rsidR="00025683" w:rsidRDefault="007C2AAB">
      <w:pPr>
        <w:spacing w:after="323"/>
        <w:ind w:left="929" w:right="200"/>
      </w:pPr>
      <w:r>
        <w:t>Capítulo I. Régimen general de los residuos municipales ......................</w:t>
      </w:r>
      <w:r>
        <w:t>................ 41</w:t>
      </w:r>
      <w:r>
        <w:rPr>
          <w:rFonts w:ascii="Times New Roman" w:eastAsia="Times New Roman" w:hAnsi="Times New Roman" w:cs="Times New Roman"/>
          <w:sz w:val="24"/>
        </w:rPr>
        <w:t xml:space="preserve"> </w:t>
      </w:r>
    </w:p>
    <w:p w:rsidR="00025683" w:rsidRDefault="007C2AAB">
      <w:pPr>
        <w:spacing w:after="86"/>
        <w:ind w:left="439" w:right="200"/>
      </w:pPr>
      <w:r>
        <w:t>Artículo. 18. Titularidad de los residuos ......................................................................... 41</w:t>
      </w:r>
      <w:r>
        <w:rPr>
          <w:rFonts w:ascii="Times New Roman" w:eastAsia="Times New Roman" w:hAnsi="Times New Roman" w:cs="Times New Roman"/>
          <w:sz w:val="24"/>
        </w:rPr>
        <w:t xml:space="preserve"> </w:t>
      </w:r>
      <w:r>
        <w:t>Artículo. 19. Jerarquía de gestión de residuos. ............................................................. 42</w:t>
      </w:r>
      <w:r>
        <w:rPr>
          <w:rFonts w:ascii="Times New Roman" w:eastAsia="Times New Roman" w:hAnsi="Times New Roman" w:cs="Times New Roman"/>
          <w:sz w:val="24"/>
        </w:rPr>
        <w:t xml:space="preserve"> </w:t>
      </w:r>
    </w:p>
    <w:p w:rsidR="00025683" w:rsidRDefault="007C2AAB">
      <w:pPr>
        <w:spacing w:after="85"/>
        <w:ind w:left="439" w:right="200"/>
      </w:pPr>
      <w:r>
        <w:t>Ar</w:t>
      </w:r>
      <w:r>
        <w:t>tículo. 20. Gestión ...................................................................................................... 42</w:t>
      </w:r>
      <w:r>
        <w:rPr>
          <w:rFonts w:ascii="Times New Roman" w:eastAsia="Times New Roman" w:hAnsi="Times New Roman" w:cs="Times New Roman"/>
          <w:sz w:val="24"/>
        </w:rPr>
        <w:t xml:space="preserve"> </w:t>
      </w:r>
    </w:p>
    <w:p w:rsidR="00025683" w:rsidRDefault="007C2AAB">
      <w:pPr>
        <w:ind w:left="439" w:right="200"/>
      </w:pPr>
      <w:r>
        <w:t>Artículo. 21. Prevención ................................................................................................ 42</w:t>
      </w:r>
      <w:r>
        <w:rPr>
          <w:rFonts w:ascii="Times New Roman" w:eastAsia="Times New Roman" w:hAnsi="Times New Roman" w:cs="Times New Roman"/>
          <w:sz w:val="24"/>
        </w:rPr>
        <w:t xml:space="preserve"> </w:t>
      </w:r>
    </w:p>
    <w:p w:rsidR="00025683" w:rsidRDefault="007C2AAB">
      <w:pPr>
        <w:spacing w:after="111"/>
        <w:ind w:left="439" w:right="200"/>
      </w:pPr>
      <w:r>
        <w:t>Art</w:t>
      </w:r>
      <w:r>
        <w:t>ículo. 22. Reutilización .............................................................................................. 43</w:t>
      </w:r>
      <w:r>
        <w:rPr>
          <w:rFonts w:ascii="Times New Roman" w:eastAsia="Times New Roman" w:hAnsi="Times New Roman" w:cs="Times New Roman"/>
          <w:sz w:val="24"/>
        </w:rPr>
        <w:t xml:space="preserve"> </w:t>
      </w:r>
    </w:p>
    <w:p w:rsidR="00025683" w:rsidRDefault="007C2AAB">
      <w:pPr>
        <w:ind w:left="439"/>
      </w:pPr>
      <w:r>
        <w:t>Artículo. 23. Coordinación con otros organismos públicos y privados en materia de residuos.</w:t>
      </w:r>
      <w:r>
        <w:rPr>
          <w:rFonts w:ascii="Times New Roman" w:eastAsia="Times New Roman" w:hAnsi="Times New Roman" w:cs="Times New Roman"/>
          <w:sz w:val="24"/>
        </w:rPr>
        <w:t xml:space="preserve"> </w:t>
      </w:r>
    </w:p>
    <w:p w:rsidR="00025683" w:rsidRDefault="007C2AAB">
      <w:pPr>
        <w:spacing w:after="92"/>
        <w:ind w:left="264" w:right="200"/>
      </w:pPr>
      <w:r>
        <w:rPr>
          <w:rFonts w:ascii="Calibri" w:eastAsia="Calibri" w:hAnsi="Calibri" w:cs="Calibri"/>
          <w:noProof/>
        </w:rPr>
        <mc:AlternateContent>
          <mc:Choice Requires="wpg">
            <w:drawing>
              <wp:anchor distT="0" distB="0" distL="114300" distR="114300" simplePos="0" relativeHeight="25189376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3163" name="Group 4131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161" name="Rectangle 2416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4162" name="Rectangle 2416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163" name="Rectangle 2416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220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3163" style="width:18.7031pt;height:264.21pt;position:absolute;mso-position-horizontal-relative:page;mso-position-horizontal:absolute;margin-left:662.928pt;mso-position-vertical-relative:page;margin-top:507.75pt;" coordsize="2375,33554">
                <v:rect id="Rectangle 2416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416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16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220 de 350 </w:t>
                        </w:r>
                      </w:p>
                    </w:txbxContent>
                  </v:textbox>
                </v:rect>
                <w10:wrap type="square"/>
              </v:group>
            </w:pict>
          </mc:Fallback>
        </mc:AlternateContent>
      </w:r>
      <w:r>
        <w:t xml:space="preserve">. </w:t>
      </w:r>
      <w:r>
        <w:t>....................................................................................................................................... 44</w:t>
      </w:r>
      <w:r>
        <w:rPr>
          <w:rFonts w:ascii="Times New Roman" w:eastAsia="Times New Roman" w:hAnsi="Times New Roman" w:cs="Times New Roman"/>
          <w:sz w:val="24"/>
        </w:rPr>
        <w:t xml:space="preserve"> </w:t>
      </w:r>
    </w:p>
    <w:p w:rsidR="00025683" w:rsidRDefault="007C2AAB">
      <w:pPr>
        <w:spacing w:after="85"/>
        <w:ind w:left="439" w:right="200"/>
      </w:pPr>
      <w:r>
        <w:t>Artículo. 24. Actuaciones urbanísticas........................................................................... 44</w:t>
      </w:r>
      <w:r>
        <w:rPr>
          <w:rFonts w:ascii="Times New Roman" w:eastAsia="Times New Roman" w:hAnsi="Times New Roman" w:cs="Times New Roman"/>
          <w:sz w:val="24"/>
        </w:rPr>
        <w:t xml:space="preserve"> </w:t>
      </w:r>
    </w:p>
    <w:p w:rsidR="00025683" w:rsidRDefault="007C2AAB">
      <w:pPr>
        <w:spacing w:after="120" w:line="323" w:lineRule="auto"/>
        <w:ind w:left="439" w:right="200"/>
      </w:pPr>
      <w:r>
        <w:t>Artículo. 25. Clasificación de residuos. Residuos generales .......................................... 44</w:t>
      </w:r>
      <w:r>
        <w:rPr>
          <w:rFonts w:ascii="Times New Roman" w:eastAsia="Times New Roman" w:hAnsi="Times New Roman" w:cs="Times New Roman"/>
          <w:sz w:val="24"/>
        </w:rPr>
        <w:t xml:space="preserve"> </w:t>
      </w:r>
      <w:r>
        <w:t>Artículo. 26. Clasificación de residuos. Residuos especiales ......................................... 46</w:t>
      </w:r>
      <w:r>
        <w:rPr>
          <w:rFonts w:ascii="Times New Roman" w:eastAsia="Times New Roman" w:hAnsi="Times New Roman" w:cs="Times New Roman"/>
          <w:sz w:val="24"/>
        </w:rPr>
        <w:t xml:space="preserve"> </w:t>
      </w:r>
    </w:p>
    <w:p w:rsidR="00025683" w:rsidRDefault="007C2AAB">
      <w:pPr>
        <w:spacing w:after="330"/>
        <w:ind w:left="221" w:firstLine="708"/>
      </w:pPr>
      <w:r>
        <w:t>Capítulo II. Competencia del servicio y o</w:t>
      </w:r>
      <w:r>
        <w:t>bligaciones de las personas usuarias y produc-</w:t>
      </w:r>
    </w:p>
    <w:p w:rsidR="00025683" w:rsidRDefault="007C2AAB">
      <w:pPr>
        <w:spacing w:after="330"/>
        <w:ind w:left="221" w:firstLine="708"/>
      </w:pPr>
      <w:r>
        <w:t>toras47</w:t>
      </w:r>
      <w:r>
        <w:rPr>
          <w:rFonts w:ascii="Times New Roman" w:eastAsia="Times New Roman" w:hAnsi="Times New Roman" w:cs="Times New Roman"/>
          <w:sz w:val="24"/>
        </w:rPr>
        <w:t xml:space="preserve"> </w:t>
      </w:r>
    </w:p>
    <w:p w:rsidR="00025683" w:rsidRDefault="007C2AAB">
      <w:pPr>
        <w:spacing w:after="80"/>
        <w:ind w:left="439" w:right="200"/>
      </w:pPr>
      <w:r>
        <w:t>Artículo. 27. Competencia del servicio de gestión de residuos. ......................................47</w:t>
      </w:r>
      <w:r>
        <w:rPr>
          <w:rFonts w:ascii="Times New Roman" w:eastAsia="Times New Roman" w:hAnsi="Times New Roman" w:cs="Times New Roman"/>
          <w:sz w:val="24"/>
        </w:rPr>
        <w:t xml:space="preserve"> </w:t>
      </w:r>
    </w:p>
    <w:p w:rsidR="00025683" w:rsidRDefault="007C2AAB">
      <w:pPr>
        <w:spacing w:after="85"/>
        <w:ind w:left="439" w:right="200"/>
      </w:pPr>
      <w:r>
        <w:t>Artículo. 28. Obligaciones de las personas usuarias del servicio ..............................</w:t>
      </w:r>
      <w:r>
        <w:t>..... 49</w:t>
      </w:r>
      <w:r>
        <w:rPr>
          <w:rFonts w:ascii="Times New Roman" w:eastAsia="Times New Roman" w:hAnsi="Times New Roman" w:cs="Times New Roman"/>
          <w:sz w:val="24"/>
        </w:rPr>
        <w:t xml:space="preserve"> </w:t>
      </w:r>
    </w:p>
    <w:p w:rsidR="00025683" w:rsidRDefault="007C2AAB">
      <w:pPr>
        <w:spacing w:after="208"/>
        <w:ind w:left="439" w:right="200"/>
      </w:pPr>
      <w:r>
        <w:t>Artículo. 29. Prohibición de actuaciones en materia de residuos.................................... 50</w:t>
      </w:r>
      <w:r>
        <w:rPr>
          <w:rFonts w:ascii="Times New Roman" w:eastAsia="Times New Roman" w:hAnsi="Times New Roman" w:cs="Times New Roman"/>
          <w:sz w:val="24"/>
        </w:rPr>
        <w:t xml:space="preserve"> </w:t>
      </w:r>
    </w:p>
    <w:p w:rsidR="00025683" w:rsidRDefault="007C2AAB">
      <w:pPr>
        <w:ind w:left="439" w:right="200"/>
      </w:pPr>
      <w:r>
        <w:t xml:space="preserve">Artículo. 30. Obligaciones de las personas productoras o las personas poseedoras </w:t>
      </w:r>
    </w:p>
    <w:p w:rsidR="00025683" w:rsidRDefault="007C2AAB">
      <w:pPr>
        <w:spacing w:line="321" w:lineRule="auto"/>
        <w:ind w:left="439" w:right="200"/>
      </w:pPr>
      <w:r>
        <w:t xml:space="preserve">de residuos peligrosos o de características extraordinarias </w:t>
      </w:r>
      <w:r>
        <w:t>.......................................... 51</w:t>
      </w:r>
      <w:r>
        <w:rPr>
          <w:rFonts w:ascii="Times New Roman" w:eastAsia="Times New Roman" w:hAnsi="Times New Roman" w:cs="Times New Roman"/>
          <w:sz w:val="24"/>
        </w:rPr>
        <w:t xml:space="preserve"> </w:t>
      </w:r>
      <w:r>
        <w:t>Artículo 31. Sobre el uso y ubicación de contenedores de residuos. ............................. 52</w:t>
      </w:r>
      <w:r>
        <w:rPr>
          <w:rFonts w:ascii="Times New Roman" w:eastAsia="Times New Roman" w:hAnsi="Times New Roman" w:cs="Times New Roman"/>
          <w:sz w:val="24"/>
        </w:rPr>
        <w:t xml:space="preserve"> </w:t>
      </w:r>
    </w:p>
    <w:p w:rsidR="00025683" w:rsidRDefault="007C2AAB">
      <w:pPr>
        <w:ind w:left="439" w:right="200"/>
      </w:pPr>
      <w:r>
        <w:t>Artículo. 32. Obligación del cierre de los contenedores ................................................. 53</w:t>
      </w:r>
      <w:r>
        <w:rPr>
          <w:rFonts w:ascii="Times New Roman" w:eastAsia="Times New Roman" w:hAnsi="Times New Roman" w:cs="Times New Roman"/>
          <w:sz w:val="24"/>
        </w:rPr>
        <w:t xml:space="preserve"> </w:t>
      </w:r>
    </w:p>
    <w:p w:rsidR="00025683" w:rsidRDefault="007C2AAB">
      <w:pPr>
        <w:ind w:left="439"/>
      </w:pPr>
      <w:r>
        <w:t>Artículo. 33. Obligaciones del personal encargado de gestionar los actos públicos o eventos.</w:t>
      </w:r>
      <w:r>
        <w:rPr>
          <w:rFonts w:ascii="Times New Roman" w:eastAsia="Times New Roman" w:hAnsi="Times New Roman" w:cs="Times New Roman"/>
          <w:sz w:val="24"/>
        </w:rPr>
        <w:t xml:space="preserve"> </w:t>
      </w:r>
    </w:p>
    <w:p w:rsidR="00025683" w:rsidRDefault="007C2AAB">
      <w:pPr>
        <w:ind w:left="264" w:right="200"/>
      </w:pPr>
      <w:r>
        <w:t>. ....................................................................................................................................... 54</w:t>
      </w:r>
      <w:r>
        <w:rPr>
          <w:rFonts w:ascii="Times New Roman" w:eastAsia="Times New Roman" w:hAnsi="Times New Roman" w:cs="Times New Roman"/>
          <w:sz w:val="24"/>
        </w:rPr>
        <w:t xml:space="preserve"> </w:t>
      </w:r>
    </w:p>
    <w:p w:rsidR="00025683" w:rsidRDefault="007C2AAB">
      <w:pPr>
        <w:spacing w:after="81"/>
        <w:ind w:left="439" w:right="200"/>
      </w:pPr>
      <w:r>
        <w:t xml:space="preserve">Artículo. 34. </w:t>
      </w:r>
      <w:r>
        <w:t>Transferencia de residuos .......................................................................... 55</w:t>
      </w:r>
      <w:r>
        <w:rPr>
          <w:rFonts w:ascii="Times New Roman" w:eastAsia="Times New Roman" w:hAnsi="Times New Roman" w:cs="Times New Roman"/>
          <w:sz w:val="24"/>
        </w:rPr>
        <w:t xml:space="preserve"> </w:t>
      </w:r>
    </w:p>
    <w:p w:rsidR="00025683" w:rsidRDefault="007C2AAB">
      <w:pPr>
        <w:spacing w:after="83"/>
        <w:ind w:left="439" w:right="200"/>
      </w:pPr>
      <w:r>
        <w:t>Artículo. 35. Producción ocasional de residuos. ............................................................ 55</w:t>
      </w:r>
      <w:r>
        <w:rPr>
          <w:rFonts w:ascii="Times New Roman" w:eastAsia="Times New Roman" w:hAnsi="Times New Roman" w:cs="Times New Roman"/>
          <w:sz w:val="24"/>
        </w:rPr>
        <w:t xml:space="preserve"> </w:t>
      </w:r>
    </w:p>
    <w:p w:rsidR="00025683" w:rsidRDefault="007C2AAB">
      <w:pPr>
        <w:ind w:left="439" w:right="200"/>
      </w:pPr>
      <w:r>
        <w:t>Artículo. 36. Espacios para la recepci</w:t>
      </w:r>
      <w:r>
        <w:t>ón de los residuos ............................................... 56</w:t>
      </w:r>
      <w:r>
        <w:rPr>
          <w:rFonts w:ascii="Times New Roman" w:eastAsia="Times New Roman" w:hAnsi="Times New Roman" w:cs="Times New Roman"/>
          <w:sz w:val="24"/>
        </w:rPr>
        <w:t xml:space="preserve"> </w:t>
      </w:r>
    </w:p>
    <w:p w:rsidR="00025683" w:rsidRDefault="007C2AAB">
      <w:pPr>
        <w:spacing w:after="351"/>
        <w:ind w:left="439" w:right="200"/>
      </w:pPr>
      <w:r>
        <w:t>Artículo. 37. Trazabilidad ............................................................................................... 56</w:t>
      </w:r>
      <w:r>
        <w:rPr>
          <w:rFonts w:ascii="Times New Roman" w:eastAsia="Times New Roman" w:hAnsi="Times New Roman" w:cs="Times New Roman"/>
          <w:sz w:val="24"/>
        </w:rPr>
        <w:t xml:space="preserve"> </w:t>
      </w:r>
      <w:r>
        <w:t>Capítulo III. Recipientes para el depósito de residuos ....</w:t>
      </w:r>
      <w:r>
        <w:t>........................................57</w:t>
      </w:r>
    </w:p>
    <w:p w:rsidR="00025683" w:rsidRDefault="007C2AAB">
      <w:pPr>
        <w:spacing w:after="69"/>
        <w:ind w:left="439" w:right="200"/>
      </w:pPr>
      <w:r>
        <w:t>Artículo. 38. Clases de recipientes ................................................................................. 57</w:t>
      </w:r>
      <w:r>
        <w:rPr>
          <w:rFonts w:ascii="Times New Roman" w:eastAsia="Times New Roman" w:hAnsi="Times New Roman" w:cs="Times New Roman"/>
          <w:sz w:val="24"/>
        </w:rPr>
        <w:t xml:space="preserve"> </w:t>
      </w:r>
    </w:p>
    <w:p w:rsidR="00025683" w:rsidRDefault="007C2AAB">
      <w:pPr>
        <w:ind w:left="439"/>
      </w:pPr>
      <w:r>
        <w:t>Artículo. 39. Tipología de recipientes en cada zona de la ciudad. Sistemas de recogida.</w:t>
      </w:r>
    </w:p>
    <w:p w:rsidR="00025683" w:rsidRDefault="007C2AAB">
      <w:pPr>
        <w:spacing w:after="83"/>
        <w:ind w:left="439" w:right="200"/>
      </w:pPr>
      <w:r>
        <w:t xml:space="preserve"> ..</w:t>
      </w:r>
      <w:r>
        <w:t>....................................................................................................................................58</w:t>
      </w:r>
      <w:r>
        <w:rPr>
          <w:rFonts w:ascii="Times New Roman" w:eastAsia="Times New Roman" w:hAnsi="Times New Roman" w:cs="Times New Roman"/>
          <w:sz w:val="24"/>
        </w:rPr>
        <w:t xml:space="preserve"> </w:t>
      </w:r>
    </w:p>
    <w:p w:rsidR="00025683" w:rsidRDefault="007C2AAB">
      <w:pPr>
        <w:ind w:left="439" w:right="200"/>
      </w:pPr>
      <w:r>
        <w:t>Artículo. 40. Zonas de la ciudad con sistema de recogida puerta a puerta .................... 59</w:t>
      </w:r>
      <w:r>
        <w:rPr>
          <w:rFonts w:ascii="Times New Roman" w:eastAsia="Times New Roman" w:hAnsi="Times New Roman" w:cs="Times New Roman"/>
          <w:sz w:val="24"/>
        </w:rPr>
        <w:t xml:space="preserve"> </w:t>
      </w:r>
    </w:p>
    <w:p w:rsidR="00025683" w:rsidRDefault="007C2AAB">
      <w:pPr>
        <w:ind w:left="439" w:right="200"/>
      </w:pPr>
      <w:r>
        <w:t>Artículo. 41. Normas d</w:t>
      </w:r>
      <w:r>
        <w:t>e uso de los recipientes normalizados ....................................... 60</w:t>
      </w:r>
      <w:r>
        <w:rPr>
          <w:rFonts w:ascii="Times New Roman" w:eastAsia="Times New Roman" w:hAnsi="Times New Roman" w:cs="Times New Roman"/>
          <w:sz w:val="24"/>
        </w:rPr>
        <w:t xml:space="preserve"> </w:t>
      </w:r>
    </w:p>
    <w:p w:rsidR="00025683" w:rsidRDefault="007C2AAB">
      <w:pPr>
        <w:spacing w:after="81"/>
        <w:ind w:left="439" w:right="200"/>
      </w:pPr>
      <w:r>
        <w:t>Artículo. 42. Conservación y limpieza de los cubos ....................................................... 60</w:t>
      </w:r>
      <w:r>
        <w:rPr>
          <w:rFonts w:ascii="Times New Roman" w:eastAsia="Times New Roman" w:hAnsi="Times New Roman" w:cs="Times New Roman"/>
          <w:sz w:val="24"/>
        </w:rPr>
        <w:t xml:space="preserve"> </w:t>
      </w:r>
    </w:p>
    <w:p w:rsidR="00025683" w:rsidRDefault="007C2AAB">
      <w:pPr>
        <w:spacing w:after="90"/>
        <w:ind w:left="439" w:right="200"/>
      </w:pPr>
      <w:r>
        <w:t xml:space="preserve">Artículo. 43 Necesidades y desperfectos de los recipientes </w:t>
      </w:r>
      <w:r>
        <w:t>.......................................... 61</w:t>
      </w:r>
      <w:r>
        <w:rPr>
          <w:rFonts w:ascii="Times New Roman" w:eastAsia="Times New Roman" w:hAnsi="Times New Roman" w:cs="Times New Roman"/>
          <w:sz w:val="24"/>
        </w:rPr>
        <w:t xml:space="preserve"> </w:t>
      </w:r>
      <w:r>
        <w:t>Artículo. 44. de agentes del ámbito privado .................................................................. 61</w:t>
      </w:r>
      <w:r>
        <w:rPr>
          <w:rFonts w:ascii="Times New Roman" w:eastAsia="Times New Roman" w:hAnsi="Times New Roman" w:cs="Times New Roman"/>
          <w:sz w:val="24"/>
        </w:rPr>
        <w:t xml:space="preserve"> </w:t>
      </w:r>
    </w:p>
    <w:p w:rsidR="00025683" w:rsidRDefault="007C2AAB">
      <w:pPr>
        <w:spacing w:after="217"/>
        <w:ind w:left="439" w:right="200"/>
      </w:pPr>
      <w:r>
        <w:t>Artículo. 45. Otros tipos de recipientes ......................................................</w:t>
      </w:r>
      <w:r>
        <w:t>..................... 61</w:t>
      </w:r>
      <w:r>
        <w:rPr>
          <w:rFonts w:ascii="Times New Roman" w:eastAsia="Times New Roman" w:hAnsi="Times New Roman" w:cs="Times New Roman"/>
          <w:sz w:val="24"/>
        </w:rPr>
        <w:t xml:space="preserve"> </w:t>
      </w:r>
    </w:p>
    <w:p w:rsidR="00025683" w:rsidRDefault="007C2AAB">
      <w:pPr>
        <w:spacing w:after="311"/>
        <w:ind w:left="929" w:right="200"/>
      </w:pPr>
      <w:r>
        <w:t>Capítulo IV. Separación, depósito y recogida de los residuos generales ................ 62</w:t>
      </w:r>
      <w:r>
        <w:rPr>
          <w:rFonts w:ascii="Times New Roman" w:eastAsia="Times New Roman" w:hAnsi="Times New Roman" w:cs="Times New Roman"/>
          <w:sz w:val="24"/>
        </w:rPr>
        <w:t xml:space="preserve"> </w:t>
      </w:r>
    </w:p>
    <w:p w:rsidR="00025683" w:rsidRDefault="007C2AAB">
      <w:pPr>
        <w:ind w:left="439" w:right="200"/>
      </w:pPr>
      <w:r>
        <w:t xml:space="preserve">Artículo. 46. Horario, lugar de presentación y retirada de cubos normalizados de los </w:t>
      </w:r>
    </w:p>
    <w:p w:rsidR="00025683" w:rsidRDefault="007C2AAB">
      <w:pPr>
        <w:spacing w:after="83"/>
        <w:ind w:left="439" w:right="200"/>
      </w:pPr>
      <w:r>
        <w:t>espacios públicos ..................................</w:t>
      </w:r>
      <w:r>
        <w:t>......................................................................... 62</w:t>
      </w:r>
      <w:r>
        <w:rPr>
          <w:rFonts w:ascii="Times New Roman" w:eastAsia="Times New Roman" w:hAnsi="Times New Roman" w:cs="Times New Roman"/>
          <w:sz w:val="24"/>
        </w:rPr>
        <w:t xml:space="preserve"> </w:t>
      </w:r>
    </w:p>
    <w:p w:rsidR="00025683" w:rsidRDefault="007C2AAB">
      <w:pPr>
        <w:spacing w:line="319" w:lineRule="auto"/>
        <w:ind w:left="439" w:right="200"/>
      </w:pPr>
      <w:r>
        <w:t>Artículo. 47. Separación, depósito y recogida de biorresiduo ........................................ 63</w:t>
      </w:r>
      <w:r>
        <w:rPr>
          <w:rFonts w:ascii="Times New Roman" w:eastAsia="Times New Roman" w:hAnsi="Times New Roman" w:cs="Times New Roman"/>
          <w:sz w:val="24"/>
        </w:rPr>
        <w:t xml:space="preserve"> </w:t>
      </w:r>
      <w:r>
        <w:t>Artículo. 48. Separación, depósito y recogida de plásticos, metales y bri</w:t>
      </w:r>
      <w:r>
        <w:t>ks .................. 63</w:t>
      </w:r>
      <w:r>
        <w:rPr>
          <w:rFonts w:ascii="Times New Roman" w:eastAsia="Times New Roman" w:hAnsi="Times New Roman" w:cs="Times New Roman"/>
          <w:sz w:val="24"/>
        </w:rPr>
        <w:t xml:space="preserve"> </w:t>
      </w:r>
    </w:p>
    <w:p w:rsidR="00025683" w:rsidRDefault="007C2AAB">
      <w:pPr>
        <w:ind w:left="439" w:right="200"/>
      </w:pPr>
      <w:r>
        <w:t>Artículo. 49. Separación, depósito y recogida de papel y cartón .................................... 64</w:t>
      </w:r>
      <w:r>
        <w:rPr>
          <w:rFonts w:ascii="Times New Roman" w:eastAsia="Times New Roman" w:hAnsi="Times New Roman" w:cs="Times New Roman"/>
          <w:sz w:val="24"/>
        </w:rPr>
        <w:t xml:space="preserve"> </w:t>
      </w:r>
    </w:p>
    <w:p w:rsidR="00025683" w:rsidRDefault="007C2AAB">
      <w:pPr>
        <w:spacing w:after="85"/>
        <w:ind w:left="439" w:right="200"/>
      </w:pPr>
      <w:r>
        <w:t>Artículo. 49. Separación, depósito y recogida de vidrio .................................................. 64</w:t>
      </w:r>
      <w:r>
        <w:rPr>
          <w:rFonts w:ascii="Times New Roman" w:eastAsia="Times New Roman" w:hAnsi="Times New Roman" w:cs="Times New Roman"/>
          <w:sz w:val="24"/>
        </w:rPr>
        <w:t xml:space="preserve"> </w:t>
      </w:r>
    </w:p>
    <w:p w:rsidR="00025683" w:rsidRDefault="007C2AAB">
      <w:pPr>
        <w:ind w:left="439" w:right="200"/>
      </w:pPr>
      <w:r>
        <w:t xml:space="preserve">Artículo. 50. </w:t>
      </w:r>
      <w:r>
        <w:t>Separación, depósito y recogida de ropa y calzado usados. ..................... 65</w:t>
      </w:r>
      <w:r>
        <w:rPr>
          <w:rFonts w:ascii="Times New Roman" w:eastAsia="Times New Roman" w:hAnsi="Times New Roman" w:cs="Times New Roman"/>
          <w:sz w:val="24"/>
        </w:rPr>
        <w:t xml:space="preserve"> </w:t>
      </w:r>
    </w:p>
    <w:p w:rsidR="00025683" w:rsidRDefault="007C2AAB">
      <w:pPr>
        <w:ind w:left="439" w:right="200"/>
      </w:pPr>
      <w:r>
        <w:rPr>
          <w:rFonts w:ascii="Calibri" w:eastAsia="Calibri" w:hAnsi="Calibri" w:cs="Calibri"/>
          <w:noProof/>
        </w:rPr>
        <mc:AlternateContent>
          <mc:Choice Requires="wpg">
            <w:drawing>
              <wp:anchor distT="0" distB="0" distL="114300" distR="114300" simplePos="0" relativeHeight="25189478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3368" name="Group 4133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939" name="Rectangle 2493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4940" name="Rectangle 2494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4941" name="Rectangle 2494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esPublico Ges</w:t>
                              </w:r>
                              <w:r>
                                <w:rPr>
                                  <w:sz w:val="12"/>
                                </w:rPr>
                                <w:t xml:space="preserve">tiona | Página 221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3368" style="width:18.7031pt;height:264.21pt;position:absolute;mso-position-horizontal-relative:page;mso-position-horizontal:absolute;margin-left:662.928pt;mso-position-vertical-relative:page;margin-top:507.75pt;" coordsize="2375,33554">
                <v:rect id="Rectangle 2493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494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494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221 de 350 </w:t>
                        </w:r>
                      </w:p>
                    </w:txbxContent>
                  </v:textbox>
                </v:rect>
                <w10:wrap type="square"/>
              </v:group>
            </w:pict>
          </mc:Fallback>
        </mc:AlternateContent>
      </w:r>
      <w:r>
        <w:t xml:space="preserve">Artículo. 51. Separación, depósito y recogida de aceite vegetal usado de procedencia </w:t>
      </w:r>
    </w:p>
    <w:p w:rsidR="00025683" w:rsidRDefault="007C2AAB">
      <w:pPr>
        <w:spacing w:after="83"/>
        <w:ind w:left="439" w:right="200"/>
      </w:pPr>
      <w:r>
        <w:t>doméstica. .................................................................................................................... 65</w:t>
      </w:r>
      <w:r>
        <w:rPr>
          <w:rFonts w:ascii="Times New Roman" w:eastAsia="Times New Roman" w:hAnsi="Times New Roman" w:cs="Times New Roman"/>
          <w:sz w:val="24"/>
        </w:rPr>
        <w:t xml:space="preserve"> </w:t>
      </w:r>
    </w:p>
    <w:p w:rsidR="00025683" w:rsidRDefault="007C2AAB">
      <w:pPr>
        <w:spacing w:after="201"/>
        <w:ind w:left="929" w:right="200" w:hanging="490"/>
      </w:pPr>
      <w:r>
        <w:t>Artículo. 5</w:t>
      </w:r>
      <w:r>
        <w:t>2. Recogida separada puerta a puerta en el ámbito comercial ....................... 66</w:t>
      </w:r>
      <w:r>
        <w:rPr>
          <w:rFonts w:ascii="Times New Roman" w:eastAsia="Times New Roman" w:hAnsi="Times New Roman" w:cs="Times New Roman"/>
          <w:sz w:val="24"/>
        </w:rPr>
        <w:t xml:space="preserve"> </w:t>
      </w:r>
      <w:r>
        <w:t>Capítulo V. Gestión de los residuos especiales...................................................... 67</w:t>
      </w:r>
      <w:r>
        <w:rPr>
          <w:rFonts w:ascii="Times New Roman" w:eastAsia="Times New Roman" w:hAnsi="Times New Roman" w:cs="Times New Roman"/>
          <w:sz w:val="24"/>
        </w:rPr>
        <w:t xml:space="preserve"> </w:t>
      </w:r>
    </w:p>
    <w:p w:rsidR="00025683" w:rsidRDefault="007C2AAB">
      <w:pPr>
        <w:spacing w:after="80"/>
        <w:ind w:left="439" w:right="200"/>
      </w:pPr>
      <w:r>
        <w:t>Artículo. 53. Obligaciones generales ...........................</w:t>
      </w:r>
      <w:r>
        <w:t>.................................................. 67</w:t>
      </w:r>
      <w:r>
        <w:rPr>
          <w:rFonts w:ascii="Times New Roman" w:eastAsia="Times New Roman" w:hAnsi="Times New Roman" w:cs="Times New Roman"/>
          <w:sz w:val="24"/>
        </w:rPr>
        <w:t xml:space="preserve"> </w:t>
      </w:r>
    </w:p>
    <w:p w:rsidR="00025683" w:rsidRDefault="007C2AAB">
      <w:pPr>
        <w:ind w:left="439" w:right="200"/>
      </w:pPr>
      <w:r>
        <w:t>Artículo. 54. Trazabilidad del RCD ................................................................................ 68</w:t>
      </w:r>
      <w:r>
        <w:rPr>
          <w:rFonts w:ascii="Times New Roman" w:eastAsia="Times New Roman" w:hAnsi="Times New Roman" w:cs="Times New Roman"/>
          <w:sz w:val="24"/>
        </w:rPr>
        <w:t xml:space="preserve"> </w:t>
      </w:r>
    </w:p>
    <w:p w:rsidR="00025683" w:rsidRDefault="007C2AAB">
      <w:pPr>
        <w:spacing w:after="71"/>
        <w:ind w:left="439" w:right="200"/>
      </w:pPr>
      <w:r>
        <w:t>Artículo. 55. Obligaciones de la persona a cargo de la producción y posesión de R</w:t>
      </w:r>
      <w:r>
        <w:t>CD . 68</w:t>
      </w:r>
      <w:r>
        <w:rPr>
          <w:rFonts w:ascii="Times New Roman" w:eastAsia="Times New Roman" w:hAnsi="Times New Roman" w:cs="Times New Roman"/>
          <w:sz w:val="24"/>
        </w:rPr>
        <w:t xml:space="preserve"> </w:t>
      </w:r>
    </w:p>
    <w:p w:rsidR="00025683" w:rsidRDefault="007C2AAB">
      <w:pPr>
        <w:ind w:left="439" w:right="200"/>
      </w:pPr>
      <w:r>
        <w:t xml:space="preserve">Artículo. 56 Depósito de escombros de obras menores de construcción y reparación </w:t>
      </w:r>
    </w:p>
    <w:p w:rsidR="00025683" w:rsidRDefault="007C2AAB">
      <w:pPr>
        <w:ind w:left="439" w:right="200"/>
      </w:pPr>
      <w:r>
        <w:t>domiciliaria en puntos limpios ....................................................................................... 70</w:t>
      </w:r>
      <w:r>
        <w:rPr>
          <w:rFonts w:ascii="Times New Roman" w:eastAsia="Times New Roman" w:hAnsi="Times New Roman" w:cs="Times New Roman"/>
          <w:sz w:val="24"/>
        </w:rPr>
        <w:t xml:space="preserve"> </w:t>
      </w:r>
    </w:p>
    <w:p w:rsidR="00025683" w:rsidRDefault="007C2AAB">
      <w:pPr>
        <w:ind w:left="439"/>
      </w:pPr>
      <w:r>
        <w:t xml:space="preserve">Artículo. 57. Utilización de contenedores </w:t>
      </w:r>
      <w:r>
        <w:t>y sacos para RCD materiales de construcción.</w:t>
      </w:r>
    </w:p>
    <w:p w:rsidR="00025683" w:rsidRDefault="007C2AAB">
      <w:pPr>
        <w:spacing w:after="80"/>
        <w:ind w:left="439" w:right="200"/>
      </w:pPr>
      <w:r>
        <w:t xml:space="preserve"> ...................................................................................................................................... 71</w:t>
      </w:r>
      <w:r>
        <w:rPr>
          <w:rFonts w:ascii="Times New Roman" w:eastAsia="Times New Roman" w:hAnsi="Times New Roman" w:cs="Times New Roman"/>
          <w:sz w:val="24"/>
        </w:rPr>
        <w:t xml:space="preserve"> </w:t>
      </w:r>
    </w:p>
    <w:p w:rsidR="00025683" w:rsidRDefault="007C2AAB">
      <w:pPr>
        <w:ind w:left="439" w:right="200"/>
      </w:pPr>
      <w:r>
        <w:t>Artículo. 58. Normas de utilización de contenedores y sacos ...........</w:t>
      </w:r>
      <w:r>
        <w:t>............................. 73</w:t>
      </w:r>
      <w:r>
        <w:rPr>
          <w:rFonts w:ascii="Times New Roman" w:eastAsia="Times New Roman" w:hAnsi="Times New Roman" w:cs="Times New Roman"/>
          <w:sz w:val="24"/>
        </w:rPr>
        <w:t xml:space="preserve"> </w:t>
      </w:r>
    </w:p>
    <w:p w:rsidR="00025683" w:rsidRDefault="007C2AAB">
      <w:pPr>
        <w:spacing w:after="85"/>
        <w:ind w:left="439" w:right="200"/>
      </w:pPr>
      <w:r>
        <w:t>Artículo. 59. Separación, depósito y recogida ................................................................ 75</w:t>
      </w:r>
      <w:r>
        <w:rPr>
          <w:rFonts w:ascii="Times New Roman" w:eastAsia="Times New Roman" w:hAnsi="Times New Roman" w:cs="Times New Roman"/>
          <w:sz w:val="24"/>
        </w:rPr>
        <w:t xml:space="preserve"> </w:t>
      </w:r>
    </w:p>
    <w:p w:rsidR="00025683" w:rsidRDefault="007C2AAB">
      <w:pPr>
        <w:ind w:left="439" w:right="200"/>
      </w:pPr>
      <w:r>
        <w:t>Artículo. 60. Recogida de muebles y enseres ...............................................................</w:t>
      </w:r>
      <w:r>
        <w:t>. 75</w:t>
      </w:r>
      <w:r>
        <w:rPr>
          <w:rFonts w:ascii="Times New Roman" w:eastAsia="Times New Roman" w:hAnsi="Times New Roman" w:cs="Times New Roman"/>
          <w:sz w:val="24"/>
        </w:rPr>
        <w:t xml:space="preserve"> </w:t>
      </w:r>
    </w:p>
    <w:p w:rsidR="00025683" w:rsidRDefault="007C2AAB">
      <w:pPr>
        <w:spacing w:after="66"/>
        <w:ind w:left="439" w:right="200"/>
      </w:pPr>
      <w:r>
        <w:t>Artículo. 61. Gestión de animales muertos .................................................................... 76</w:t>
      </w:r>
      <w:r>
        <w:rPr>
          <w:rFonts w:ascii="Times New Roman" w:eastAsia="Times New Roman" w:hAnsi="Times New Roman" w:cs="Times New Roman"/>
          <w:sz w:val="24"/>
        </w:rPr>
        <w:t xml:space="preserve"> </w:t>
      </w:r>
    </w:p>
    <w:p w:rsidR="00025683" w:rsidRDefault="007C2AAB">
      <w:pPr>
        <w:spacing w:after="89"/>
        <w:ind w:left="439" w:right="200"/>
      </w:pPr>
      <w:r>
        <w:t>Artículo. 62. Obligaciones de las entidades que entreguen animales a los servicios municipales.........................................</w:t>
      </w:r>
      <w:r>
        <w:t>........................................................................... 77</w:t>
      </w:r>
      <w:r>
        <w:rPr>
          <w:rFonts w:ascii="Times New Roman" w:eastAsia="Times New Roman" w:hAnsi="Times New Roman" w:cs="Times New Roman"/>
          <w:sz w:val="24"/>
        </w:rPr>
        <w:t xml:space="preserve"> </w:t>
      </w:r>
      <w:r>
        <w:t>Artículo. 63. Gestión de residuos sanitarios ................................................................... 78</w:t>
      </w:r>
      <w:r>
        <w:rPr>
          <w:rFonts w:ascii="Times New Roman" w:eastAsia="Times New Roman" w:hAnsi="Times New Roman" w:cs="Times New Roman"/>
          <w:sz w:val="24"/>
        </w:rPr>
        <w:t xml:space="preserve"> </w:t>
      </w:r>
    </w:p>
    <w:p w:rsidR="00025683" w:rsidRDefault="007C2AAB">
      <w:pPr>
        <w:ind w:left="439" w:right="200"/>
      </w:pPr>
      <w:r>
        <w:t xml:space="preserve">Artículo. 64. Recogida de Residuos de Aparatos Eléctricos y </w:t>
      </w:r>
      <w:r>
        <w:t>Electrónicos ................... 79</w:t>
      </w:r>
      <w:r>
        <w:rPr>
          <w:rFonts w:ascii="Times New Roman" w:eastAsia="Times New Roman" w:hAnsi="Times New Roman" w:cs="Times New Roman"/>
          <w:sz w:val="24"/>
        </w:rPr>
        <w:t xml:space="preserve"> </w:t>
      </w:r>
    </w:p>
    <w:p w:rsidR="00025683" w:rsidRDefault="007C2AAB">
      <w:pPr>
        <w:spacing w:after="83"/>
        <w:ind w:left="439" w:right="200"/>
      </w:pPr>
      <w:r>
        <w:t>Artículo. 65. Producción y gestión de residuos industriales ........................................... 80</w:t>
      </w:r>
      <w:r>
        <w:rPr>
          <w:rFonts w:ascii="Times New Roman" w:eastAsia="Times New Roman" w:hAnsi="Times New Roman" w:cs="Times New Roman"/>
          <w:sz w:val="24"/>
        </w:rPr>
        <w:t xml:space="preserve"> </w:t>
      </w:r>
    </w:p>
    <w:p w:rsidR="00025683" w:rsidRDefault="007C2AAB">
      <w:pPr>
        <w:spacing w:after="337" w:line="238" w:lineRule="auto"/>
        <w:ind w:left="449" w:hanging="10"/>
        <w:jc w:val="left"/>
      </w:pPr>
      <w:r>
        <w:t>Artículo. 66. Residuos de poda y jardinería ...................................................................</w:t>
      </w:r>
      <w:r>
        <w:t>. 80</w:t>
      </w:r>
      <w:r>
        <w:rPr>
          <w:rFonts w:ascii="Times New Roman" w:eastAsia="Times New Roman" w:hAnsi="Times New Roman" w:cs="Times New Roman"/>
          <w:sz w:val="24"/>
        </w:rPr>
        <w:t xml:space="preserve"> </w:t>
      </w:r>
      <w:r>
        <w:t>Artículo. 67. Alimentos y productos caducados ..............................................................81 Capítulo V. Gestión de los residuos especiales ..................................................... 81</w:t>
      </w:r>
      <w:r>
        <w:rPr>
          <w:rFonts w:ascii="Times New Roman" w:eastAsia="Times New Roman" w:hAnsi="Times New Roman" w:cs="Times New Roman"/>
          <w:sz w:val="24"/>
        </w:rPr>
        <w:t xml:space="preserve"> </w:t>
      </w:r>
    </w:p>
    <w:p w:rsidR="00025683" w:rsidRDefault="007C2AAB">
      <w:pPr>
        <w:ind w:left="439" w:right="200"/>
      </w:pPr>
      <w:r>
        <w:t>Artículo 68. Recogida separada de r</w:t>
      </w:r>
      <w:r>
        <w:t>esiduos de medicamentos y de sus envases .........81</w:t>
      </w:r>
      <w:r>
        <w:rPr>
          <w:rFonts w:ascii="Times New Roman" w:eastAsia="Times New Roman" w:hAnsi="Times New Roman" w:cs="Times New Roman"/>
          <w:sz w:val="24"/>
        </w:rPr>
        <w:t xml:space="preserve"> </w:t>
      </w:r>
    </w:p>
    <w:p w:rsidR="00025683" w:rsidRDefault="007C2AAB">
      <w:pPr>
        <w:spacing w:after="205"/>
        <w:ind w:left="439" w:right="200"/>
      </w:pPr>
      <w:r>
        <w:t>Artículo 69. Recogida separada de residuos de pilas y acumuladores .......................... 82</w:t>
      </w:r>
      <w:r>
        <w:rPr>
          <w:rFonts w:ascii="Times New Roman" w:eastAsia="Times New Roman" w:hAnsi="Times New Roman" w:cs="Times New Roman"/>
          <w:sz w:val="24"/>
        </w:rPr>
        <w:t xml:space="preserve"> </w:t>
      </w:r>
    </w:p>
    <w:p w:rsidR="00025683" w:rsidRDefault="007C2AAB">
      <w:pPr>
        <w:spacing w:after="9" w:line="249" w:lineRule="auto"/>
        <w:ind w:left="10" w:right="235" w:hanging="10"/>
        <w:jc w:val="right"/>
      </w:pPr>
      <w:r>
        <w:t xml:space="preserve">Capítulo VI: Servicio de recogida y Puntos limpios insulares. Recogida de </w:t>
      </w:r>
    </w:p>
    <w:p w:rsidR="00025683" w:rsidRDefault="007C2AAB">
      <w:pPr>
        <w:spacing w:after="321"/>
        <w:ind w:left="221" w:right="200"/>
      </w:pPr>
      <w:r>
        <w:t xml:space="preserve">Residuos de Especiales </w:t>
      </w:r>
      <w:r>
        <w:t>Características ........................................................................... 82</w:t>
      </w:r>
      <w:r>
        <w:rPr>
          <w:rFonts w:ascii="Times New Roman" w:eastAsia="Times New Roman" w:hAnsi="Times New Roman" w:cs="Times New Roman"/>
          <w:sz w:val="24"/>
        </w:rPr>
        <w:t xml:space="preserve"> </w:t>
      </w:r>
    </w:p>
    <w:p w:rsidR="00025683" w:rsidRDefault="007C2AAB">
      <w:pPr>
        <w:spacing w:after="83"/>
        <w:ind w:left="439" w:right="200"/>
      </w:pPr>
      <w:r>
        <w:t>Artículo 70. Servicio de recogida y Puntos Limpios Insulares........................................ 82</w:t>
      </w:r>
      <w:r>
        <w:rPr>
          <w:rFonts w:ascii="Times New Roman" w:eastAsia="Times New Roman" w:hAnsi="Times New Roman" w:cs="Times New Roman"/>
          <w:sz w:val="24"/>
        </w:rPr>
        <w:t xml:space="preserve"> </w:t>
      </w:r>
    </w:p>
    <w:p w:rsidR="00025683" w:rsidRDefault="007C2AAB">
      <w:pPr>
        <w:ind w:left="439" w:right="200"/>
      </w:pPr>
      <w:r>
        <w:t>Artículo 71. Residuos Admisibles en el Ecopunto Móvil y</w:t>
      </w:r>
      <w:r>
        <w:t xml:space="preserve"> en la Red Insular ...................83</w:t>
      </w:r>
      <w:r>
        <w:rPr>
          <w:rFonts w:ascii="Times New Roman" w:eastAsia="Times New Roman" w:hAnsi="Times New Roman" w:cs="Times New Roman"/>
          <w:sz w:val="24"/>
        </w:rPr>
        <w:t xml:space="preserve"> </w:t>
      </w:r>
    </w:p>
    <w:p w:rsidR="00025683" w:rsidRDefault="007C2AAB">
      <w:pPr>
        <w:ind w:left="439" w:right="200"/>
      </w:pPr>
      <w:r>
        <w:t xml:space="preserve">Artículo. 72. Residuos procedentes del ámbito comercial o industrial (naturaleza no </w:t>
      </w:r>
    </w:p>
    <w:p w:rsidR="00025683" w:rsidRDefault="007C2AAB">
      <w:pPr>
        <w:spacing w:after="78"/>
        <w:ind w:left="439" w:right="200"/>
      </w:pPr>
      <w:r>
        <w:t>doméstica) .................................................................................................................... 8</w:t>
      </w:r>
      <w:r>
        <w:t>4</w:t>
      </w:r>
      <w:r>
        <w:rPr>
          <w:rFonts w:ascii="Times New Roman" w:eastAsia="Times New Roman" w:hAnsi="Times New Roman" w:cs="Times New Roman"/>
          <w:sz w:val="24"/>
        </w:rPr>
        <w:t xml:space="preserve"> </w:t>
      </w:r>
    </w:p>
    <w:p w:rsidR="00025683" w:rsidRDefault="007C2AAB">
      <w:pPr>
        <w:spacing w:after="330"/>
        <w:ind w:left="929" w:right="200" w:hanging="490"/>
      </w:pPr>
      <w:r>
        <w:t>Artículo. 73. Gestión de los residuos de puntos limpios ................................................. 84</w:t>
      </w:r>
      <w:r>
        <w:rPr>
          <w:rFonts w:ascii="Times New Roman" w:eastAsia="Times New Roman" w:hAnsi="Times New Roman" w:cs="Times New Roman"/>
          <w:sz w:val="24"/>
        </w:rPr>
        <w:t xml:space="preserve"> </w:t>
      </w:r>
      <w:r>
        <w:t>Capítulo VII. Compostaje doméstico y comunitario ............................................... 85</w:t>
      </w:r>
      <w:r>
        <w:rPr>
          <w:rFonts w:ascii="Times New Roman" w:eastAsia="Times New Roman" w:hAnsi="Times New Roman" w:cs="Times New Roman"/>
          <w:sz w:val="24"/>
        </w:rPr>
        <w:t xml:space="preserve"> </w:t>
      </w:r>
    </w:p>
    <w:p w:rsidR="00025683" w:rsidRDefault="007C2AAB">
      <w:pPr>
        <w:spacing w:after="217"/>
        <w:ind w:left="439" w:right="200"/>
      </w:pPr>
      <w:r>
        <w:t>Artículo. 74. Compostaje doméstico y comuni</w:t>
      </w:r>
      <w:r>
        <w:t>tario ......................................................... 85</w:t>
      </w:r>
      <w:r>
        <w:rPr>
          <w:rFonts w:ascii="Times New Roman" w:eastAsia="Times New Roman" w:hAnsi="Times New Roman" w:cs="Times New Roman"/>
          <w:sz w:val="24"/>
        </w:rPr>
        <w:t xml:space="preserve"> </w:t>
      </w:r>
    </w:p>
    <w:p w:rsidR="00025683" w:rsidRDefault="007C2AAB">
      <w:pPr>
        <w:spacing w:after="197" w:line="249" w:lineRule="auto"/>
        <w:ind w:left="10" w:right="235" w:hanging="10"/>
        <w:jc w:val="right"/>
      </w:pPr>
      <w:r>
        <w:t>TÍTULO III. Inspección y control ............................................................................. 85</w:t>
      </w:r>
      <w:r>
        <w:rPr>
          <w:rFonts w:ascii="Times New Roman" w:eastAsia="Times New Roman" w:hAnsi="Times New Roman" w:cs="Times New Roman"/>
          <w:sz w:val="24"/>
        </w:rPr>
        <w:t xml:space="preserve"> </w:t>
      </w:r>
    </w:p>
    <w:p w:rsidR="00025683" w:rsidRDefault="007C2AAB">
      <w:pPr>
        <w:spacing w:after="80"/>
        <w:ind w:left="439" w:right="200"/>
      </w:pPr>
      <w:r>
        <w:t>Artículo. 75. Competencia en vigilancia y control .......................</w:t>
      </w:r>
      <w:r>
        <w:t>.................................... 85</w:t>
      </w:r>
      <w:r>
        <w:rPr>
          <w:rFonts w:ascii="Times New Roman" w:eastAsia="Times New Roman" w:hAnsi="Times New Roman" w:cs="Times New Roman"/>
          <w:sz w:val="24"/>
        </w:rPr>
        <w:t xml:space="preserve"> </w:t>
      </w:r>
    </w:p>
    <w:p w:rsidR="00025683" w:rsidRDefault="007C2AAB">
      <w:pPr>
        <w:ind w:left="439" w:right="200"/>
      </w:pPr>
      <w:r>
        <w:t>Artículo. 76. Servicios de inspección. ............................................................................ 86</w:t>
      </w:r>
      <w:r>
        <w:rPr>
          <w:rFonts w:ascii="Times New Roman" w:eastAsia="Times New Roman" w:hAnsi="Times New Roman" w:cs="Times New Roman"/>
          <w:sz w:val="24"/>
        </w:rPr>
        <w:t xml:space="preserve"> </w:t>
      </w:r>
    </w:p>
    <w:p w:rsidR="00025683" w:rsidRDefault="007C2AAB">
      <w:pPr>
        <w:spacing w:after="85"/>
        <w:ind w:left="439" w:right="200"/>
      </w:pPr>
      <w:r>
        <w:rPr>
          <w:rFonts w:ascii="Calibri" w:eastAsia="Calibri" w:hAnsi="Calibri" w:cs="Calibri"/>
          <w:noProof/>
        </w:rPr>
        <mc:AlternateContent>
          <mc:Choice Requires="wpg">
            <w:drawing>
              <wp:anchor distT="0" distB="0" distL="114300" distR="114300" simplePos="0" relativeHeight="25189580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3495" name="Group 4134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557" name="Rectangle 2555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5558" name="Rectangle 2555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559" name="Rectangle 2555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222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3495" style="width:18.7031pt;height:264.21pt;position:absolute;mso-position-horizontal-relative:page;mso-position-horizontal:absolute;margin-left:662.928pt;mso-position-vertical-relative:page;margin-top:507.75pt;" coordsize="2375,33554">
                <v:rect id="Rectangle 2555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555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55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222 de 350 </w:t>
                        </w:r>
                      </w:p>
                    </w:txbxContent>
                  </v:textbox>
                </v:rect>
                <w10:wrap type="square"/>
              </v:group>
            </w:pict>
          </mc:Fallback>
        </mc:AlternateContent>
      </w:r>
      <w:r>
        <w:t>Artículo. 77. Ejercicio de la función inspectora .........................................................</w:t>
      </w:r>
      <w:r>
        <w:t>...... 87</w:t>
      </w:r>
      <w:r>
        <w:rPr>
          <w:rFonts w:ascii="Times New Roman" w:eastAsia="Times New Roman" w:hAnsi="Times New Roman" w:cs="Times New Roman"/>
          <w:sz w:val="24"/>
        </w:rPr>
        <w:t xml:space="preserve"> </w:t>
      </w:r>
    </w:p>
    <w:p w:rsidR="00025683" w:rsidRDefault="007C2AAB">
      <w:pPr>
        <w:spacing w:after="226" w:line="336" w:lineRule="auto"/>
        <w:ind w:left="449" w:hanging="10"/>
        <w:jc w:val="left"/>
      </w:pPr>
      <w:r>
        <w:t>Artículo. 78. Deber de colaboración ............................................................................... 88</w:t>
      </w:r>
      <w:r>
        <w:rPr>
          <w:rFonts w:ascii="Times New Roman" w:eastAsia="Times New Roman" w:hAnsi="Times New Roman" w:cs="Times New Roman"/>
          <w:sz w:val="24"/>
        </w:rPr>
        <w:t xml:space="preserve"> </w:t>
      </w:r>
      <w:r>
        <w:t>Artículo. 79. Funciones del personal auxiliar. ................................................................ 88</w:t>
      </w:r>
      <w:r>
        <w:rPr>
          <w:rFonts w:ascii="Times New Roman" w:eastAsia="Times New Roman" w:hAnsi="Times New Roman" w:cs="Times New Roman"/>
          <w:sz w:val="24"/>
        </w:rPr>
        <w:t xml:space="preserve"> </w:t>
      </w:r>
      <w:r>
        <w:t xml:space="preserve">TÍTULO IV. </w:t>
      </w:r>
      <w:r>
        <w:t>Infracciones y sanciones ..................................................................... 88</w:t>
      </w:r>
      <w:r>
        <w:rPr>
          <w:rFonts w:ascii="Times New Roman" w:eastAsia="Times New Roman" w:hAnsi="Times New Roman" w:cs="Times New Roman"/>
          <w:sz w:val="24"/>
        </w:rPr>
        <w:t xml:space="preserve"> </w:t>
      </w:r>
    </w:p>
    <w:p w:rsidR="00025683" w:rsidRDefault="007C2AAB">
      <w:pPr>
        <w:spacing w:after="322" w:line="249" w:lineRule="auto"/>
        <w:ind w:left="10" w:right="235" w:hanging="10"/>
        <w:jc w:val="right"/>
      </w:pPr>
      <w:r>
        <w:t>Capítulo I. Normas comunes a las infracciones y sanciones .................................. 88</w:t>
      </w:r>
      <w:r>
        <w:rPr>
          <w:rFonts w:ascii="Times New Roman" w:eastAsia="Times New Roman" w:hAnsi="Times New Roman" w:cs="Times New Roman"/>
          <w:sz w:val="24"/>
        </w:rPr>
        <w:t xml:space="preserve"> </w:t>
      </w:r>
    </w:p>
    <w:p w:rsidR="00025683" w:rsidRDefault="007C2AAB">
      <w:pPr>
        <w:spacing w:after="86"/>
        <w:ind w:left="439" w:right="200"/>
      </w:pPr>
      <w:r>
        <w:t>Artículo. 80. Normas generales .............................</w:t>
      </w:r>
      <w:r>
        <w:t>........................................................ 88</w:t>
      </w:r>
      <w:r>
        <w:rPr>
          <w:rFonts w:ascii="Times New Roman" w:eastAsia="Times New Roman" w:hAnsi="Times New Roman" w:cs="Times New Roman"/>
          <w:sz w:val="24"/>
        </w:rPr>
        <w:t xml:space="preserve"> </w:t>
      </w:r>
    </w:p>
    <w:p w:rsidR="00025683" w:rsidRDefault="007C2AAB">
      <w:pPr>
        <w:spacing w:after="89"/>
        <w:ind w:left="439" w:right="200"/>
      </w:pPr>
      <w:r>
        <w:t>Artículo. 81. Personas responsables .............................................................................. 89</w:t>
      </w:r>
      <w:r>
        <w:rPr>
          <w:rFonts w:ascii="Times New Roman" w:eastAsia="Times New Roman" w:hAnsi="Times New Roman" w:cs="Times New Roman"/>
          <w:sz w:val="24"/>
        </w:rPr>
        <w:t xml:space="preserve"> </w:t>
      </w:r>
      <w:r>
        <w:t>Artículo. 82. Responsabilidad por los daños causados. .......................</w:t>
      </w:r>
      <w:r>
        <w:t>......................... 89</w:t>
      </w:r>
      <w:r>
        <w:rPr>
          <w:rFonts w:ascii="Times New Roman" w:eastAsia="Times New Roman" w:hAnsi="Times New Roman" w:cs="Times New Roman"/>
          <w:sz w:val="24"/>
        </w:rPr>
        <w:t xml:space="preserve"> </w:t>
      </w:r>
    </w:p>
    <w:p w:rsidR="00025683" w:rsidRDefault="007C2AAB">
      <w:pPr>
        <w:spacing w:after="89"/>
        <w:ind w:left="439" w:right="200"/>
      </w:pPr>
      <w:r>
        <w:t>Artículo. 83. Infracciones administrativas y su clasificación ........................................... 90</w:t>
      </w:r>
      <w:r>
        <w:rPr>
          <w:rFonts w:ascii="Times New Roman" w:eastAsia="Times New Roman" w:hAnsi="Times New Roman" w:cs="Times New Roman"/>
          <w:sz w:val="24"/>
        </w:rPr>
        <w:t xml:space="preserve"> </w:t>
      </w:r>
      <w:r>
        <w:t>Artículo. 84. Prescripción de infracciones y sanciones. ................................................. 90</w:t>
      </w:r>
      <w:r>
        <w:rPr>
          <w:rFonts w:ascii="Times New Roman" w:eastAsia="Times New Roman" w:hAnsi="Times New Roman" w:cs="Times New Roman"/>
          <w:sz w:val="24"/>
        </w:rPr>
        <w:t xml:space="preserve"> </w:t>
      </w:r>
    </w:p>
    <w:p w:rsidR="00025683" w:rsidRDefault="007C2AAB">
      <w:pPr>
        <w:spacing w:after="329"/>
        <w:ind w:left="929" w:right="200" w:hanging="490"/>
      </w:pPr>
      <w:r>
        <w:t>Artículo. 83. Régimen aplicable a las infracciones y sanciones ...................................... 91</w:t>
      </w:r>
      <w:r>
        <w:rPr>
          <w:rFonts w:ascii="Times New Roman" w:eastAsia="Times New Roman" w:hAnsi="Times New Roman" w:cs="Times New Roman"/>
          <w:sz w:val="24"/>
        </w:rPr>
        <w:t xml:space="preserve"> </w:t>
      </w:r>
      <w:r>
        <w:t>Capítulo II. Infracciones ......................................................................................... 91</w:t>
      </w:r>
      <w:r>
        <w:rPr>
          <w:rFonts w:ascii="Times New Roman" w:eastAsia="Times New Roman" w:hAnsi="Times New Roman" w:cs="Times New Roman"/>
          <w:sz w:val="24"/>
        </w:rPr>
        <w:t xml:space="preserve"> </w:t>
      </w:r>
    </w:p>
    <w:p w:rsidR="00025683" w:rsidRDefault="007C2AAB">
      <w:pPr>
        <w:spacing w:after="219"/>
        <w:ind w:left="439" w:right="200"/>
      </w:pPr>
      <w:r>
        <w:t xml:space="preserve">Artículo. 85. Clasificación de </w:t>
      </w:r>
      <w:r>
        <w:t>las infracciones ................................................................. 91</w:t>
      </w:r>
      <w:r>
        <w:rPr>
          <w:rFonts w:ascii="Times New Roman" w:eastAsia="Times New Roman" w:hAnsi="Times New Roman" w:cs="Times New Roman"/>
          <w:sz w:val="24"/>
        </w:rPr>
        <w:t xml:space="preserve"> </w:t>
      </w:r>
    </w:p>
    <w:p w:rsidR="00025683" w:rsidRDefault="007C2AAB">
      <w:pPr>
        <w:spacing w:after="322" w:line="249" w:lineRule="auto"/>
        <w:ind w:left="10" w:right="325" w:hanging="10"/>
        <w:jc w:val="right"/>
      </w:pPr>
      <w:r>
        <w:t>Capítulo III. Sanciones .......................................................................................... 94</w:t>
      </w:r>
      <w:r>
        <w:rPr>
          <w:rFonts w:ascii="Times New Roman" w:eastAsia="Times New Roman" w:hAnsi="Times New Roman" w:cs="Times New Roman"/>
          <w:sz w:val="24"/>
        </w:rPr>
        <w:t xml:space="preserve"> </w:t>
      </w:r>
    </w:p>
    <w:p w:rsidR="00025683" w:rsidRDefault="007C2AAB">
      <w:pPr>
        <w:ind w:left="439" w:right="200"/>
      </w:pPr>
      <w:r>
        <w:t xml:space="preserve">Artículo. 86. Sanciones </w:t>
      </w:r>
      <w:r>
        <w:t>................................................................................................. 94</w:t>
      </w:r>
      <w:r>
        <w:rPr>
          <w:rFonts w:ascii="Times New Roman" w:eastAsia="Times New Roman" w:hAnsi="Times New Roman" w:cs="Times New Roman"/>
          <w:sz w:val="24"/>
        </w:rPr>
        <w:t xml:space="preserve"> </w:t>
      </w:r>
    </w:p>
    <w:p w:rsidR="00025683" w:rsidRDefault="007C2AAB">
      <w:pPr>
        <w:spacing w:after="85"/>
        <w:ind w:left="439" w:right="200"/>
      </w:pPr>
      <w:r>
        <w:t>Artículo. 87. Criterios de graduación de las sanciones ................................................... 95</w:t>
      </w:r>
      <w:r>
        <w:rPr>
          <w:rFonts w:ascii="Times New Roman" w:eastAsia="Times New Roman" w:hAnsi="Times New Roman" w:cs="Times New Roman"/>
          <w:sz w:val="24"/>
        </w:rPr>
        <w:t xml:space="preserve"> </w:t>
      </w:r>
    </w:p>
    <w:p w:rsidR="00025683" w:rsidRDefault="007C2AAB">
      <w:pPr>
        <w:spacing w:after="235"/>
        <w:ind w:left="439" w:right="200"/>
      </w:pPr>
      <w:r>
        <w:t>Artículo. 88. Especificación de conductas .</w:t>
      </w:r>
      <w:r>
        <w:t>.................................................................... 95</w:t>
      </w:r>
      <w:r>
        <w:rPr>
          <w:rFonts w:ascii="Times New Roman" w:eastAsia="Times New Roman" w:hAnsi="Times New Roman" w:cs="Times New Roman"/>
          <w:sz w:val="24"/>
        </w:rPr>
        <w:t xml:space="preserve"> </w:t>
      </w:r>
      <w:r>
        <w:t>Artículo. 89. Medidas provisionales...............................................................................96</w:t>
      </w:r>
    </w:p>
    <w:p w:rsidR="00025683" w:rsidRDefault="007C2AAB">
      <w:pPr>
        <w:spacing w:after="325"/>
        <w:ind w:left="14" w:right="200"/>
      </w:pPr>
      <w:r>
        <w:t>TITULO V. EXENCIONES Y BONIFICACIONES .............................</w:t>
      </w:r>
      <w:r>
        <w:t>..................................... 96</w:t>
      </w:r>
      <w:r>
        <w:rPr>
          <w:rFonts w:ascii="Times New Roman" w:eastAsia="Times New Roman" w:hAnsi="Times New Roman" w:cs="Times New Roman"/>
          <w:sz w:val="24"/>
        </w:rPr>
        <w:t xml:space="preserve"> </w:t>
      </w:r>
    </w:p>
    <w:p w:rsidR="00025683" w:rsidRDefault="007C2AAB">
      <w:pPr>
        <w:spacing w:after="322" w:line="249" w:lineRule="auto"/>
        <w:ind w:left="10" w:right="235" w:hanging="10"/>
        <w:jc w:val="right"/>
      </w:pPr>
      <w:r>
        <w:t>Capitulo I. Definición de gran productor ................................................................. 96</w:t>
      </w:r>
      <w:r>
        <w:rPr>
          <w:rFonts w:ascii="Times New Roman" w:eastAsia="Times New Roman" w:hAnsi="Times New Roman" w:cs="Times New Roman"/>
          <w:sz w:val="24"/>
        </w:rPr>
        <w:t xml:space="preserve"> </w:t>
      </w:r>
    </w:p>
    <w:p w:rsidR="00025683" w:rsidRDefault="007C2AAB">
      <w:pPr>
        <w:spacing w:after="329"/>
        <w:ind w:left="929" w:right="200" w:hanging="490"/>
      </w:pPr>
      <w:r>
        <w:t>Artículo. 90. Objeto y Ámbito de Aplicación ...........................................................</w:t>
      </w:r>
      <w:r>
        <w:t>........ 96</w:t>
      </w:r>
      <w:r>
        <w:rPr>
          <w:rFonts w:ascii="Times New Roman" w:eastAsia="Times New Roman" w:hAnsi="Times New Roman" w:cs="Times New Roman"/>
          <w:sz w:val="24"/>
        </w:rPr>
        <w:t xml:space="preserve"> </w:t>
      </w:r>
      <w:r>
        <w:t>Capítulo II. Clasificación de los Grandes Productores de residuos ........................ 96</w:t>
      </w:r>
      <w:r>
        <w:rPr>
          <w:rFonts w:ascii="Times New Roman" w:eastAsia="Times New Roman" w:hAnsi="Times New Roman" w:cs="Times New Roman"/>
          <w:sz w:val="24"/>
        </w:rPr>
        <w:t xml:space="preserve"> </w:t>
      </w:r>
    </w:p>
    <w:p w:rsidR="00025683" w:rsidRDefault="007C2AAB">
      <w:pPr>
        <w:spacing w:after="108" w:line="325" w:lineRule="auto"/>
        <w:ind w:left="439" w:right="200"/>
      </w:pPr>
      <w:r>
        <w:t>Artículo 91. Clasificación por Sector de Actividad .......................................................... 96</w:t>
      </w:r>
      <w:r>
        <w:rPr>
          <w:rFonts w:ascii="Times New Roman" w:eastAsia="Times New Roman" w:hAnsi="Times New Roman" w:cs="Times New Roman"/>
          <w:sz w:val="24"/>
        </w:rPr>
        <w:t xml:space="preserve"> </w:t>
      </w:r>
      <w:r>
        <w:t>Artículo 92. Clasificación por volum</w:t>
      </w:r>
      <w:r>
        <w:t>en de residuos generados ......................................97</w:t>
      </w:r>
      <w:r>
        <w:rPr>
          <w:rFonts w:ascii="Times New Roman" w:eastAsia="Times New Roman" w:hAnsi="Times New Roman" w:cs="Times New Roman"/>
          <w:sz w:val="24"/>
        </w:rPr>
        <w:t xml:space="preserve"> </w:t>
      </w:r>
    </w:p>
    <w:p w:rsidR="00025683" w:rsidRDefault="007C2AAB">
      <w:pPr>
        <w:spacing w:after="83"/>
        <w:ind w:left="439" w:right="200"/>
      </w:pPr>
      <w:r>
        <w:t>Artículo 92. Clasificación por frecuencia y características de recogida ........................... 98</w:t>
      </w:r>
      <w:r>
        <w:rPr>
          <w:rFonts w:ascii="Times New Roman" w:eastAsia="Times New Roman" w:hAnsi="Times New Roman" w:cs="Times New Roman"/>
          <w:sz w:val="24"/>
        </w:rPr>
        <w:t xml:space="preserve"> </w:t>
      </w:r>
    </w:p>
    <w:p w:rsidR="00025683" w:rsidRDefault="007C2AAB">
      <w:pPr>
        <w:spacing w:after="329"/>
        <w:ind w:left="929" w:right="200" w:hanging="490"/>
      </w:pPr>
      <w:r>
        <w:t>Artículo 93. Clasificación por superficie o capacidad del establecimiento ...........</w:t>
      </w:r>
      <w:r>
        <w:t>............ 98</w:t>
      </w:r>
      <w:r>
        <w:rPr>
          <w:rFonts w:ascii="Times New Roman" w:eastAsia="Times New Roman" w:hAnsi="Times New Roman" w:cs="Times New Roman"/>
          <w:sz w:val="24"/>
        </w:rPr>
        <w:t xml:space="preserve"> </w:t>
      </w:r>
      <w:r>
        <w:t>Capítulo III: Exenciones Y Bonificaciones ............................................................. 98</w:t>
      </w:r>
      <w:r>
        <w:rPr>
          <w:rFonts w:ascii="Times New Roman" w:eastAsia="Times New Roman" w:hAnsi="Times New Roman" w:cs="Times New Roman"/>
          <w:sz w:val="24"/>
        </w:rPr>
        <w:t xml:space="preserve"> </w:t>
      </w:r>
    </w:p>
    <w:p w:rsidR="00025683" w:rsidRDefault="007C2AAB">
      <w:pPr>
        <w:spacing w:after="329"/>
        <w:ind w:left="929" w:right="200" w:hanging="490"/>
      </w:pPr>
      <w:r>
        <w:rPr>
          <w:rFonts w:ascii="Calibri" w:eastAsia="Calibri" w:hAnsi="Calibri" w:cs="Calibri"/>
          <w:noProof/>
        </w:rPr>
        <mc:AlternateContent>
          <mc:Choice Requires="wpg">
            <w:drawing>
              <wp:anchor distT="0" distB="0" distL="114300" distR="114300" simplePos="0" relativeHeight="25189683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3494" name="Group 4134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908" name="Rectangle 2590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5909" name="Rectangle 2590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5910" name="Rectangle 2591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223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3494" style="width:18.7031pt;height:264.21pt;position:absolute;mso-position-horizontal-relative:page;mso-position-horizontal:absolute;margin-left:662.928pt;mso-position-vertical-relative:page;margin-top:507.75pt;" coordsize="2375,33554">
                <v:rect id="Rectangle 2590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590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591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223 de 350 </w:t>
                        </w:r>
                      </w:p>
                    </w:txbxContent>
                  </v:textbox>
                </v:rect>
                <w10:wrap type="square"/>
              </v:group>
            </w:pict>
          </mc:Fallback>
        </mc:AlternateContent>
      </w:r>
      <w:r>
        <w:t>Artículo 94. Exenciones y Bonificaciones ...................................................................... 98</w:t>
      </w:r>
      <w:r>
        <w:rPr>
          <w:rFonts w:ascii="Times New Roman" w:eastAsia="Times New Roman" w:hAnsi="Times New Roman" w:cs="Times New Roman"/>
          <w:sz w:val="24"/>
        </w:rPr>
        <w:t xml:space="preserve"> </w:t>
      </w:r>
      <w:r>
        <w:t>Capítulo IV: Proceso de Identificación y Regis</w:t>
      </w:r>
      <w:r>
        <w:t>tro .................................................. 99</w:t>
      </w:r>
      <w:r>
        <w:rPr>
          <w:rFonts w:ascii="Times New Roman" w:eastAsia="Times New Roman" w:hAnsi="Times New Roman" w:cs="Times New Roman"/>
          <w:sz w:val="24"/>
        </w:rPr>
        <w:t xml:space="preserve"> </w:t>
      </w:r>
    </w:p>
    <w:p w:rsidR="00025683" w:rsidRDefault="007C2AAB">
      <w:pPr>
        <w:spacing w:after="88"/>
        <w:ind w:left="193" w:right="116" w:hanging="10"/>
        <w:jc w:val="center"/>
      </w:pPr>
      <w:r>
        <w:t>Artículo 95. Declaración Obligatoria .............................................................................. 99</w:t>
      </w:r>
      <w:r>
        <w:rPr>
          <w:rFonts w:ascii="Times New Roman" w:eastAsia="Times New Roman" w:hAnsi="Times New Roman" w:cs="Times New Roman"/>
          <w:sz w:val="24"/>
        </w:rPr>
        <w:t xml:space="preserve"> </w:t>
      </w:r>
      <w:r>
        <w:t>Artículo 96. Controles Periódicos ............................................</w:t>
      </w:r>
      <w:r>
        <w:t>...................................... 99</w:t>
      </w:r>
      <w:r>
        <w:rPr>
          <w:rFonts w:ascii="Times New Roman" w:eastAsia="Times New Roman" w:hAnsi="Times New Roman" w:cs="Times New Roman"/>
          <w:sz w:val="24"/>
        </w:rPr>
        <w:t xml:space="preserve"> </w:t>
      </w:r>
    </w:p>
    <w:p w:rsidR="00025683" w:rsidRDefault="007C2AAB">
      <w:pPr>
        <w:spacing w:after="222"/>
        <w:ind w:left="439" w:right="200"/>
      </w:pPr>
      <w:r>
        <w:t>Artículo 97. Uso de Tecnología ...................................................................................... 99</w:t>
      </w:r>
      <w:r>
        <w:rPr>
          <w:rFonts w:ascii="Times New Roman" w:eastAsia="Times New Roman" w:hAnsi="Times New Roman" w:cs="Times New Roman"/>
          <w:sz w:val="24"/>
        </w:rPr>
        <w:t xml:space="preserve"> </w:t>
      </w:r>
    </w:p>
    <w:p w:rsidR="00025683" w:rsidRDefault="007C2AAB">
      <w:pPr>
        <w:spacing w:after="323"/>
        <w:ind w:left="14" w:right="200"/>
      </w:pPr>
      <w:r>
        <w:t>DISPOSICIÓN ADICIONAL PRIMERA .............................................................</w:t>
      </w:r>
      <w:r>
        <w:t>.................... 99</w:t>
      </w:r>
      <w:r>
        <w:rPr>
          <w:rFonts w:ascii="Times New Roman" w:eastAsia="Times New Roman" w:hAnsi="Times New Roman" w:cs="Times New Roman"/>
          <w:sz w:val="24"/>
        </w:rPr>
        <w:t xml:space="preserve"> </w:t>
      </w:r>
    </w:p>
    <w:p w:rsidR="00025683" w:rsidRDefault="007C2AAB">
      <w:pPr>
        <w:spacing w:after="323"/>
        <w:ind w:left="14" w:right="200"/>
      </w:pPr>
      <w:r>
        <w:t>DISPOSICIÓN ADICIONAL SEGUNDA ............................................................................... 99</w:t>
      </w:r>
      <w:r>
        <w:rPr>
          <w:rFonts w:ascii="Times New Roman" w:eastAsia="Times New Roman" w:hAnsi="Times New Roman" w:cs="Times New Roman"/>
          <w:sz w:val="24"/>
        </w:rPr>
        <w:t xml:space="preserve"> </w:t>
      </w:r>
    </w:p>
    <w:p w:rsidR="00025683" w:rsidRDefault="007C2AAB">
      <w:pPr>
        <w:spacing w:after="323"/>
        <w:ind w:left="14" w:right="200"/>
      </w:pPr>
      <w:r>
        <w:t>DISPOSICIÓN DEROGATORIA ÚNICA ............................................................................ 100</w:t>
      </w:r>
      <w:r>
        <w:rPr>
          <w:rFonts w:ascii="Times New Roman" w:eastAsia="Times New Roman" w:hAnsi="Times New Roman" w:cs="Times New Roman"/>
          <w:sz w:val="24"/>
        </w:rPr>
        <w:t xml:space="preserve"> </w:t>
      </w:r>
    </w:p>
    <w:p w:rsidR="00025683" w:rsidRDefault="007C2AAB">
      <w:pPr>
        <w:spacing w:line="529" w:lineRule="auto"/>
        <w:ind w:left="14" w:right="200"/>
      </w:pPr>
      <w:r>
        <w:t>DISPOSICIÓN FINAL PRIMERA ....................................................................................... 100</w:t>
      </w:r>
      <w:r>
        <w:rPr>
          <w:rFonts w:ascii="Times New Roman" w:eastAsia="Times New Roman" w:hAnsi="Times New Roman" w:cs="Times New Roman"/>
          <w:sz w:val="24"/>
        </w:rPr>
        <w:t xml:space="preserve"> </w:t>
      </w:r>
      <w:r>
        <w:t>DISPOSICIÓN FINAL SEGUNDA. ..................................................................................... 100</w:t>
      </w:r>
      <w:r>
        <w:rPr>
          <w:rFonts w:ascii="Times New Roman" w:eastAsia="Times New Roman" w:hAnsi="Times New Roman" w:cs="Times New Roman"/>
          <w:sz w:val="24"/>
        </w:rPr>
        <w:t xml:space="preserve"> </w:t>
      </w:r>
    </w:p>
    <w:p w:rsidR="00025683" w:rsidRDefault="007C2AAB">
      <w:pPr>
        <w:ind w:left="14" w:right="200"/>
      </w:pPr>
      <w:r>
        <w:t>DISPOSICIÓN FINAL TE</w:t>
      </w:r>
      <w:r>
        <w:t>RCERA ....................................................................................... 101</w:t>
      </w:r>
      <w:r>
        <w:rPr>
          <w:rFonts w:ascii="Times New Roman" w:eastAsia="Times New Roman" w:hAnsi="Times New Roman" w:cs="Times New Roman"/>
          <w:sz w:val="24"/>
        </w:rPr>
        <w:t xml:space="preserve"> </w:t>
      </w:r>
    </w:p>
    <w:p w:rsidR="00025683" w:rsidRDefault="00025683">
      <w:pPr>
        <w:sectPr w:rsidR="00025683">
          <w:headerReference w:type="even" r:id="rId102"/>
          <w:headerReference w:type="default" r:id="rId103"/>
          <w:footerReference w:type="even" r:id="rId104"/>
          <w:footerReference w:type="default" r:id="rId105"/>
          <w:headerReference w:type="first" r:id="rId106"/>
          <w:footerReference w:type="first" r:id="rId107"/>
          <w:pgSz w:w="14167" w:h="16819"/>
          <w:pgMar w:top="2105" w:right="2261" w:bottom="2037" w:left="2550" w:header="420" w:footer="580" w:gutter="0"/>
          <w:cols w:space="720"/>
          <w:titlePg/>
        </w:sectPr>
      </w:pPr>
    </w:p>
    <w:p w:rsidR="00025683" w:rsidRDefault="007C2AAB">
      <w:pPr>
        <w:spacing w:after="132"/>
        <w:ind w:left="0"/>
      </w:pPr>
      <w:r>
        <w:rPr>
          <w:b/>
        </w:rPr>
        <w:t xml:space="preserve">ORDENANZA DE LIMPIEZA DE LOS ESPACIOS PÚBLICOS, GESTIÓN DE RESIDUOS Y </w:t>
      </w:r>
    </w:p>
    <w:p w:rsidR="00025683" w:rsidRDefault="007C2AAB">
      <w:pPr>
        <w:spacing w:after="95"/>
        <w:ind w:left="0" w:right="197"/>
      </w:pPr>
      <w:r>
        <w:rPr>
          <w:b/>
        </w:rPr>
        <w:t>ECONOMÍA CIRCULAR AYUNTAMIENTO DE CANDELARIA</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rPr>
          <w:b/>
        </w:rPr>
        <w:t xml:space="preserve"> </w:t>
      </w:r>
    </w:p>
    <w:p w:rsidR="00025683" w:rsidRDefault="007C2AAB">
      <w:pPr>
        <w:spacing w:after="64"/>
        <w:ind w:left="0" w:right="197"/>
      </w:pPr>
      <w:r>
        <w:rPr>
          <w:b/>
        </w:rPr>
        <w:t>SUMARIO</w:t>
      </w:r>
      <w:r>
        <w:rPr>
          <w:rFonts w:ascii="Times New Roman" w:eastAsia="Times New Roman" w:hAnsi="Times New Roman" w:cs="Times New Roman"/>
          <w:sz w:val="24"/>
        </w:rPr>
        <w:t xml:space="preserve"> </w:t>
      </w:r>
    </w:p>
    <w:p w:rsidR="00025683" w:rsidRDefault="007C2AAB">
      <w:pPr>
        <w:spacing w:after="100" w:line="259" w:lineRule="auto"/>
        <w:ind w:left="0" w:firstLine="0"/>
        <w:jc w:val="left"/>
      </w:pPr>
      <w:r>
        <w:rPr>
          <w:b/>
        </w:rPr>
        <w:t xml:space="preserve"> </w:t>
      </w:r>
    </w:p>
    <w:p w:rsidR="00025683" w:rsidRDefault="007C2AAB">
      <w:pPr>
        <w:spacing w:after="84" w:line="396" w:lineRule="auto"/>
        <w:ind w:left="14" w:right="200"/>
      </w:pPr>
      <w:r>
        <w:t xml:space="preserve">Acuerdo del Pleno, del Ayuntamiento de Candelaria por el que se aprueba la Ordenanza número (…), de Limpieza de los Espacios Públicos, Gestión de Residuos y Economía Circular </w:t>
      </w:r>
    </w:p>
    <w:p w:rsidR="00025683" w:rsidRDefault="007C2AAB">
      <w:pPr>
        <w:spacing w:after="116" w:line="339" w:lineRule="auto"/>
        <w:ind w:left="14" w:right="200"/>
      </w:pPr>
      <w:r>
        <w:t>El Pleno del Ayuntamiento en la sesión (…), ordinaria celebrada el día (…), adop</w:t>
      </w:r>
      <w:r>
        <w:t>tó el siguiente acuerdo:</w:t>
      </w:r>
      <w:r>
        <w:rPr>
          <w:rFonts w:ascii="Times New Roman" w:eastAsia="Times New Roman" w:hAnsi="Times New Roman" w:cs="Times New Roman"/>
          <w:sz w:val="24"/>
        </w:rPr>
        <w:t xml:space="preserve"> </w:t>
      </w:r>
    </w:p>
    <w:p w:rsidR="00025683" w:rsidRDefault="007C2AAB">
      <w:pPr>
        <w:spacing w:after="115" w:line="340" w:lineRule="auto"/>
        <w:ind w:left="14" w:right="200"/>
      </w:pPr>
      <w:r>
        <w:t>“Primero. —Aprobar la Ordenanza de Limpieza de los Espacios Públicos, Gestión de Residuos y Economía Circular, que se adjunta como Anexo.</w:t>
      </w:r>
      <w:r>
        <w:rPr>
          <w:rFonts w:ascii="Times New Roman" w:eastAsia="Times New Roman" w:hAnsi="Times New Roman" w:cs="Times New Roman"/>
          <w:sz w:val="24"/>
        </w:rPr>
        <w:t xml:space="preserve"> </w:t>
      </w:r>
    </w:p>
    <w:p w:rsidR="00025683" w:rsidRDefault="007C2AAB">
      <w:pPr>
        <w:spacing w:after="157" w:line="359" w:lineRule="auto"/>
        <w:ind w:left="14" w:right="200"/>
      </w:pPr>
      <w:r>
        <w:t>Segundo. —Publicar en el Boletín Oficial de La Provincia de Santa Cruz De Tenerife este acu</w:t>
      </w:r>
      <w:r>
        <w:t xml:space="preserve">erdo y el texto de la Ordenanza que constituye su objeto. </w:t>
      </w:r>
    </w:p>
    <w:p w:rsidR="00025683" w:rsidRDefault="007C2AAB">
      <w:pPr>
        <w:spacing w:after="139" w:line="364" w:lineRule="auto"/>
        <w:ind w:left="14" w:right="272"/>
      </w:pPr>
      <w:r>
        <w:rPr>
          <w:rFonts w:ascii="Calibri" w:eastAsia="Calibri" w:hAnsi="Calibri" w:cs="Calibri"/>
          <w:noProof/>
        </w:rPr>
        <mc:AlternateContent>
          <mc:Choice Requires="wpg">
            <w:drawing>
              <wp:anchor distT="0" distB="0" distL="114300" distR="114300" simplePos="0" relativeHeight="25189785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2988" name="Group 4129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181" name="Rectangle 2618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6182" name="Rectangle 2618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183" name="Rectangle 2618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esPublico Gestiona | Página 224 de 350</w:t>
                              </w: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12988" style="width:18.7031pt;height:264.21pt;position:absolute;mso-position-horizontal-relative:page;mso-position-horizontal:absolute;margin-left:662.928pt;mso-position-vertical-relative:page;margin-top:507.75pt;" coordsize="2375,33554">
                <v:rect id="Rectangle 2618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618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18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224 de 350 </w:t>
                        </w:r>
                      </w:p>
                    </w:txbxContent>
                  </v:textbox>
                </v:rect>
                <w10:wrap type="square"/>
              </v:group>
            </w:pict>
          </mc:Fallback>
        </mc:AlternateContent>
      </w:r>
      <w:r>
        <w:t>Tercero. —Facultar a la Presidencia del Pleno, tan ampliamente como en derecho proceda, y siguiendo criterios de eficacia, eficiencia, economía procesal y seguridad jurídica, para corregir de oficio los errores materiales o de hecho que pudieran detectar</w:t>
      </w:r>
      <w:r>
        <w:t>se, de lo que, en su caso, se dará cuenta en la próxima sesión ordinaria del Pleno que se celebre”.</w:t>
      </w:r>
      <w:r>
        <w:rPr>
          <w:rFonts w:ascii="Times New Roman" w:eastAsia="Times New Roman" w:hAnsi="Times New Roman" w:cs="Times New Roman"/>
          <w:sz w:val="24"/>
        </w:rPr>
        <w:t xml:space="preserve"> </w:t>
      </w:r>
    </w:p>
    <w:p w:rsidR="00025683" w:rsidRDefault="007C2AAB">
      <w:pPr>
        <w:spacing w:after="251"/>
        <w:ind w:left="14" w:right="200"/>
      </w:pPr>
      <w:r>
        <w:t>En cumplimiento de la normativa de aplicación, se procede a la publicación del texto aprobado.</w:t>
      </w:r>
      <w:r>
        <w:rPr>
          <w:rFonts w:ascii="Times New Roman" w:eastAsia="Times New Roman" w:hAnsi="Times New Roman" w:cs="Times New Roman"/>
          <w:sz w:val="24"/>
        </w:rPr>
        <w:t xml:space="preserve"> </w:t>
      </w:r>
    </w:p>
    <w:p w:rsidR="00025683" w:rsidRDefault="007C2AAB">
      <w:pPr>
        <w:spacing w:after="183" w:line="356" w:lineRule="auto"/>
        <w:ind w:left="14" w:right="275"/>
      </w:pPr>
      <w:r>
        <w:t>Lo que se hace público para general conocimiento, indicándose que contra el presente acuerdo, que pone fin a la vía administrativa, podrá interponerse directamente recurso contencioso-administrativo ante la Sala de lo Contencioso-Administrativo del Tribuna</w:t>
      </w:r>
      <w:r>
        <w:t>l Superior de Justicia de Canarias, en el plazo de dos meses contados desde el día siguiente al de la publicación de este anuncio en el Boletín Oficial de la Comunidad de Canarias, de conformidad con lo dispuesto en los Artículos 8.1 , 10.1 y 46.1 de la Le</w:t>
      </w:r>
      <w:r>
        <w:t>y 29/1998, de 13 de julio (RCL 1998, 1741) , reguladora de la Jurisdicción Contencioso-Administrativa, todo ello sin perjuicio de que los interesados puedan ejercitar, en su caso, cualquier otro recurso que</w:t>
      </w:r>
      <w:r>
        <w:rPr>
          <w:rFonts w:ascii="Times New Roman" w:eastAsia="Times New Roman" w:hAnsi="Times New Roman" w:cs="Times New Roman"/>
          <w:sz w:val="24"/>
        </w:rPr>
        <w:t xml:space="preserve"> </w:t>
      </w:r>
    </w:p>
    <w:p w:rsidR="00025683" w:rsidRDefault="007C2AAB">
      <w:pPr>
        <w:spacing w:line="341" w:lineRule="auto"/>
        <w:ind w:left="14"/>
      </w:pPr>
      <w:r>
        <w:t xml:space="preserve">estimen procedente en derecho (Artículo 40.2 de </w:t>
      </w:r>
      <w:r>
        <w:t>la Ley 39/2015, de 1 de octubre (RCL 2015,1477) , del Procedimiento Administrativo Común de las Administraciones Públicas).</w:t>
      </w:r>
      <w:r>
        <w:rPr>
          <w:rFonts w:ascii="Times New Roman" w:eastAsia="Times New Roman" w:hAnsi="Times New Roman" w:cs="Times New Roman"/>
          <w:sz w:val="24"/>
        </w:rPr>
        <w:t xml:space="preserve"> </w:t>
      </w:r>
    </w:p>
    <w:p w:rsidR="00025683" w:rsidRDefault="007C2AAB">
      <w:pPr>
        <w:spacing w:after="189" w:line="259" w:lineRule="auto"/>
        <w:ind w:left="586" w:firstLine="0"/>
        <w:jc w:val="left"/>
      </w:pPr>
      <w:r>
        <w:rPr>
          <w:b/>
        </w:rPr>
        <w:t xml:space="preserve"> </w:t>
      </w:r>
    </w:p>
    <w:p w:rsidR="00025683" w:rsidRDefault="007C2AAB">
      <w:pPr>
        <w:spacing w:after="202" w:line="259" w:lineRule="auto"/>
        <w:ind w:left="586" w:firstLine="0"/>
        <w:jc w:val="left"/>
      </w:pPr>
      <w:r>
        <w:rPr>
          <w:b/>
        </w:rPr>
        <w:t xml:space="preserve"> </w:t>
      </w:r>
    </w:p>
    <w:p w:rsidR="00025683" w:rsidRDefault="007C2AAB">
      <w:pPr>
        <w:spacing w:after="66"/>
        <w:ind w:left="586" w:right="197"/>
      </w:pPr>
      <w:r>
        <w:rPr>
          <w:b/>
        </w:rPr>
        <w:t>ANEXO</w:t>
      </w:r>
      <w:r>
        <w:rPr>
          <w:rFonts w:ascii="Times New Roman" w:eastAsia="Times New Roman" w:hAnsi="Times New Roman" w:cs="Times New Roman"/>
          <w:sz w:val="24"/>
        </w:rPr>
        <w:t xml:space="preserve"> </w:t>
      </w:r>
    </w:p>
    <w:p w:rsidR="00025683" w:rsidRDefault="007C2AAB">
      <w:pPr>
        <w:spacing w:after="100" w:line="259" w:lineRule="auto"/>
        <w:ind w:left="0" w:firstLine="0"/>
        <w:jc w:val="left"/>
      </w:pPr>
      <w:r>
        <w:rPr>
          <w:b/>
        </w:rPr>
        <w:t xml:space="preserve"> </w:t>
      </w:r>
    </w:p>
    <w:p w:rsidR="00025683" w:rsidRDefault="007C2AAB">
      <w:pPr>
        <w:spacing w:after="130"/>
        <w:ind w:left="0"/>
      </w:pPr>
      <w:r>
        <w:rPr>
          <w:b/>
        </w:rPr>
        <w:t xml:space="preserve">ORDENANZA REGULADORA DE LIMPIEZA DE LOS ESPACIOS PÚBLICOS, GESTIÓN </w:t>
      </w:r>
    </w:p>
    <w:p w:rsidR="00025683" w:rsidRDefault="007C2AAB">
      <w:pPr>
        <w:spacing w:after="349"/>
        <w:ind w:left="0" w:right="197"/>
      </w:pPr>
      <w:r>
        <w:rPr>
          <w:b/>
        </w:rPr>
        <w:t>DE RESIDUOS Y ECONOMÍA CIRCULAR MUNICIPIO DE CANDE</w:t>
      </w:r>
      <w:r>
        <w:rPr>
          <w:b/>
        </w:rPr>
        <w:t>LARIA</w:t>
      </w:r>
      <w:r>
        <w:rPr>
          <w:rFonts w:ascii="Times New Roman" w:eastAsia="Times New Roman" w:hAnsi="Times New Roman" w:cs="Times New Roman"/>
          <w:sz w:val="24"/>
        </w:rPr>
        <w:t xml:space="preserve"> </w:t>
      </w:r>
    </w:p>
    <w:p w:rsidR="00025683" w:rsidRDefault="007C2AAB">
      <w:pPr>
        <w:spacing w:after="88"/>
        <w:ind w:left="586" w:right="197"/>
      </w:pPr>
      <w:r>
        <w:rPr>
          <w:b/>
        </w:rPr>
        <w:t>PREÁMBULO I</w:t>
      </w:r>
      <w:r>
        <w:rPr>
          <w:rFonts w:ascii="Times New Roman" w:eastAsia="Times New Roman" w:hAnsi="Times New Roman" w:cs="Times New Roman"/>
          <w:sz w:val="24"/>
        </w:rPr>
        <w:t xml:space="preserve"> </w:t>
      </w:r>
    </w:p>
    <w:p w:rsidR="00025683" w:rsidRDefault="007C2AAB">
      <w:pPr>
        <w:spacing w:after="237" w:line="259" w:lineRule="auto"/>
        <w:ind w:left="0" w:firstLine="0"/>
        <w:jc w:val="left"/>
      </w:pPr>
      <w:r>
        <w:rPr>
          <w:b/>
        </w:rPr>
        <w:t xml:space="preserve"> </w:t>
      </w:r>
    </w:p>
    <w:p w:rsidR="00025683" w:rsidRDefault="007C2AAB">
      <w:pPr>
        <w:spacing w:after="164" w:line="235" w:lineRule="auto"/>
        <w:ind w:left="-5" w:hanging="10"/>
        <w:jc w:val="left"/>
      </w:pPr>
      <w:r>
        <w:rPr>
          <w:b/>
          <w:i/>
        </w:rPr>
        <w:t>Justificación y marco normativo de la Ordenanza del Ayuntamiento de Candelaria</w:t>
      </w:r>
      <w:r>
        <w:rPr>
          <w:rFonts w:ascii="Times New Roman" w:eastAsia="Times New Roman" w:hAnsi="Times New Roman" w:cs="Times New Roman"/>
          <w:sz w:val="24"/>
        </w:rPr>
        <w:t xml:space="preserve"> </w:t>
      </w:r>
    </w:p>
    <w:p w:rsidR="00025683" w:rsidRDefault="007C2AAB">
      <w:pPr>
        <w:spacing w:after="103" w:line="259" w:lineRule="auto"/>
        <w:ind w:left="0" w:firstLine="0"/>
        <w:jc w:val="left"/>
      </w:pPr>
      <w:r>
        <w:rPr>
          <w:b/>
        </w:rPr>
        <w:t xml:space="preserve"> </w:t>
      </w:r>
    </w:p>
    <w:p w:rsidR="00025683" w:rsidRDefault="007C2AAB">
      <w:pPr>
        <w:spacing w:after="255" w:line="352" w:lineRule="auto"/>
        <w:ind w:left="14" w:right="268"/>
      </w:pPr>
      <w:r>
        <w:t xml:space="preserve">La gestión eficiente de los residuos y la limpieza de los espacios públicos </w:t>
      </w:r>
      <w:r>
        <w:t>representan un reto clave para los municipios comprometidos con el desarrollo sostenible, especialmente en un contexto marcado por los efectos del cambio climático y la creciente sensibilidad ciudadana hacia la protección ambiental.</w:t>
      </w:r>
      <w:r>
        <w:rPr>
          <w:rFonts w:ascii="Times New Roman" w:eastAsia="Times New Roman" w:hAnsi="Times New Roman" w:cs="Times New Roman"/>
          <w:sz w:val="24"/>
        </w:rPr>
        <w:t xml:space="preserve"> </w:t>
      </w:r>
    </w:p>
    <w:p w:rsidR="00025683" w:rsidRDefault="007C2AAB">
      <w:pPr>
        <w:spacing w:after="252" w:line="355" w:lineRule="auto"/>
        <w:ind w:left="14" w:right="268"/>
      </w:pPr>
      <w:r>
        <w:rPr>
          <w:noProof/>
        </w:rPr>
        <w:drawing>
          <wp:anchor distT="0" distB="0" distL="114300" distR="114300" simplePos="0" relativeHeight="251898880" behindDoc="0" locked="0" layoutInCell="1" allowOverlap="0">
            <wp:simplePos x="0" y="0"/>
            <wp:positionH relativeFrom="page">
              <wp:posOffset>1654175</wp:posOffset>
            </wp:positionH>
            <wp:positionV relativeFrom="page">
              <wp:posOffset>266700</wp:posOffset>
            </wp:positionV>
            <wp:extent cx="713232" cy="914400"/>
            <wp:effectExtent l="0" t="0" r="0" b="0"/>
            <wp:wrapTopAndBottom/>
            <wp:docPr id="26198" name="Picture 26198"/>
            <wp:cNvGraphicFramePr/>
            <a:graphic xmlns:a="http://schemas.openxmlformats.org/drawingml/2006/main">
              <a:graphicData uri="http://schemas.openxmlformats.org/drawingml/2006/picture">
                <pic:pic xmlns:pic="http://schemas.openxmlformats.org/drawingml/2006/picture">
                  <pic:nvPicPr>
                    <pic:cNvPr id="26198" name="Picture 26198"/>
                    <pic:cNvPicPr/>
                  </pic:nvPicPr>
                  <pic:blipFill>
                    <a:blip r:embed="rId108"/>
                    <a:stretch>
                      <a:fillRect/>
                    </a:stretch>
                  </pic:blipFill>
                  <pic:spPr>
                    <a:xfrm>
                      <a:off x="0" y="0"/>
                      <a:ext cx="713232" cy="9144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89990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3076" name="Group 4130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403" name="Rectangle 2640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Validación: 3</w:t>
                              </w:r>
                              <w:r>
                                <w:rPr>
                                  <w:sz w:val="12"/>
                                </w:rPr>
                                <w:t xml:space="preserve">J3KYNW3CJM74AZ6SEHNT4KKY </w:t>
                              </w:r>
                            </w:p>
                          </w:txbxContent>
                        </wps:txbx>
                        <wps:bodyPr horzOverflow="overflow" vert="horz" lIns="0" tIns="0" rIns="0" bIns="0" rtlCol="0">
                          <a:noAutofit/>
                        </wps:bodyPr>
                      </wps:wsp>
                      <wps:wsp>
                        <wps:cNvPr id="26404" name="Rectangle 2640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405" name="Rectangle 2640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225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3076" style="width:18.7031pt;height:264.21pt;position:absolute;mso-position-horizontal-relative:page;mso-position-horizontal:absolute;margin-left:662.928pt;mso-position-vertical-relative:page;margin-top:507.75pt;" coordsize="2375,33554">
                <v:rect id="Rectangle 2640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640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40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225 de 350 </w:t>
                        </w:r>
                      </w:p>
                    </w:txbxContent>
                  </v:textbox>
                </v:rect>
                <w10:wrap type="square"/>
              </v:group>
            </w:pict>
          </mc:Fallback>
        </mc:AlternateContent>
      </w:r>
      <w:r>
        <w:t>El Municipio de Candelaria, situado en la vertiente sureste de la isla de Tene</w:t>
      </w:r>
      <w:r>
        <w:t>rife y considerado un importante centro de peregrinación y actividad comercial, turística y residencial, cuenta con características propias que exigen una adaptación normativa específica en materia de residuos y limpieza viaria. Su especial vinculación con</w:t>
      </w:r>
      <w:r>
        <w:t xml:space="preserve"> el litoral, sus barrios rurales y urbanos y la elevada afluencia de visitantes durante todo el año requieren una regulación clara, moderna y eficaz que garantice un entorno urbano limpio, ordenado y resiliente.</w:t>
      </w:r>
      <w:r>
        <w:rPr>
          <w:rFonts w:ascii="Times New Roman" w:eastAsia="Times New Roman" w:hAnsi="Times New Roman" w:cs="Times New Roman"/>
          <w:sz w:val="24"/>
        </w:rPr>
        <w:t xml:space="preserve"> </w:t>
      </w:r>
    </w:p>
    <w:p w:rsidR="00025683" w:rsidRDefault="007C2AAB">
      <w:pPr>
        <w:spacing w:after="211" w:line="359" w:lineRule="auto"/>
        <w:ind w:left="14" w:right="277"/>
      </w:pPr>
      <w:r>
        <w:t>En este marco, la presente Ordenanza se ela</w:t>
      </w:r>
      <w:r>
        <w:t>bora como respuesta a las nuevas exigencias legales, sociales y ambientales, entre ellas las derivadas de la Ley 7/2022, de 8 de abril, de residuos y suelos contaminados para una economía circular, así como del Plan Integral de Residuos de Canarias (PIRCAN</w:t>
      </w:r>
      <w:r>
        <w:t xml:space="preserve"> 2020-2026). Estas normativas promueven una gestión sostenible basada en la reducción de residuos, la valorización y el impulso de la economía circular, objetivos que este Ayuntamiento asume como prioritarios. </w:t>
      </w:r>
    </w:p>
    <w:p w:rsidR="00025683" w:rsidRDefault="007C2AAB">
      <w:pPr>
        <w:spacing w:after="277" w:line="360" w:lineRule="auto"/>
        <w:ind w:left="14" w:right="288"/>
      </w:pPr>
      <w:r>
        <w:t>Asimismo, se ha considerado la Agenda 2030 pa</w:t>
      </w:r>
      <w:r>
        <w:t xml:space="preserve">ra el Desarrollo Sostenible, cuyas metas relacionadas con el consumo responsable, la sostenibilidad urbana y la acción por el clima inspiran la estructura y objetivos de la Ordenanza. </w:t>
      </w:r>
    </w:p>
    <w:p w:rsidR="00025683" w:rsidRDefault="007C2AAB">
      <w:pPr>
        <w:spacing w:after="273" w:line="349" w:lineRule="auto"/>
        <w:ind w:left="9" w:hanging="10"/>
        <w:jc w:val="left"/>
      </w:pPr>
      <w:r>
        <w:t xml:space="preserve">Esta regulación nace del compromiso del Ayuntamiento de Candelaria con </w:t>
      </w:r>
      <w:r>
        <w:t>la mejora de la calidad de vida de sus habitantes, la conservación del entorno natural y urbano, la prevención de riesgos sanitarios y ambientales, así como el fomento de una ciudadanía corresponsable, informada y participativa.</w:t>
      </w:r>
      <w:r>
        <w:rPr>
          <w:rFonts w:ascii="Times New Roman" w:eastAsia="Times New Roman" w:hAnsi="Times New Roman" w:cs="Times New Roman"/>
          <w:sz w:val="24"/>
        </w:rPr>
        <w:t xml:space="preserve"> </w:t>
      </w:r>
    </w:p>
    <w:p w:rsidR="00025683" w:rsidRDefault="007C2AAB">
      <w:pPr>
        <w:spacing w:after="12"/>
        <w:ind w:left="0" w:right="197"/>
      </w:pPr>
      <w:r>
        <w:rPr>
          <w:b/>
        </w:rPr>
        <w:t xml:space="preserve">Normativa Autonómica de </w:t>
      </w:r>
      <w:r>
        <w:rPr>
          <w:b/>
        </w:rPr>
        <w:t>Canarias</w:t>
      </w:r>
      <w:r>
        <w:rPr>
          <w:rFonts w:ascii="Times New Roman" w:eastAsia="Times New Roman" w:hAnsi="Times New Roman" w:cs="Times New Roman"/>
          <w:sz w:val="24"/>
        </w:rPr>
        <w:t xml:space="preserve"> </w:t>
      </w:r>
    </w:p>
    <w:p w:rsidR="00025683" w:rsidRDefault="007C2AAB">
      <w:pPr>
        <w:spacing w:after="103" w:line="259" w:lineRule="auto"/>
        <w:ind w:left="0" w:firstLine="0"/>
        <w:jc w:val="left"/>
      </w:pPr>
      <w:r>
        <w:rPr>
          <w:b/>
        </w:rPr>
        <w:t xml:space="preserve"> </w:t>
      </w:r>
    </w:p>
    <w:p w:rsidR="00025683" w:rsidRDefault="007C2AAB">
      <w:pPr>
        <w:spacing w:after="134" w:line="359" w:lineRule="auto"/>
        <w:ind w:left="14" w:right="200"/>
      </w:pPr>
      <w:r>
        <w:t>En el ámbito autonómico, el Plan Integral de Residuos de Canarias (PIRCAN 2020-2026) es el documento de referencia. El PIRCAN establece las estrategias y objetivos específicos para la gestión de residuos en Canarias. Algunos de sus puntos clave</w:t>
      </w:r>
      <w:r>
        <w:t xml:space="preserve"> son: </w:t>
      </w:r>
    </w:p>
    <w:p w:rsidR="00025683" w:rsidRDefault="007C2AAB">
      <w:pPr>
        <w:spacing w:after="90"/>
        <w:ind w:left="14" w:right="200"/>
      </w:pPr>
      <w:r>
        <w:t>Economía circular: Reducir la generación de residuos y maximizar el reciclaje.</w:t>
      </w:r>
      <w:r>
        <w:rPr>
          <w:rFonts w:ascii="Times New Roman" w:eastAsia="Times New Roman" w:hAnsi="Times New Roman" w:cs="Times New Roman"/>
          <w:sz w:val="24"/>
        </w:rPr>
        <w:t xml:space="preserve"> </w:t>
      </w:r>
    </w:p>
    <w:p w:rsidR="00025683" w:rsidRDefault="007C2AAB">
      <w:pPr>
        <w:spacing w:after="98" w:line="259" w:lineRule="auto"/>
        <w:ind w:left="0" w:firstLine="0"/>
        <w:jc w:val="left"/>
      </w:pPr>
      <w:r>
        <w:t xml:space="preserve"> </w:t>
      </w:r>
    </w:p>
    <w:p w:rsidR="00025683" w:rsidRDefault="007C2AAB">
      <w:pPr>
        <w:spacing w:after="175" w:line="358" w:lineRule="auto"/>
        <w:ind w:left="14" w:right="200"/>
      </w:pPr>
      <w:r>
        <w:t xml:space="preserve">Recogida separada de biorresiduos: Obligatoria para municipios de más de 5.000 habitantes desde 2023 y para todos los municipios antes de 2024. </w:t>
      </w:r>
    </w:p>
    <w:p w:rsidR="00025683" w:rsidRDefault="007C2AAB">
      <w:pPr>
        <w:spacing w:after="91"/>
        <w:ind w:left="14" w:right="200"/>
      </w:pPr>
      <w:r>
        <w:t>Incentivar el composta</w:t>
      </w:r>
      <w:r>
        <w:t>je: Promover el compostaje doméstico y comunitario.</w:t>
      </w:r>
      <w:r>
        <w:rPr>
          <w:rFonts w:ascii="Times New Roman" w:eastAsia="Times New Roman" w:hAnsi="Times New Roman" w:cs="Times New Roman"/>
          <w:sz w:val="24"/>
        </w:rPr>
        <w:t xml:space="preserve"> </w:t>
      </w:r>
    </w:p>
    <w:p w:rsidR="00025683" w:rsidRDefault="007C2AAB">
      <w:pPr>
        <w:spacing w:after="98" w:line="259" w:lineRule="auto"/>
        <w:ind w:left="0" w:firstLine="0"/>
        <w:jc w:val="left"/>
      </w:pPr>
      <w:r>
        <w:t xml:space="preserve"> </w:t>
      </w:r>
    </w:p>
    <w:p w:rsidR="00025683" w:rsidRDefault="007C2AAB">
      <w:pPr>
        <w:spacing w:after="251" w:line="358" w:lineRule="auto"/>
        <w:ind w:left="14" w:right="200"/>
      </w:pPr>
      <w:r>
        <w:rPr>
          <w:rFonts w:ascii="Calibri" w:eastAsia="Calibri" w:hAnsi="Calibri" w:cs="Calibri"/>
          <w:noProof/>
        </w:rPr>
        <mc:AlternateContent>
          <mc:Choice Requires="wpg">
            <w:drawing>
              <wp:anchor distT="0" distB="0" distL="114300" distR="114300" simplePos="0" relativeHeight="25190092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3422" name="Group 4134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609" name="Rectangle 2660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6610" name="Rectangle 2661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611" name="Rectangle 2661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226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3422" style="width:18.7031pt;height:264.21pt;position:absolute;mso-position-horizontal-relative:page;mso-position-horizontal:absolute;margin-left:662.928pt;mso-position-vertical-relative:page;margin-top:507.75pt;" coordsize="2375,33554">
                <v:rect id="Rectangle 2660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661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61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226 de 350 </w:t>
                        </w:r>
                      </w:p>
                    </w:txbxContent>
                  </v:textbox>
                </v:rect>
                <w10:wrap type="square"/>
              </v:group>
            </w:pict>
          </mc:Fallback>
        </mc:AlternateContent>
      </w:r>
      <w:r>
        <w:t xml:space="preserve">Reducción de vertidos: Fomentar el reciclaje y la valorización energética para disminuir los residuos que terminan en vertederos. </w:t>
      </w:r>
    </w:p>
    <w:p w:rsidR="00025683" w:rsidRDefault="007C2AAB">
      <w:pPr>
        <w:spacing w:after="12"/>
        <w:ind w:left="0" w:right="197"/>
      </w:pPr>
      <w:r>
        <w:rPr>
          <w:b/>
        </w:rPr>
        <w:t>Normativa Local en Canarias</w:t>
      </w:r>
      <w:r>
        <w:rPr>
          <w:rFonts w:ascii="Times New Roman" w:eastAsia="Times New Roman" w:hAnsi="Times New Roman" w:cs="Times New Roman"/>
          <w:sz w:val="24"/>
        </w:rPr>
        <w:t xml:space="preserve"> </w:t>
      </w:r>
    </w:p>
    <w:p w:rsidR="00025683" w:rsidRDefault="007C2AAB">
      <w:pPr>
        <w:spacing w:after="100" w:line="259" w:lineRule="auto"/>
        <w:ind w:left="0" w:firstLine="0"/>
        <w:jc w:val="left"/>
      </w:pPr>
      <w:r>
        <w:rPr>
          <w:b/>
        </w:rPr>
        <w:t xml:space="preserve"> </w:t>
      </w:r>
    </w:p>
    <w:p w:rsidR="00025683" w:rsidRDefault="007C2AAB">
      <w:pPr>
        <w:spacing w:after="93" w:line="355" w:lineRule="auto"/>
        <w:ind w:left="14" w:right="266"/>
      </w:pPr>
      <w:r>
        <w:t>En el ámbito local, las entidades deben adaptar sus ordenanzas para cumplir con los plazos y o</w:t>
      </w:r>
      <w:r>
        <w:t>bjetivos de la Ley 7/2022 marcas principios elementales para la prevención y reducción de la generación de residuos, promoviendo una economía circular que proteja el medio ambiente y la salud. La Ley 1/1999, de 29 de enero, de Residuos de Canarias, sigue s</w:t>
      </w:r>
      <w:r>
        <w:t>iendo un marco normativo relevante en el archipiélago, aunque ha sido complementada con disposiciones más recientes.</w:t>
      </w:r>
      <w:r>
        <w:rPr>
          <w:rFonts w:ascii="Times New Roman" w:eastAsia="Times New Roman" w:hAnsi="Times New Roman" w:cs="Times New Roman"/>
          <w:sz w:val="24"/>
        </w:rPr>
        <w:t xml:space="preserve"> </w:t>
      </w:r>
    </w:p>
    <w:p w:rsidR="00025683" w:rsidRDefault="007C2AAB">
      <w:pPr>
        <w:spacing w:after="325" w:line="259" w:lineRule="auto"/>
        <w:ind w:left="0" w:firstLine="0"/>
        <w:jc w:val="left"/>
      </w:pPr>
      <w:r>
        <w:t xml:space="preserve"> </w:t>
      </w:r>
    </w:p>
    <w:p w:rsidR="00025683" w:rsidRDefault="007C2AAB">
      <w:pPr>
        <w:spacing w:after="107"/>
        <w:ind w:left="586" w:right="197"/>
      </w:pPr>
      <w:r>
        <w:rPr>
          <w:b/>
        </w:rPr>
        <w:t>PREÁMBULO II</w:t>
      </w:r>
      <w:r>
        <w:rPr>
          <w:rFonts w:ascii="Times New Roman" w:eastAsia="Times New Roman" w:hAnsi="Times New Roman" w:cs="Times New Roman"/>
          <w:sz w:val="24"/>
        </w:rPr>
        <w:t xml:space="preserve"> </w:t>
      </w:r>
    </w:p>
    <w:p w:rsidR="00025683" w:rsidRDefault="007C2AAB">
      <w:pPr>
        <w:spacing w:after="232" w:line="259" w:lineRule="auto"/>
        <w:ind w:left="0" w:firstLine="0"/>
        <w:jc w:val="left"/>
      </w:pPr>
      <w:r>
        <w:rPr>
          <w:b/>
        </w:rPr>
        <w:t xml:space="preserve"> </w:t>
      </w:r>
    </w:p>
    <w:p w:rsidR="00025683" w:rsidRDefault="007C2AAB">
      <w:pPr>
        <w:spacing w:after="100"/>
        <w:ind w:left="0" w:right="197"/>
      </w:pPr>
      <w:r>
        <w:rPr>
          <w:b/>
        </w:rPr>
        <w:t>Principios de buena regulación y adecuación normativa</w:t>
      </w:r>
      <w:r>
        <w:rPr>
          <w:rFonts w:ascii="Times New Roman" w:eastAsia="Times New Roman" w:hAnsi="Times New Roman" w:cs="Times New Roman"/>
          <w:sz w:val="24"/>
        </w:rPr>
        <w:t xml:space="preserve"> </w:t>
      </w:r>
    </w:p>
    <w:p w:rsidR="00025683" w:rsidRDefault="007C2AAB">
      <w:pPr>
        <w:spacing w:after="103" w:line="259" w:lineRule="auto"/>
        <w:ind w:left="0" w:firstLine="0"/>
        <w:jc w:val="left"/>
      </w:pPr>
      <w:r>
        <w:rPr>
          <w:b/>
        </w:rPr>
        <w:t xml:space="preserve"> </w:t>
      </w:r>
    </w:p>
    <w:p w:rsidR="00025683" w:rsidRDefault="007C2AAB">
      <w:pPr>
        <w:spacing w:line="358" w:lineRule="auto"/>
        <w:ind w:left="14" w:right="200"/>
      </w:pPr>
      <w:r>
        <w:t xml:space="preserve">La presente ordenanza se ajusta a los principios </w:t>
      </w:r>
      <w:r>
        <w:t xml:space="preserve">de buena regulación recogidos en el artículo 129 de la Ley 39/2015, de 1 de octubre, del Procedimiento Administrativo Común de las </w:t>
      </w:r>
    </w:p>
    <w:p w:rsidR="00025683" w:rsidRDefault="00025683">
      <w:pPr>
        <w:sectPr w:rsidR="00025683">
          <w:headerReference w:type="even" r:id="rId109"/>
          <w:headerReference w:type="default" r:id="rId110"/>
          <w:footerReference w:type="even" r:id="rId111"/>
          <w:footerReference w:type="default" r:id="rId112"/>
          <w:headerReference w:type="first" r:id="rId113"/>
          <w:footerReference w:type="first" r:id="rId114"/>
          <w:pgSz w:w="14167" w:h="16819"/>
          <w:pgMar w:top="2100" w:right="2256" w:bottom="1881" w:left="2550" w:header="420" w:footer="580" w:gutter="0"/>
          <w:cols w:space="720"/>
        </w:sectPr>
      </w:pPr>
    </w:p>
    <w:p w:rsidR="00025683" w:rsidRDefault="007C2AAB">
      <w:pPr>
        <w:spacing w:after="270" w:line="339" w:lineRule="auto"/>
        <w:ind w:left="14"/>
      </w:pPr>
      <w:r>
        <w:t>Administraciones Públicas, garantizando la seguridad jurídica, la necesidad, la eficacia, la proporcionalidad, la transparencia y la eficiencia.</w:t>
      </w:r>
      <w:r>
        <w:rPr>
          <w:rFonts w:ascii="Times New Roman" w:eastAsia="Times New Roman" w:hAnsi="Times New Roman" w:cs="Times New Roman"/>
          <w:sz w:val="24"/>
        </w:rPr>
        <w:t xml:space="preserve"> </w:t>
      </w:r>
    </w:p>
    <w:p w:rsidR="00025683" w:rsidRDefault="007C2AAB">
      <w:pPr>
        <w:spacing w:after="258" w:line="350" w:lineRule="auto"/>
        <w:ind w:left="14" w:right="10"/>
      </w:pPr>
      <w:r>
        <w:t>En cuanto al principio de necesidad, la norma se justifica por la necesi</w:t>
      </w:r>
      <w:r>
        <w:t>dad de adaptar el marco jurídico local a la nueva legislación estatal y autonómica en materia de residuos, así como a las características específicas del Municipio de Candelaria.</w:t>
      </w:r>
      <w:r>
        <w:rPr>
          <w:rFonts w:ascii="Times New Roman" w:eastAsia="Times New Roman" w:hAnsi="Times New Roman" w:cs="Times New Roman"/>
          <w:sz w:val="24"/>
        </w:rPr>
        <w:t xml:space="preserve"> </w:t>
      </w:r>
    </w:p>
    <w:p w:rsidR="00025683" w:rsidRDefault="007C2AAB">
      <w:pPr>
        <w:spacing w:after="258" w:line="350" w:lineRule="auto"/>
        <w:ind w:left="14" w:right="1"/>
      </w:pPr>
      <w:r>
        <w:t>Desde el punto de vista de la eficacia, esta ordenanza constituye el instrum</w:t>
      </w:r>
      <w:r>
        <w:t>ento idóneo para ordenar las competencias municipales en limpieza de espacios públicos y gestión de residuos, desarrollando la normativa vigente y posibilitando su cumplimiento efectivo.</w:t>
      </w:r>
      <w:r>
        <w:rPr>
          <w:rFonts w:ascii="Times New Roman" w:eastAsia="Times New Roman" w:hAnsi="Times New Roman" w:cs="Times New Roman"/>
          <w:sz w:val="24"/>
        </w:rPr>
        <w:t xml:space="preserve"> </w:t>
      </w:r>
    </w:p>
    <w:p w:rsidR="00025683" w:rsidRDefault="007C2AAB">
      <w:pPr>
        <w:spacing w:after="255" w:line="353" w:lineRule="auto"/>
        <w:ind w:left="14" w:right="3"/>
      </w:pPr>
      <w:r>
        <w:t>La ordenanza observa igualmente los principios de proporcionalidad y</w:t>
      </w:r>
      <w:r>
        <w:t xml:space="preserve"> eficiencia, al limitar las cargas administrativas a las estrictamente necesarias y fomentar modelos de gestión simplificados, especialmente importantes para un municipio con núcleos urbanos dispersos y zonas costeras sensibles.</w:t>
      </w:r>
      <w:r>
        <w:rPr>
          <w:rFonts w:ascii="Times New Roman" w:eastAsia="Times New Roman" w:hAnsi="Times New Roman" w:cs="Times New Roman"/>
          <w:sz w:val="24"/>
        </w:rPr>
        <w:t xml:space="preserve"> </w:t>
      </w:r>
    </w:p>
    <w:p w:rsidR="00025683" w:rsidRDefault="007C2AAB">
      <w:pPr>
        <w:spacing w:after="258" w:line="350" w:lineRule="auto"/>
        <w:ind w:left="14" w:right="9"/>
      </w:pPr>
      <w:r>
        <w:rPr>
          <w:rFonts w:ascii="Calibri" w:eastAsia="Calibri" w:hAnsi="Calibri" w:cs="Calibri"/>
          <w:noProof/>
        </w:rPr>
        <mc:AlternateContent>
          <mc:Choice Requires="wpg">
            <w:drawing>
              <wp:anchor distT="0" distB="0" distL="114300" distR="114300" simplePos="0" relativeHeight="25190195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3589" name="Group 41358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863" name="Rectangle 2686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6864" name="Rectangle 2686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6865" name="Rectangle 2686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227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3589" style="width:18.7031pt;height:264.21pt;position:absolute;mso-position-horizontal-relative:page;mso-position-horizontal:absolute;margin-left:662.928pt;mso-position-vertical-relative:page;margin-top:507.75pt;" coordsize="2375,33554">
                <v:rect id="Rectangle 2686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68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68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227 de 350 </w:t>
                        </w:r>
                      </w:p>
                    </w:txbxContent>
                  </v:textbox>
                </v:rect>
                <w10:wrap type="square"/>
              </v:group>
            </w:pict>
          </mc:Fallback>
        </mc:AlternateContent>
      </w:r>
      <w:r>
        <w:t xml:space="preserve">El Ayuntamiento de Candelaria ha promovido un proceso </w:t>
      </w:r>
      <w:r>
        <w:t>participativo previo a su aprobación, habilitando cauces de consulta pública e integración de propuestas ciudadanas, atendiendo así al principio de transparencia.</w:t>
      </w:r>
      <w:r>
        <w:rPr>
          <w:rFonts w:ascii="Times New Roman" w:eastAsia="Times New Roman" w:hAnsi="Times New Roman" w:cs="Times New Roman"/>
          <w:sz w:val="24"/>
        </w:rPr>
        <w:t xml:space="preserve"> </w:t>
      </w:r>
    </w:p>
    <w:p w:rsidR="00025683" w:rsidRDefault="007C2AAB">
      <w:pPr>
        <w:spacing w:after="399" w:line="259" w:lineRule="auto"/>
        <w:ind w:left="0" w:firstLine="0"/>
        <w:jc w:val="left"/>
      </w:pPr>
      <w:r>
        <w:t xml:space="preserve"> </w:t>
      </w:r>
    </w:p>
    <w:p w:rsidR="00025683" w:rsidRDefault="007C2AAB">
      <w:pPr>
        <w:spacing w:after="104"/>
        <w:ind w:left="586" w:right="197"/>
      </w:pPr>
      <w:r>
        <w:rPr>
          <w:b/>
        </w:rPr>
        <w:t>PREÁMBULO III</w:t>
      </w:r>
      <w:r>
        <w:rPr>
          <w:rFonts w:ascii="Times New Roman" w:eastAsia="Times New Roman" w:hAnsi="Times New Roman" w:cs="Times New Roman"/>
          <w:sz w:val="24"/>
        </w:rPr>
        <w:t xml:space="preserve"> </w:t>
      </w:r>
    </w:p>
    <w:p w:rsidR="00025683" w:rsidRDefault="007C2AAB">
      <w:pPr>
        <w:spacing w:after="112" w:line="259" w:lineRule="auto"/>
        <w:ind w:left="0" w:firstLine="0"/>
        <w:jc w:val="left"/>
      </w:pPr>
      <w:r>
        <w:rPr>
          <w:b/>
        </w:rPr>
        <w:t xml:space="preserve"> </w:t>
      </w:r>
    </w:p>
    <w:p w:rsidR="00025683" w:rsidRDefault="007C2AAB">
      <w:pPr>
        <w:spacing w:after="102"/>
        <w:ind w:left="0" w:right="197"/>
      </w:pPr>
      <w:r>
        <w:rPr>
          <w:b/>
        </w:rPr>
        <w:t>Contexto territorial del municipio de Candelaria y su justificación norma</w:t>
      </w:r>
      <w:r>
        <w:rPr>
          <w:b/>
        </w:rPr>
        <w:t>tiva</w:t>
      </w:r>
      <w:r>
        <w:rPr>
          <w:rFonts w:ascii="Times New Roman" w:eastAsia="Times New Roman" w:hAnsi="Times New Roman" w:cs="Times New Roman"/>
          <w:sz w:val="24"/>
        </w:rPr>
        <w:t xml:space="preserve"> </w:t>
      </w:r>
    </w:p>
    <w:p w:rsidR="00025683" w:rsidRDefault="007C2AAB">
      <w:pPr>
        <w:spacing w:after="100" w:line="259" w:lineRule="auto"/>
        <w:ind w:left="0" w:firstLine="0"/>
        <w:jc w:val="left"/>
      </w:pPr>
      <w:r>
        <w:rPr>
          <w:b/>
        </w:rPr>
        <w:t xml:space="preserve"> </w:t>
      </w:r>
    </w:p>
    <w:p w:rsidR="00025683" w:rsidRDefault="007C2AAB">
      <w:pPr>
        <w:spacing w:after="253" w:line="354" w:lineRule="auto"/>
        <w:ind w:left="14" w:right="13"/>
      </w:pPr>
      <w:r>
        <w:t>Candelaria es un municipio con una notable identidad cultural y religiosa, cuya relevancia como lugar de peregrinación y enclave turístico ha crecido en los últimos años. Su litoral, los senderos y espacios naturales, y los barrios que lo conforman</w:t>
      </w:r>
      <w:r>
        <w:t xml:space="preserve"> —desde Cuevecitas hasta Las Caletillas— conforman un entorno de especial valor ambiental y patrimonial.</w:t>
      </w:r>
      <w:r>
        <w:rPr>
          <w:rFonts w:ascii="Times New Roman" w:eastAsia="Times New Roman" w:hAnsi="Times New Roman" w:cs="Times New Roman"/>
          <w:sz w:val="24"/>
        </w:rPr>
        <w:t xml:space="preserve"> </w:t>
      </w:r>
    </w:p>
    <w:p w:rsidR="00025683" w:rsidRDefault="007C2AAB">
      <w:pPr>
        <w:spacing w:line="354" w:lineRule="auto"/>
        <w:ind w:left="14" w:right="7"/>
      </w:pPr>
      <w:r>
        <w:t>El notable crecimiento urbanístico y la presión turística exigen reforzar la regulación sobre limpieza, gestión de residuos y comportamiento cívico, garantizando una convivencia respetuosa con el entorno. Esta ordenanza recoge medidas específicas que refue</w:t>
      </w:r>
      <w:r>
        <w:t>rzan el cuidado de los espacios públicos, la correcta separación de residuos, la responsabilidad de las personas usuarias y la incorporación de criterios de economía circular.</w:t>
      </w:r>
      <w:r>
        <w:rPr>
          <w:rFonts w:ascii="Times New Roman" w:eastAsia="Times New Roman" w:hAnsi="Times New Roman" w:cs="Times New Roman"/>
          <w:sz w:val="24"/>
        </w:rPr>
        <w:t xml:space="preserve"> </w:t>
      </w:r>
    </w:p>
    <w:p w:rsidR="00025683" w:rsidRDefault="007C2AAB">
      <w:pPr>
        <w:spacing w:after="270" w:line="351" w:lineRule="auto"/>
        <w:ind w:left="14" w:right="3"/>
      </w:pPr>
      <w:r>
        <w:t>De igual modo, se presta especial atención a las situaciones de emergencia —inc</w:t>
      </w:r>
      <w:r>
        <w:t>luidas lluvias torrenciales o afecciones costeras derivadas del cambio climático—, con disposiciones que permiten responder con agilidad y eficacia a dichos eventos desde el ámbito local.</w:t>
      </w:r>
      <w:r>
        <w:rPr>
          <w:rFonts w:ascii="Times New Roman" w:eastAsia="Times New Roman" w:hAnsi="Times New Roman" w:cs="Times New Roman"/>
          <w:sz w:val="24"/>
        </w:rPr>
        <w:t xml:space="preserve"> </w:t>
      </w:r>
    </w:p>
    <w:p w:rsidR="00025683" w:rsidRDefault="007C2AAB">
      <w:pPr>
        <w:spacing w:after="102"/>
        <w:ind w:left="586" w:right="197"/>
      </w:pPr>
      <w:r>
        <w:rPr>
          <w:b/>
        </w:rPr>
        <w:t>PREÁMBULO IV</w:t>
      </w:r>
      <w:r>
        <w:rPr>
          <w:rFonts w:ascii="Times New Roman" w:eastAsia="Times New Roman" w:hAnsi="Times New Roman" w:cs="Times New Roman"/>
          <w:sz w:val="24"/>
        </w:rPr>
        <w:t xml:space="preserve"> </w:t>
      </w:r>
    </w:p>
    <w:p w:rsidR="00025683" w:rsidRDefault="007C2AAB">
      <w:pPr>
        <w:spacing w:after="234" w:line="259" w:lineRule="auto"/>
        <w:ind w:left="0" w:firstLine="0"/>
        <w:jc w:val="left"/>
      </w:pPr>
      <w:r>
        <w:rPr>
          <w:b/>
        </w:rPr>
        <w:t xml:space="preserve"> </w:t>
      </w:r>
    </w:p>
    <w:p w:rsidR="00025683" w:rsidRDefault="007C2AAB">
      <w:pPr>
        <w:spacing w:after="98"/>
        <w:ind w:left="0" w:right="197"/>
      </w:pPr>
      <w:r>
        <w:rPr>
          <w:b/>
        </w:rPr>
        <w:t>Limpieza del espacio público y comportamientos ciud</w:t>
      </w:r>
      <w:r>
        <w:rPr>
          <w:b/>
        </w:rPr>
        <w:t>adanos</w:t>
      </w:r>
      <w:r>
        <w:rPr>
          <w:rFonts w:ascii="Times New Roman" w:eastAsia="Times New Roman" w:hAnsi="Times New Roman" w:cs="Times New Roman"/>
          <w:sz w:val="24"/>
        </w:rPr>
        <w:t xml:space="preserve"> </w:t>
      </w:r>
    </w:p>
    <w:p w:rsidR="00025683" w:rsidRDefault="007C2AAB">
      <w:pPr>
        <w:spacing w:after="103" w:line="259" w:lineRule="auto"/>
        <w:ind w:left="0" w:firstLine="0"/>
        <w:jc w:val="left"/>
      </w:pPr>
      <w:r>
        <w:rPr>
          <w:b/>
        </w:rPr>
        <w:t xml:space="preserve"> </w:t>
      </w:r>
    </w:p>
    <w:p w:rsidR="00025683" w:rsidRDefault="007C2AAB">
      <w:pPr>
        <w:spacing w:after="259" w:line="349" w:lineRule="auto"/>
        <w:ind w:left="14" w:right="12"/>
      </w:pPr>
      <w:r>
        <w:t>El título I de la presente ordenanza está dedicado a la limpieza del espacio público, estructurado en varios capítulos que desarrollan las obligaciones ciudadanas y las actuaciones no permitidas en relación con el entorno urbano.</w:t>
      </w:r>
      <w:r>
        <w:rPr>
          <w:rFonts w:ascii="Times New Roman" w:eastAsia="Times New Roman" w:hAnsi="Times New Roman" w:cs="Times New Roman"/>
          <w:sz w:val="24"/>
        </w:rPr>
        <w:t xml:space="preserve"> </w:t>
      </w:r>
    </w:p>
    <w:p w:rsidR="00025683" w:rsidRDefault="007C2AAB">
      <w:pPr>
        <w:spacing w:after="256" w:line="356" w:lineRule="auto"/>
        <w:ind w:left="14" w:right="5"/>
      </w:pPr>
      <w:r>
        <w:rPr>
          <w:rFonts w:ascii="Calibri" w:eastAsia="Calibri" w:hAnsi="Calibri" w:cs="Calibri"/>
          <w:noProof/>
        </w:rPr>
        <mc:AlternateContent>
          <mc:Choice Requires="wpg">
            <w:drawing>
              <wp:anchor distT="0" distB="0" distL="114300" distR="114300" simplePos="0" relativeHeight="25190297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3937" name="Group 4139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198" name="Rectangle 2719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Validac</w:t>
                              </w:r>
                              <w:r>
                                <w:rPr>
                                  <w:sz w:val="12"/>
                                </w:rPr>
                                <w:t xml:space="preserve">ión: 3J3KYNW3CJM74AZ6SEHNT4KKY </w:t>
                              </w:r>
                            </w:p>
                          </w:txbxContent>
                        </wps:txbx>
                        <wps:bodyPr horzOverflow="overflow" vert="horz" lIns="0" tIns="0" rIns="0" bIns="0" rtlCol="0">
                          <a:noAutofit/>
                        </wps:bodyPr>
                      </wps:wsp>
                      <wps:wsp>
                        <wps:cNvPr id="27199" name="Rectangle 2719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200" name="Rectangle 2720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228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3937" style="width:18.7031pt;height:264.21pt;position:absolute;mso-position-horizontal-relative:page;mso-position-horizontal:absolute;margin-left:662.928pt;mso-position-vertical-relative:page;margin-top:507.75pt;" coordsize="2375,33554">
                <v:rect id="Rectangle 2719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719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20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228 de 350 </w:t>
                        </w:r>
                      </w:p>
                    </w:txbxContent>
                  </v:textbox>
                </v:rect>
                <w10:wrap type="square"/>
              </v:group>
            </w:pict>
          </mc:Fallback>
        </mc:AlternateContent>
      </w:r>
      <w:r>
        <w:t xml:space="preserve">Candelaria, como municipio costero y de relevante valor simbólico para </w:t>
      </w:r>
      <w:r>
        <w:t>Canarias, requiere de una atención especial en el mantenimiento del espacio público, tanto en zonas de gran afluencia como la Basílica y su entorno, como en los núcleos residenciales y rurales. La limpieza y el buen estado de calles, plazas, senderos y pla</w:t>
      </w:r>
      <w:r>
        <w:t>yas no sólo afectan a la estética, sino que están directamente vinculados con la salud pública, la calidad de vida y la imagen del municipio ante residentes y visitantes.</w:t>
      </w:r>
      <w:r>
        <w:rPr>
          <w:rFonts w:ascii="Times New Roman" w:eastAsia="Times New Roman" w:hAnsi="Times New Roman" w:cs="Times New Roman"/>
          <w:sz w:val="24"/>
        </w:rPr>
        <w:t xml:space="preserve"> </w:t>
      </w:r>
    </w:p>
    <w:p w:rsidR="00025683" w:rsidRDefault="007C2AAB">
      <w:pPr>
        <w:spacing w:after="251" w:line="355" w:lineRule="auto"/>
        <w:ind w:left="14" w:right="5"/>
      </w:pPr>
      <w:r>
        <w:t>La ordenanza establece con claridad qué comportamientos son exigibles a las personas</w:t>
      </w:r>
      <w:r>
        <w:t xml:space="preserve"> usuarias, así como las conductas que se consideran contrarias a la normativa, desde el abandono de residuos hasta el deterioro del mobiliario urbano o la realización de pintadas no autorizadas. La participación activa de la ciudadanía, mediante actitudes </w:t>
      </w:r>
      <w:r>
        <w:t>responsables y la colaboración con los servicios municipales, se convierte en un pilar esencial para mantener un entorno cuidado.</w:t>
      </w:r>
      <w:r>
        <w:rPr>
          <w:rFonts w:ascii="Times New Roman" w:eastAsia="Times New Roman" w:hAnsi="Times New Roman" w:cs="Times New Roman"/>
          <w:sz w:val="24"/>
        </w:rPr>
        <w:t xml:space="preserve"> </w:t>
      </w:r>
    </w:p>
    <w:p w:rsidR="00025683" w:rsidRDefault="007C2AAB">
      <w:pPr>
        <w:spacing w:after="254" w:line="353" w:lineRule="auto"/>
        <w:ind w:left="14" w:right="10"/>
      </w:pPr>
      <w:r>
        <w:t>Se regulan asimismo las condiciones en que deben desarrollarse las actividades privadas que ocupan espacio público, como terr</w:t>
      </w:r>
      <w:r>
        <w:t>azas, mercadillos, fiestas patronales o actos culturales, obligando a sus titulares a velar por la limpieza del entorno y a prevenir afecciones al espacio común.</w:t>
      </w:r>
      <w:r>
        <w:rPr>
          <w:rFonts w:ascii="Times New Roman" w:eastAsia="Times New Roman" w:hAnsi="Times New Roman" w:cs="Times New Roman"/>
          <w:sz w:val="24"/>
        </w:rPr>
        <w:t xml:space="preserve"> </w:t>
      </w:r>
    </w:p>
    <w:p w:rsidR="00025683" w:rsidRDefault="007C2AAB">
      <w:pPr>
        <w:spacing w:line="353" w:lineRule="auto"/>
        <w:ind w:left="14" w:right="5"/>
      </w:pPr>
      <w:r>
        <w:t>La ordenanza incluye previsiones especiales para los actos públicos de gran concurrencia, est</w:t>
      </w:r>
      <w:r>
        <w:t>ableciendo criterios para la instalación de aseos, el tratamiento de residuos generados y la presentación de memorias previas de impacto. En todos los casos, se busca un equilibrio entre el desarrollo de la vida social y la preservación del espacio compart</w:t>
      </w:r>
      <w:r>
        <w:t>ido.</w:t>
      </w:r>
      <w:r>
        <w:rPr>
          <w:rFonts w:ascii="Times New Roman" w:eastAsia="Times New Roman" w:hAnsi="Times New Roman" w:cs="Times New Roman"/>
          <w:sz w:val="24"/>
        </w:rPr>
        <w:t xml:space="preserve"> </w:t>
      </w:r>
    </w:p>
    <w:p w:rsidR="00025683" w:rsidRDefault="007C2AAB">
      <w:pPr>
        <w:spacing w:after="102"/>
        <w:ind w:left="586" w:right="197"/>
      </w:pPr>
      <w:r>
        <w:rPr>
          <w:b/>
        </w:rPr>
        <w:t>PREÁMBULO V</w:t>
      </w:r>
      <w:r>
        <w:rPr>
          <w:rFonts w:ascii="Times New Roman" w:eastAsia="Times New Roman" w:hAnsi="Times New Roman" w:cs="Times New Roman"/>
          <w:sz w:val="24"/>
        </w:rPr>
        <w:t xml:space="preserve"> </w:t>
      </w:r>
    </w:p>
    <w:p w:rsidR="00025683" w:rsidRDefault="007C2AAB">
      <w:pPr>
        <w:spacing w:after="234" w:line="259" w:lineRule="auto"/>
        <w:ind w:left="0" w:firstLine="0"/>
        <w:jc w:val="left"/>
      </w:pPr>
      <w:r>
        <w:rPr>
          <w:b/>
        </w:rPr>
        <w:t xml:space="preserve"> </w:t>
      </w:r>
    </w:p>
    <w:p w:rsidR="00025683" w:rsidRDefault="007C2AAB">
      <w:pPr>
        <w:spacing w:after="100"/>
        <w:ind w:left="0" w:right="197"/>
      </w:pPr>
      <w:r>
        <w:rPr>
          <w:b/>
        </w:rPr>
        <w:t>Gestión de los residuos municipales: estructura y prioridades</w:t>
      </w:r>
      <w:r>
        <w:rPr>
          <w:rFonts w:ascii="Times New Roman" w:eastAsia="Times New Roman" w:hAnsi="Times New Roman" w:cs="Times New Roman"/>
          <w:sz w:val="24"/>
        </w:rPr>
        <w:t xml:space="preserve"> </w:t>
      </w:r>
    </w:p>
    <w:p w:rsidR="00025683" w:rsidRDefault="007C2AAB">
      <w:pPr>
        <w:spacing w:after="100" w:line="259" w:lineRule="auto"/>
        <w:ind w:left="0" w:firstLine="0"/>
        <w:jc w:val="left"/>
      </w:pPr>
      <w:r>
        <w:rPr>
          <w:b/>
        </w:rPr>
        <w:t xml:space="preserve"> </w:t>
      </w:r>
    </w:p>
    <w:p w:rsidR="00025683" w:rsidRDefault="007C2AAB">
      <w:pPr>
        <w:spacing w:after="277" w:line="359" w:lineRule="auto"/>
        <w:ind w:left="14" w:right="13"/>
      </w:pPr>
      <w:r>
        <w:t xml:space="preserve">El Título II de la presente ordenanza regula de forma integral la gestión de los residuos municipales en el Municipio de Candelaria, estructurando sus contenidos en ocho </w:t>
      </w:r>
      <w:r>
        <w:t xml:space="preserve">capítulos que responden a los principios de prevención, responsabilidad compartida y jerarquía en la gestión de residuos. </w:t>
      </w:r>
    </w:p>
    <w:p w:rsidR="00025683" w:rsidRDefault="007C2AAB">
      <w:pPr>
        <w:spacing w:after="257" w:line="355" w:lineRule="auto"/>
        <w:ind w:left="14"/>
      </w:pPr>
      <w:r>
        <w:t>El primer capítulo define aspectos esenciales como la titularidad de los residuos, la jerarquía de tratamiento —</w:t>
      </w:r>
      <w:r>
        <w:t>desde la prevención hasta la eliminación—, y el papel del Ayuntamiento en el impulso de políticas de gestión sostenibles, alineadas con el Plan Integral de Residuos de Canarias (PIRCAN) y la Ley 7/2022 de residuos y suelos contaminados para una economía ci</w:t>
      </w:r>
      <w:r>
        <w:t>rcular.</w:t>
      </w:r>
      <w:r>
        <w:rPr>
          <w:rFonts w:ascii="Times New Roman" w:eastAsia="Times New Roman" w:hAnsi="Times New Roman" w:cs="Times New Roman"/>
          <w:sz w:val="24"/>
        </w:rPr>
        <w:t xml:space="preserve"> </w:t>
      </w:r>
    </w:p>
    <w:p w:rsidR="00025683" w:rsidRDefault="007C2AAB">
      <w:pPr>
        <w:spacing w:after="253" w:line="354" w:lineRule="auto"/>
        <w:ind w:left="14" w:right="14"/>
      </w:pPr>
      <w:r>
        <w:rPr>
          <w:rFonts w:ascii="Calibri" w:eastAsia="Calibri" w:hAnsi="Calibri" w:cs="Calibri"/>
          <w:noProof/>
        </w:rPr>
        <mc:AlternateContent>
          <mc:Choice Requires="wpg">
            <w:drawing>
              <wp:anchor distT="0" distB="0" distL="114300" distR="114300" simplePos="0" relativeHeight="25190400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4093" name="Group 41409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397" name="Rectangle 2739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7398" name="Rectangle 2739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399" name="Rectangle 2739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229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4093" style="width:18.7031pt;height:264.21pt;position:absolute;mso-position-horizontal-relative:page;mso-position-horizontal:absolute;margin-left:662.928pt;mso-position-vertical-relative:page;margin-top:507.75pt;" coordsize="2375,33554">
                <v:rect id="Rectangle 2739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739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39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229 de 350 </w:t>
                        </w:r>
                      </w:p>
                    </w:txbxContent>
                  </v:textbox>
                </v:rect>
                <w10:wrap type="square"/>
              </v:group>
            </w:pict>
          </mc:Fallback>
        </mc:AlternateContent>
      </w:r>
      <w:r>
        <w:t xml:space="preserve">El segundo capítulo establece las competencias </w:t>
      </w:r>
      <w:r>
        <w:t>municipales, así como las obligaciones de las personas usuarias, incluyendo aquellas vinculadas a la generación o posesión de residuos peligrosos o de gran volumen. Se incluye una mención especial a la corresponsabilidad de las personas organizadoras de ev</w:t>
      </w:r>
      <w:r>
        <w:t>entos públicos y titulares de comercios.</w:t>
      </w:r>
      <w:r>
        <w:rPr>
          <w:rFonts w:ascii="Times New Roman" w:eastAsia="Times New Roman" w:hAnsi="Times New Roman" w:cs="Times New Roman"/>
          <w:sz w:val="24"/>
        </w:rPr>
        <w:t xml:space="preserve"> </w:t>
      </w:r>
    </w:p>
    <w:p w:rsidR="00025683" w:rsidRDefault="007C2AAB">
      <w:pPr>
        <w:spacing w:after="277" w:line="360" w:lineRule="auto"/>
        <w:ind w:left="14" w:right="16"/>
      </w:pPr>
      <w:r>
        <w:t>El tercer capítulo desarrolla los sistemas de recogida, incluyendo la contenerización por fracciones, las normas de uso de los recipientes y su mantenimiento, así como las particularidades de las distintas zonas de</w:t>
      </w:r>
      <w:r>
        <w:t xml:space="preserve">l municipio. </w:t>
      </w:r>
    </w:p>
    <w:p w:rsidR="00025683" w:rsidRDefault="007C2AAB">
      <w:pPr>
        <w:spacing w:after="275" w:line="360" w:lineRule="auto"/>
        <w:ind w:left="14" w:right="17"/>
      </w:pPr>
      <w:r>
        <w:t xml:space="preserve">A través del cuarto capítulo se regulan los horarios y condiciones de separación, depósito y recogida de residuos ordinarios, incluyendo flujos específicos como biorresiduos, plásticos, papel-cartón, vidrio, textil o aceite usado de cocina. </w:t>
      </w:r>
    </w:p>
    <w:p w:rsidR="00025683" w:rsidRDefault="007C2AAB">
      <w:pPr>
        <w:spacing w:after="278" w:line="360" w:lineRule="auto"/>
        <w:ind w:left="14" w:right="5"/>
      </w:pPr>
      <w:r>
        <w:t xml:space="preserve">El capítulo quinto establece el marco de actuación respecto a los residuos especiales, contemplando desde residuos de construcción y demolición hasta aparatos eléctricos, residuos sanitarios, muebles, animales muertos o residuos de jardinería. </w:t>
      </w:r>
    </w:p>
    <w:p w:rsidR="00025683" w:rsidRDefault="007C2AAB">
      <w:pPr>
        <w:spacing w:after="363" w:line="361" w:lineRule="auto"/>
        <w:ind w:left="14"/>
      </w:pPr>
      <w:r>
        <w:t>El sexto ca</w:t>
      </w:r>
      <w:r>
        <w:t>pítulo regula los puntos limpios, su operatividad, residuos admitidos y tratamiento posterior, promoviendo un modelo que facilite la separación en origen y evite el abandono de residuos voluminosos o peligrosos.</w:t>
      </w:r>
      <w:r>
        <w:rPr>
          <w:rFonts w:ascii="Times New Roman" w:eastAsia="Times New Roman" w:hAnsi="Times New Roman" w:cs="Times New Roman"/>
          <w:sz w:val="24"/>
        </w:rPr>
        <w:t xml:space="preserve"> </w:t>
      </w:r>
    </w:p>
    <w:p w:rsidR="00025683" w:rsidRDefault="007C2AAB">
      <w:pPr>
        <w:spacing w:after="270" w:line="360" w:lineRule="auto"/>
        <w:ind w:left="14" w:right="17"/>
      </w:pPr>
      <w:r>
        <w:t>El séptimo capítulo introduce, como novedad</w:t>
      </w:r>
      <w:r>
        <w:t xml:space="preserve">, el fomento del compostaje doméstico y comunitario, en línea con lo exigido por la normativa estatal y autonómica, adaptado a las realidades urbanas y periurbanas del municipio. </w:t>
      </w:r>
    </w:p>
    <w:p w:rsidR="00025683" w:rsidRDefault="007C2AAB">
      <w:pPr>
        <w:spacing w:after="272" w:line="349" w:lineRule="auto"/>
        <w:ind w:left="14" w:right="18"/>
      </w:pPr>
      <w:r>
        <w:t xml:space="preserve">Por último, el capítulo octavo detalla el régimen </w:t>
      </w:r>
      <w:r>
        <w:t>aplicable a las instalaciones de tratamiento, incluyendo los residuos trasladados por particulares o entidades, garantizando su correcta trazabilidad y destino final.</w:t>
      </w:r>
      <w:r>
        <w:rPr>
          <w:rFonts w:ascii="Times New Roman" w:eastAsia="Times New Roman" w:hAnsi="Times New Roman" w:cs="Times New Roman"/>
          <w:sz w:val="24"/>
        </w:rPr>
        <w:t xml:space="preserve"> </w:t>
      </w:r>
    </w:p>
    <w:p w:rsidR="00025683" w:rsidRDefault="007C2AAB">
      <w:pPr>
        <w:spacing w:after="104"/>
        <w:ind w:left="586" w:right="197"/>
      </w:pPr>
      <w:r>
        <w:rPr>
          <w:b/>
        </w:rPr>
        <w:t>PREÁMBULO VI</w:t>
      </w:r>
      <w:r>
        <w:rPr>
          <w:rFonts w:ascii="Times New Roman" w:eastAsia="Times New Roman" w:hAnsi="Times New Roman" w:cs="Times New Roman"/>
          <w:sz w:val="24"/>
        </w:rPr>
        <w:t xml:space="preserve"> </w:t>
      </w:r>
    </w:p>
    <w:p w:rsidR="00025683" w:rsidRDefault="007C2AAB">
      <w:pPr>
        <w:spacing w:after="100" w:line="259" w:lineRule="auto"/>
        <w:ind w:left="0" w:firstLine="0"/>
        <w:jc w:val="left"/>
      </w:pPr>
      <w:r>
        <w:rPr>
          <w:b/>
        </w:rPr>
        <w:t xml:space="preserve"> </w:t>
      </w:r>
    </w:p>
    <w:p w:rsidR="00025683" w:rsidRDefault="007C2AAB">
      <w:pPr>
        <w:spacing w:after="191" w:line="408" w:lineRule="auto"/>
        <w:ind w:left="14" w:right="7"/>
      </w:pPr>
      <w:r>
        <w:t>El Título III de la presente ordenanza está dedicado al régimen de inspe</w:t>
      </w:r>
      <w:r>
        <w:t>cción y control, cuya finalidad es garantizar el cumplimiento efectivo de las disposiciones establecidas. En este</w:t>
      </w:r>
      <w:r>
        <w:rPr>
          <w:rFonts w:ascii="Times New Roman" w:eastAsia="Times New Roman" w:hAnsi="Times New Roman" w:cs="Times New Roman"/>
          <w:sz w:val="24"/>
        </w:rPr>
        <w:t xml:space="preserve"> </w:t>
      </w:r>
      <w:r>
        <w:t>sentido, se detallan las competencias del Ayuntamiento de Candelaria para ejercer labores de vigilancia, así como las funciones que correspond</w:t>
      </w:r>
      <w:r>
        <w:t>en a los servicios de inspección municipal.</w:t>
      </w:r>
      <w:r>
        <w:rPr>
          <w:rFonts w:ascii="Times New Roman" w:eastAsia="Times New Roman" w:hAnsi="Times New Roman" w:cs="Times New Roman"/>
          <w:sz w:val="24"/>
        </w:rPr>
        <w:t xml:space="preserve"> </w:t>
      </w:r>
    </w:p>
    <w:p w:rsidR="00025683" w:rsidRDefault="007C2AAB">
      <w:pPr>
        <w:spacing w:after="258" w:line="350" w:lineRule="auto"/>
        <w:ind w:left="14" w:right="9"/>
      </w:pPr>
      <w:r>
        <w:rPr>
          <w:rFonts w:ascii="Calibri" w:eastAsia="Calibri" w:hAnsi="Calibri" w:cs="Calibri"/>
          <w:noProof/>
        </w:rPr>
        <mc:AlternateContent>
          <mc:Choice Requires="wpg">
            <w:drawing>
              <wp:anchor distT="0" distB="0" distL="114300" distR="114300" simplePos="0" relativeHeight="25190502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4145" name="Group 41414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580" name="Rectangle 2758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7581" name="Rectangle 2758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582" name="Rectangle 2758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230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4145" style="width:18.7031pt;height:264.21pt;position:absolute;mso-position-horizontal-relative:page;mso-position-horizontal:absolute;margin-left:662.928pt;mso-position-vertical-relative:page;margin-top:507.75pt;" coordsize="2375,33554">
                <v:rect id="Rectangle 2758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758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58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230 de 350 </w:t>
                        </w:r>
                      </w:p>
                    </w:txbxContent>
                  </v:textbox>
                </v:rect>
                <w10:wrap type="square"/>
              </v:group>
            </w:pict>
          </mc:Fallback>
        </mc:AlternateContent>
      </w:r>
      <w:r>
        <w:t>El ejercicio</w:t>
      </w:r>
      <w:r>
        <w:t xml:space="preserve"> de la función inspectora se regula conforme a los principios de objetividad, imparcialidad y eficacia, garantizando el respeto a los derechos de las personas interesadas y asegurando una actuación proporcional a la naturaleza de las infracciones detectada</w:t>
      </w:r>
      <w:r>
        <w:t>s.</w:t>
      </w:r>
      <w:r>
        <w:rPr>
          <w:rFonts w:ascii="Times New Roman" w:eastAsia="Times New Roman" w:hAnsi="Times New Roman" w:cs="Times New Roman"/>
          <w:sz w:val="24"/>
        </w:rPr>
        <w:t xml:space="preserve"> </w:t>
      </w:r>
    </w:p>
    <w:p w:rsidR="00025683" w:rsidRDefault="007C2AAB">
      <w:pPr>
        <w:spacing w:after="254" w:line="353" w:lineRule="auto"/>
        <w:ind w:left="14" w:right="10"/>
      </w:pPr>
      <w:r>
        <w:t>Se establece también el deber de colaboración por parte de la ciudadanía, especialmente cuando se trate de requerimientos derivados de actividades de control o verificación. Asimismo, se definen las funciones del personal auxiliar que presta apoyo a la</w:t>
      </w:r>
      <w:r>
        <w:t>s tareas de inspección.</w:t>
      </w:r>
      <w:r>
        <w:rPr>
          <w:rFonts w:ascii="Times New Roman" w:eastAsia="Times New Roman" w:hAnsi="Times New Roman" w:cs="Times New Roman"/>
          <w:sz w:val="24"/>
        </w:rPr>
        <w:t xml:space="preserve"> </w:t>
      </w:r>
    </w:p>
    <w:p w:rsidR="00025683" w:rsidRDefault="007C2AAB">
      <w:pPr>
        <w:spacing w:after="268" w:line="353" w:lineRule="auto"/>
        <w:ind w:left="14" w:right="7"/>
      </w:pPr>
      <w:r>
        <w:t xml:space="preserve">El régimen de ejecución forzosa previsto en la ordenanza permite al Ayuntamiento actuar subsidiariamente cuando las personas responsables incumplan sus deberes, pudiendo </w:t>
      </w:r>
      <w:r>
        <w:t>aplicar medidas como las multas coercitivas o la ejecución directa de los trabajos necesarios para la restauración del entorno.</w:t>
      </w:r>
      <w:r>
        <w:rPr>
          <w:rFonts w:ascii="Times New Roman" w:eastAsia="Times New Roman" w:hAnsi="Times New Roman" w:cs="Times New Roman"/>
          <w:sz w:val="24"/>
        </w:rPr>
        <w:t xml:space="preserve"> </w:t>
      </w:r>
    </w:p>
    <w:p w:rsidR="00025683" w:rsidRDefault="007C2AAB">
      <w:pPr>
        <w:spacing w:after="102"/>
        <w:ind w:left="586" w:right="197"/>
      </w:pPr>
      <w:r>
        <w:rPr>
          <w:b/>
        </w:rPr>
        <w:t>PREÁMBULO VII</w:t>
      </w:r>
      <w:r>
        <w:rPr>
          <w:rFonts w:ascii="Times New Roman" w:eastAsia="Times New Roman" w:hAnsi="Times New Roman" w:cs="Times New Roman"/>
          <w:sz w:val="24"/>
        </w:rPr>
        <w:t xml:space="preserve"> </w:t>
      </w:r>
    </w:p>
    <w:p w:rsidR="00025683" w:rsidRDefault="007C2AAB">
      <w:pPr>
        <w:spacing w:after="103" w:line="259" w:lineRule="auto"/>
        <w:ind w:left="0" w:firstLine="0"/>
        <w:jc w:val="left"/>
      </w:pPr>
      <w:r>
        <w:rPr>
          <w:b/>
        </w:rPr>
        <w:t xml:space="preserve"> </w:t>
      </w:r>
    </w:p>
    <w:p w:rsidR="00025683" w:rsidRDefault="007C2AAB">
      <w:pPr>
        <w:spacing w:after="270" w:line="358" w:lineRule="auto"/>
        <w:ind w:left="14"/>
      </w:pPr>
      <w:r>
        <w:t>El Título IV recoge el régimen sancionador aplicable en caso de incumplimiento de las disposiciones contenidas</w:t>
      </w:r>
      <w:r>
        <w:t xml:space="preserve"> en esta ordenanza. Se establecen, en primer lugar, normas comunes relativas a la tipificación de las infracciones, la determinación de la responsabilidad y los plazos de prescripción.</w:t>
      </w:r>
      <w:r>
        <w:rPr>
          <w:rFonts w:ascii="Times New Roman" w:eastAsia="Times New Roman" w:hAnsi="Times New Roman" w:cs="Times New Roman"/>
          <w:sz w:val="24"/>
        </w:rPr>
        <w:t xml:space="preserve"> </w:t>
      </w:r>
    </w:p>
    <w:p w:rsidR="00025683" w:rsidRDefault="007C2AAB">
      <w:pPr>
        <w:spacing w:after="257" w:line="353" w:lineRule="auto"/>
        <w:ind w:left="14" w:right="4"/>
      </w:pPr>
      <w:r>
        <w:t xml:space="preserve">A continuación, se clasifican las infracciones en leves, graves y muy </w:t>
      </w:r>
      <w:r>
        <w:t>graves, atendiendo a criterios como la intencionalidad, el daño causado, la reincidencia o el grado de colaboración con la autoridad municipal. Esta clasificación permitirá aplicar sanciones proporcionales y ajustadas a cada caso.</w:t>
      </w:r>
      <w:r>
        <w:rPr>
          <w:rFonts w:ascii="Times New Roman" w:eastAsia="Times New Roman" w:hAnsi="Times New Roman" w:cs="Times New Roman"/>
          <w:sz w:val="24"/>
        </w:rPr>
        <w:t xml:space="preserve"> </w:t>
      </w:r>
    </w:p>
    <w:p w:rsidR="00025683" w:rsidRDefault="007C2AAB">
      <w:pPr>
        <w:spacing w:after="254" w:line="353" w:lineRule="auto"/>
        <w:ind w:left="14" w:right="17"/>
      </w:pPr>
      <w:r>
        <w:t>El título concluye con e</w:t>
      </w:r>
      <w:r>
        <w:t>l catálogo de sanciones aplicables, incluyendo tanto sanciones económicas como medidas educativas o de restauración del entorno. En casos determinados, podrá contemplarse la sustitución de la sanción económica por la realización de tareas en beneficio de l</w:t>
      </w:r>
      <w:r>
        <w:t>a comunidad o la asistencia a programas de formación ambiental.</w:t>
      </w:r>
      <w:r>
        <w:rPr>
          <w:rFonts w:ascii="Times New Roman" w:eastAsia="Times New Roman" w:hAnsi="Times New Roman" w:cs="Times New Roman"/>
          <w:sz w:val="24"/>
        </w:rPr>
        <w:t xml:space="preserve"> </w:t>
      </w:r>
    </w:p>
    <w:p w:rsidR="00025683" w:rsidRDefault="007C2AAB">
      <w:pPr>
        <w:spacing w:after="196" w:line="341" w:lineRule="auto"/>
        <w:ind w:left="14"/>
      </w:pPr>
      <w:r>
        <w:t>Con ello, se pretende no solo castigar el incumplimiento, sino también fomentar una cultura de respeto, corresponsabilidad y compromiso con el entorno en el que convivimos.</w:t>
      </w:r>
      <w:r>
        <w:rPr>
          <w:rFonts w:ascii="Times New Roman" w:eastAsia="Times New Roman" w:hAnsi="Times New Roman" w:cs="Times New Roman"/>
          <w:sz w:val="24"/>
        </w:rPr>
        <w:t xml:space="preserve"> </w:t>
      </w:r>
    </w:p>
    <w:p w:rsidR="00025683" w:rsidRDefault="007C2AAB">
      <w:pPr>
        <w:spacing w:after="203" w:line="259" w:lineRule="auto"/>
        <w:ind w:left="0" w:firstLine="0"/>
        <w:jc w:val="left"/>
      </w:pPr>
      <w:r>
        <w:rPr>
          <w:b/>
        </w:rPr>
        <w:t xml:space="preserve"> </w:t>
      </w:r>
    </w:p>
    <w:p w:rsidR="00025683" w:rsidRDefault="007C2AAB">
      <w:pPr>
        <w:spacing w:after="69"/>
        <w:ind w:left="0" w:right="197"/>
      </w:pPr>
      <w:r>
        <w:rPr>
          <w:rFonts w:ascii="Calibri" w:eastAsia="Calibri" w:hAnsi="Calibri" w:cs="Calibri"/>
          <w:noProof/>
        </w:rPr>
        <mc:AlternateContent>
          <mc:Choice Requires="wpg">
            <w:drawing>
              <wp:anchor distT="0" distB="0" distL="114300" distR="114300" simplePos="0" relativeHeight="25190604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4646" name="Group 4146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857" name="Rectangle 2785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Validac</w:t>
                              </w:r>
                              <w:r>
                                <w:rPr>
                                  <w:sz w:val="12"/>
                                </w:rPr>
                                <w:t xml:space="preserve">ión: 3J3KYNW3CJM74AZ6SEHNT4KKY </w:t>
                              </w:r>
                            </w:p>
                          </w:txbxContent>
                        </wps:txbx>
                        <wps:bodyPr horzOverflow="overflow" vert="horz" lIns="0" tIns="0" rIns="0" bIns="0" rtlCol="0">
                          <a:noAutofit/>
                        </wps:bodyPr>
                      </wps:wsp>
                      <wps:wsp>
                        <wps:cNvPr id="27858" name="Rectangle 2785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7859" name="Rectangle 2785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231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4646" style="width:18.7031pt;height:264.21pt;position:absolute;mso-position-horizontal-relative:page;mso-position-horizontal:absolute;margin-left:662.928pt;mso-position-vertical-relative:page;margin-top:507.75pt;" coordsize="2375,33554">
                <v:rect id="Rectangle 2785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785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785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231 de 350 </w:t>
                        </w:r>
                      </w:p>
                    </w:txbxContent>
                  </v:textbox>
                </v:rect>
                <w10:wrap type="square"/>
              </v:group>
            </w:pict>
          </mc:Fallback>
        </mc:AlternateContent>
      </w:r>
      <w:r>
        <w:rPr>
          <w:b/>
        </w:rPr>
        <w:t>TÍTULO PRELIMINAR. Disposiciones Generales</w:t>
      </w:r>
      <w:r>
        <w:rPr>
          <w:rFonts w:ascii="Times New Roman" w:eastAsia="Times New Roman" w:hAnsi="Times New Roman" w:cs="Times New Roman"/>
          <w:sz w:val="24"/>
        </w:rPr>
        <w:t xml:space="preserve"> </w:t>
      </w:r>
    </w:p>
    <w:p w:rsidR="00025683" w:rsidRDefault="007C2AAB">
      <w:pPr>
        <w:spacing w:after="114" w:line="259" w:lineRule="auto"/>
        <w:ind w:left="0" w:firstLine="0"/>
        <w:jc w:val="left"/>
      </w:pPr>
      <w:r>
        <w:rPr>
          <w:b/>
        </w:rPr>
        <w:t xml:space="preserve"> </w:t>
      </w:r>
    </w:p>
    <w:p w:rsidR="00025683" w:rsidRDefault="007C2AAB">
      <w:pPr>
        <w:spacing w:after="170"/>
        <w:ind w:left="0" w:right="197"/>
      </w:pPr>
      <w:r>
        <w:rPr>
          <w:b/>
        </w:rPr>
        <w:t>Artículo 1.  Objeto</w:t>
      </w:r>
      <w:r>
        <w:rPr>
          <w:rFonts w:ascii="Times New Roman" w:eastAsia="Times New Roman" w:hAnsi="Times New Roman" w:cs="Times New Roman"/>
          <w:sz w:val="24"/>
        </w:rPr>
        <w:t xml:space="preserve"> </w:t>
      </w:r>
    </w:p>
    <w:p w:rsidR="00025683" w:rsidRDefault="007C2AAB">
      <w:pPr>
        <w:numPr>
          <w:ilvl w:val="0"/>
          <w:numId w:val="62"/>
        </w:numPr>
        <w:spacing w:after="167" w:line="358" w:lineRule="auto"/>
        <w:ind w:right="15"/>
      </w:pPr>
      <w:r>
        <w:t xml:space="preserve">La </w:t>
      </w:r>
      <w:r>
        <w:t>presente ordenanza tiene por objeto la regulación, en el ámbito de las competencias del Ayuntamiento, de todas aquellas conductas y actividades dirigidas a la limpieza de los espacios públicos y privados de uso público que componen su ámbito de aplicación,</w:t>
      </w:r>
      <w:r>
        <w:t xml:space="preserve"> así como la recogida, almacenamiento, transporte y tratamiento de los residuos domésticos y municipales, con el fin de conseguir las condiciones adecuadas de salubridad, bienestar ciudadano, pulcritud y ornato, en orden a la debida protección de la salud </w:t>
      </w:r>
      <w:r>
        <w:t>de las personas, los espacios públicos y el paisaje urbano, así como del medio ambiente, fomentando actitudes encaminadas a mantener la ciudad limpia y posibilitar la reducción y la reutilización.</w:t>
      </w:r>
      <w:r>
        <w:rPr>
          <w:rFonts w:ascii="Times New Roman" w:eastAsia="Times New Roman" w:hAnsi="Times New Roman" w:cs="Times New Roman"/>
          <w:sz w:val="24"/>
        </w:rPr>
        <w:t xml:space="preserve"> </w:t>
      </w:r>
    </w:p>
    <w:p w:rsidR="00025683" w:rsidRDefault="007C2AAB">
      <w:pPr>
        <w:numPr>
          <w:ilvl w:val="0"/>
          <w:numId w:val="62"/>
        </w:numPr>
        <w:spacing w:after="167" w:line="368" w:lineRule="auto"/>
        <w:ind w:right="15"/>
      </w:pPr>
      <w:r>
        <w:t>En el ejercicio de las competencias municipales, la presen</w:t>
      </w:r>
      <w:r>
        <w:t xml:space="preserve">te ordenanza desarrolla la legislación estatal y autonómica en materia de limpieza y residuos, debiendo aplicarse e interpretarse de acuerdo con la normativa vigente en cada momento. </w:t>
      </w:r>
    </w:p>
    <w:p w:rsidR="00025683" w:rsidRDefault="007C2AAB">
      <w:pPr>
        <w:spacing w:after="168"/>
        <w:ind w:left="0" w:right="197"/>
      </w:pPr>
      <w:r>
        <w:rPr>
          <w:b/>
        </w:rPr>
        <w:t>Artículo. 2. Ámbito de aplicación</w:t>
      </w:r>
      <w:r>
        <w:t>.</w:t>
      </w:r>
      <w:r>
        <w:rPr>
          <w:rFonts w:ascii="Times New Roman" w:eastAsia="Times New Roman" w:hAnsi="Times New Roman" w:cs="Times New Roman"/>
          <w:sz w:val="24"/>
        </w:rPr>
        <w:t xml:space="preserve"> </w:t>
      </w:r>
    </w:p>
    <w:p w:rsidR="00025683" w:rsidRDefault="007C2AAB">
      <w:pPr>
        <w:numPr>
          <w:ilvl w:val="0"/>
          <w:numId w:val="63"/>
        </w:numPr>
        <w:spacing w:after="141" w:line="375" w:lineRule="auto"/>
        <w:ind w:hanging="10"/>
        <w:jc w:val="left"/>
      </w:pPr>
      <w:r>
        <w:t xml:space="preserve">La presente ordenanza se aplicará a </w:t>
      </w:r>
      <w:r>
        <w:t>los espacios públicos situados en el término municipal de Candelaria, que comprenden el conjunto de espacios peatonales y vehiculares, de paso, estancia o esparcimiento y zonas verdes públicas, acceso público o estén sujetos a servidumbre de paso de person</w:t>
      </w:r>
      <w:r>
        <w:t>as y vehículos, así como pasajes interiores de acceso público, espacios abiertos, soportales y similares que forman parte del dominio público.</w:t>
      </w:r>
      <w:r>
        <w:rPr>
          <w:rFonts w:ascii="Times New Roman" w:eastAsia="Times New Roman" w:hAnsi="Times New Roman" w:cs="Times New Roman"/>
          <w:sz w:val="24"/>
        </w:rPr>
        <w:t xml:space="preserve"> </w:t>
      </w:r>
    </w:p>
    <w:p w:rsidR="00025683" w:rsidRDefault="007C2AAB">
      <w:pPr>
        <w:spacing w:after="189" w:line="341" w:lineRule="auto"/>
        <w:ind w:left="14"/>
      </w:pPr>
      <w:r>
        <w:t>Se incluyen en esta acepción los terrenos o bienes que, siendo de titularidad municipal, estén sometidos a un us</w:t>
      </w:r>
      <w:r>
        <w:t>o común especial o a un uso privativo por personas públicas o privadas.</w:t>
      </w:r>
      <w:r>
        <w:rPr>
          <w:rFonts w:ascii="Times New Roman" w:eastAsia="Times New Roman" w:hAnsi="Times New Roman" w:cs="Times New Roman"/>
          <w:sz w:val="24"/>
        </w:rPr>
        <w:t xml:space="preserve"> </w:t>
      </w:r>
    </w:p>
    <w:p w:rsidR="00025683" w:rsidRDefault="007C2AAB">
      <w:pPr>
        <w:numPr>
          <w:ilvl w:val="0"/>
          <w:numId w:val="63"/>
        </w:numPr>
        <w:spacing w:after="222" w:line="358" w:lineRule="auto"/>
        <w:ind w:hanging="10"/>
        <w:jc w:val="left"/>
      </w:pPr>
      <w:r>
        <w:t xml:space="preserve">En materia de residuos, la presente ordenanza es de aplicación a la gestión de los residuos sobre los que la normativa vigente otorga competencias a las entidades locales, y que </w:t>
      </w:r>
      <w:r>
        <w:t>son los siguientes:</w:t>
      </w:r>
      <w:r>
        <w:rPr>
          <w:rFonts w:ascii="Times New Roman" w:eastAsia="Times New Roman" w:hAnsi="Times New Roman" w:cs="Times New Roman"/>
          <w:sz w:val="24"/>
        </w:rPr>
        <w:t xml:space="preserve"> </w:t>
      </w:r>
    </w:p>
    <w:p w:rsidR="00025683" w:rsidRDefault="007C2AAB">
      <w:pPr>
        <w:numPr>
          <w:ilvl w:val="0"/>
          <w:numId w:val="64"/>
        </w:numPr>
        <w:spacing w:after="171" w:line="357" w:lineRule="auto"/>
        <w:ind w:hanging="228"/>
      </w:pPr>
      <w:r>
        <w:t>Recogida, transporte y tratamiento de residuos domésticos generados en los hogares, comercios y actividades de servicios, incluyendo las actuaciones necesarias para potenciar la reutilización.</w:t>
      </w:r>
      <w:r>
        <w:rPr>
          <w:rFonts w:ascii="Times New Roman" w:eastAsia="Times New Roman" w:hAnsi="Times New Roman" w:cs="Times New Roman"/>
          <w:sz w:val="24"/>
        </w:rPr>
        <w:t xml:space="preserve"> </w:t>
      </w:r>
    </w:p>
    <w:p w:rsidR="00025683" w:rsidRDefault="007C2AAB">
      <w:pPr>
        <w:numPr>
          <w:ilvl w:val="0"/>
          <w:numId w:val="64"/>
        </w:numPr>
        <w:spacing w:after="171" w:line="357" w:lineRule="auto"/>
        <w:ind w:hanging="228"/>
      </w:pPr>
      <w:r>
        <w:t>Recogida, transporte y tratamiento de res</w:t>
      </w:r>
      <w:r>
        <w:t>iduos comerciales no peligrosos y residuos domésticos generados en industrias, incluyendo las actuaciones necesarias para potenciar su reutilización.</w:t>
      </w:r>
      <w:r>
        <w:rPr>
          <w:rFonts w:ascii="Times New Roman" w:eastAsia="Times New Roman" w:hAnsi="Times New Roman" w:cs="Times New Roman"/>
          <w:sz w:val="24"/>
        </w:rPr>
        <w:t xml:space="preserve"> </w:t>
      </w:r>
    </w:p>
    <w:p w:rsidR="00025683" w:rsidRDefault="007C2AAB">
      <w:pPr>
        <w:numPr>
          <w:ilvl w:val="0"/>
          <w:numId w:val="64"/>
        </w:numPr>
        <w:ind w:hanging="228"/>
      </w:pPr>
      <w:r>
        <w:rPr>
          <w:rFonts w:ascii="Calibri" w:eastAsia="Calibri" w:hAnsi="Calibri" w:cs="Calibri"/>
          <w:noProof/>
        </w:rPr>
        <mc:AlternateContent>
          <mc:Choice Requires="wpg">
            <w:drawing>
              <wp:anchor distT="0" distB="0" distL="114300" distR="114300" simplePos="0" relativeHeight="25190707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4523" name="Group 4145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155" name="Rectangle 2815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8156" name="Rectangle 2815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157" name="Rectangle 2815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w:t>
                              </w:r>
                              <w:r>
                                <w:rPr>
                                  <w:sz w:val="12"/>
                                </w:rPr>
                                <w:t xml:space="preserve">ocumento firmado electrónicamente desde la plataforma esPublico Gestiona | Página 232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4523" style="width:18.7031pt;height:264.21pt;position:absolute;mso-position-horizontal-relative:page;mso-position-horizontal:absolute;margin-left:662.928pt;mso-position-vertical-relative:page;margin-top:507.75pt;" coordsize="2375,33554">
                <v:rect id="Rectangle 2815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81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1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232 de 350 </w:t>
                        </w:r>
                      </w:p>
                    </w:txbxContent>
                  </v:textbox>
                </v:rect>
                <w10:wrap type="square"/>
              </v:group>
            </w:pict>
          </mc:Fallback>
        </mc:AlternateContent>
      </w:r>
      <w:r>
        <w:t>La gestión de los animales muertos, siempre que sean animales domésticos de compañía.</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t xml:space="preserve"> </w:t>
      </w:r>
    </w:p>
    <w:p w:rsidR="00025683" w:rsidRDefault="007C2AAB">
      <w:pPr>
        <w:numPr>
          <w:ilvl w:val="0"/>
          <w:numId w:val="65"/>
        </w:numPr>
        <w:spacing w:after="174" w:line="354" w:lineRule="auto"/>
        <w:ind w:right="5"/>
      </w:pPr>
      <w:r>
        <w:t>Esta ordenanza no será de aplicación a los subproductos animales que está</w:t>
      </w:r>
      <w:r>
        <w:t>n regulados por la normativa específica.</w:t>
      </w:r>
      <w:r>
        <w:rPr>
          <w:rFonts w:ascii="Times New Roman" w:eastAsia="Times New Roman" w:hAnsi="Times New Roman" w:cs="Times New Roman"/>
          <w:sz w:val="24"/>
        </w:rPr>
        <w:t xml:space="preserve"> </w:t>
      </w:r>
    </w:p>
    <w:p w:rsidR="00025683" w:rsidRDefault="007C2AAB">
      <w:pPr>
        <w:numPr>
          <w:ilvl w:val="0"/>
          <w:numId w:val="65"/>
        </w:numPr>
        <w:spacing w:after="145" w:line="358" w:lineRule="auto"/>
        <w:ind w:right="5"/>
      </w:pPr>
      <w:r>
        <w:t>Quedan incluidos los subproductos animales y sus productos derivados, cuando se destinen a procesos de incineración, vertido, o destinados a plantas de digestión anaerobia, de compostaje o de obtención de combustib</w:t>
      </w:r>
      <w:r>
        <w:t>les, siempre que procedan de establecimientos de actividades económicas de venta al por menor o del ámbito doméstico.</w:t>
      </w:r>
      <w:r>
        <w:rPr>
          <w:rFonts w:ascii="Times New Roman" w:eastAsia="Times New Roman" w:hAnsi="Times New Roman" w:cs="Times New Roman"/>
          <w:sz w:val="24"/>
        </w:rPr>
        <w:t xml:space="preserve"> </w:t>
      </w:r>
    </w:p>
    <w:p w:rsidR="00025683" w:rsidRDefault="007C2AAB">
      <w:pPr>
        <w:spacing w:after="173"/>
        <w:ind w:left="0" w:right="197"/>
      </w:pPr>
      <w:r>
        <w:rPr>
          <w:b/>
        </w:rPr>
        <w:t>Artículo. 3. Competencias locales</w:t>
      </w:r>
      <w:r>
        <w:rPr>
          <w:b/>
          <w:color w:val="4471C4"/>
        </w:rPr>
        <w:t>.</w:t>
      </w:r>
      <w:r>
        <w:rPr>
          <w:rFonts w:ascii="Times New Roman" w:eastAsia="Times New Roman" w:hAnsi="Times New Roman" w:cs="Times New Roman"/>
          <w:sz w:val="24"/>
        </w:rPr>
        <w:t xml:space="preserve"> </w:t>
      </w:r>
    </w:p>
    <w:p w:rsidR="00025683" w:rsidRDefault="007C2AAB">
      <w:pPr>
        <w:numPr>
          <w:ilvl w:val="0"/>
          <w:numId w:val="66"/>
        </w:numPr>
        <w:spacing w:after="171" w:line="358" w:lineRule="auto"/>
      </w:pPr>
      <w:r>
        <w:t>El Ayuntamiento es competente para la limpieza de las vías y espacios públicos, así como para la gestión y el tratamiento de los residuos domésticos y los residuos urbanos o municipales generados y depositados en el municipio en la forma en la que se estab</w:t>
      </w:r>
      <w:r>
        <w:t>lece en la presente ordenanza y en los términos previstos en la legislación de residuos.</w:t>
      </w:r>
      <w:r>
        <w:rPr>
          <w:rFonts w:ascii="Times New Roman" w:eastAsia="Times New Roman" w:hAnsi="Times New Roman" w:cs="Times New Roman"/>
          <w:sz w:val="24"/>
        </w:rPr>
        <w:t xml:space="preserve"> </w:t>
      </w:r>
    </w:p>
    <w:p w:rsidR="00025683" w:rsidRDefault="007C2AAB">
      <w:pPr>
        <w:numPr>
          <w:ilvl w:val="0"/>
          <w:numId w:val="66"/>
        </w:numPr>
        <w:spacing w:after="178" w:line="377" w:lineRule="auto"/>
      </w:pPr>
      <w:r>
        <w:t xml:space="preserve">Asimismo es competente para ejercer las tareas de vigilancia e inspección, así como la potestad sancionadora en el ámbito de sus competencias. </w:t>
      </w:r>
    </w:p>
    <w:p w:rsidR="00025683" w:rsidRDefault="007C2AAB">
      <w:pPr>
        <w:numPr>
          <w:ilvl w:val="0"/>
          <w:numId w:val="66"/>
        </w:numPr>
      </w:pPr>
      <w:r>
        <w:t>También podrá elaborar</w:t>
      </w:r>
      <w:r>
        <w:t xml:space="preserve"> estrategias de economía circular, así como gestionar los residuos </w:t>
      </w:r>
    </w:p>
    <w:p w:rsidR="00025683" w:rsidRDefault="00025683">
      <w:pPr>
        <w:sectPr w:rsidR="00025683">
          <w:headerReference w:type="even" r:id="rId115"/>
          <w:headerReference w:type="default" r:id="rId116"/>
          <w:footerReference w:type="even" r:id="rId117"/>
          <w:footerReference w:type="default" r:id="rId118"/>
          <w:headerReference w:type="first" r:id="rId119"/>
          <w:footerReference w:type="first" r:id="rId120"/>
          <w:pgSz w:w="14167" w:h="16819"/>
          <w:pgMar w:top="2102" w:right="2521" w:bottom="1852" w:left="2550" w:header="420" w:footer="580" w:gutter="0"/>
          <w:cols w:space="720"/>
        </w:sectPr>
      </w:pPr>
    </w:p>
    <w:p w:rsidR="00025683" w:rsidRDefault="007C2AAB">
      <w:pPr>
        <w:spacing w:after="309"/>
        <w:ind w:left="14" w:right="200"/>
      </w:pPr>
      <w:r>
        <w:t xml:space="preserve">comerciales no peligrosos según la normativa vigente en cada momento. </w:t>
      </w:r>
    </w:p>
    <w:p w:rsidR="00025683" w:rsidRDefault="007C2AAB">
      <w:pPr>
        <w:numPr>
          <w:ilvl w:val="0"/>
          <w:numId w:val="66"/>
        </w:numPr>
        <w:spacing w:after="222" w:line="358" w:lineRule="auto"/>
      </w:pPr>
      <w:r>
        <w:t>El</w:t>
      </w:r>
      <w:r>
        <w:t xml:space="preserve"> ejercicio de las competencias municipales podrá hacerse efectivo, bien directamente por los propios servicios municipales que tengan atribuida la competencia o mediante cualquier otra forma de gestión prevista en la legislación.</w:t>
      </w:r>
      <w:r>
        <w:rPr>
          <w:rFonts w:ascii="Times New Roman" w:eastAsia="Times New Roman" w:hAnsi="Times New Roman" w:cs="Times New Roman"/>
          <w:sz w:val="24"/>
        </w:rPr>
        <w:t xml:space="preserve"> </w:t>
      </w:r>
    </w:p>
    <w:p w:rsidR="00025683" w:rsidRDefault="007C2AAB">
      <w:pPr>
        <w:numPr>
          <w:ilvl w:val="0"/>
          <w:numId w:val="66"/>
        </w:numPr>
        <w:spacing w:after="157" w:line="375" w:lineRule="auto"/>
      </w:pPr>
      <w:r>
        <w:t>Para cumplir las anterior</w:t>
      </w:r>
      <w:r>
        <w:t xml:space="preserve">es competencias el Ayuntamiento se dotará de un colectivo de personas y materiales suficientes. </w:t>
      </w:r>
    </w:p>
    <w:p w:rsidR="00025683" w:rsidRDefault="007C2AAB">
      <w:pPr>
        <w:spacing w:after="104"/>
        <w:ind w:left="0" w:right="197"/>
      </w:pPr>
      <w:r>
        <w:rPr>
          <w:b/>
        </w:rPr>
        <w:t>Artículo. 4. Definiciones.</w:t>
      </w:r>
      <w:r>
        <w:rPr>
          <w:rFonts w:ascii="Times New Roman" w:eastAsia="Times New Roman" w:hAnsi="Times New Roman" w:cs="Times New Roman"/>
          <w:sz w:val="24"/>
        </w:rPr>
        <w:t xml:space="preserve"> </w:t>
      </w:r>
    </w:p>
    <w:p w:rsidR="00025683" w:rsidRDefault="007C2AAB">
      <w:pPr>
        <w:spacing w:after="90"/>
        <w:ind w:left="14" w:right="200"/>
      </w:pPr>
      <w:r>
        <w:t>A los efectos de esta ordenanza se entenderá por:</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0"/>
          <w:numId w:val="67"/>
        </w:numPr>
        <w:spacing w:after="190" w:line="368" w:lineRule="auto"/>
        <w:ind w:right="11"/>
      </w:pPr>
      <w:r>
        <w:t xml:space="preserve">Aceite de cocina usado: residuos de grasas de origen vegetal y animal que se genera tras ser utilizado en el cocinado de alimentos en el ámbito doméstico, centros e instituciones, hostelería, restauración y análogos. </w:t>
      </w:r>
    </w:p>
    <w:p w:rsidR="00025683" w:rsidRDefault="007C2AAB">
      <w:pPr>
        <w:numPr>
          <w:ilvl w:val="0"/>
          <w:numId w:val="67"/>
        </w:numPr>
        <w:spacing w:after="191" w:line="367" w:lineRule="auto"/>
        <w:ind w:right="11"/>
      </w:pPr>
      <w:r>
        <w:rPr>
          <w:noProof/>
        </w:rPr>
        <w:drawing>
          <wp:anchor distT="0" distB="0" distL="114300" distR="114300" simplePos="0" relativeHeight="251908096" behindDoc="0" locked="0" layoutInCell="1" allowOverlap="0">
            <wp:simplePos x="0" y="0"/>
            <wp:positionH relativeFrom="page">
              <wp:posOffset>1654175</wp:posOffset>
            </wp:positionH>
            <wp:positionV relativeFrom="page">
              <wp:posOffset>266700</wp:posOffset>
            </wp:positionV>
            <wp:extent cx="713232" cy="914400"/>
            <wp:effectExtent l="0" t="0" r="0" b="0"/>
            <wp:wrapTopAndBottom/>
            <wp:docPr id="28162" name="Picture 28162"/>
            <wp:cNvGraphicFramePr/>
            <a:graphic xmlns:a="http://schemas.openxmlformats.org/drawingml/2006/main">
              <a:graphicData uri="http://schemas.openxmlformats.org/drawingml/2006/picture">
                <pic:pic xmlns:pic="http://schemas.openxmlformats.org/drawingml/2006/picture">
                  <pic:nvPicPr>
                    <pic:cNvPr id="28162" name="Picture 28162"/>
                    <pic:cNvPicPr/>
                  </pic:nvPicPr>
                  <pic:blipFill>
                    <a:blip r:embed="rId108"/>
                    <a:stretch>
                      <a:fillRect/>
                    </a:stretch>
                  </pic:blipFill>
                  <pic:spPr>
                    <a:xfrm>
                      <a:off x="0" y="0"/>
                      <a:ext cx="713232" cy="9144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90912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4581" name="Group 4145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339" name="Rectangle 2833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Validación: 3J3KYNW3CJM74AZ6S</w:t>
                              </w:r>
                              <w:r>
                                <w:rPr>
                                  <w:sz w:val="12"/>
                                </w:rPr>
                                <w:t xml:space="preserve">EHNT4KKY </w:t>
                              </w:r>
                            </w:p>
                          </w:txbxContent>
                        </wps:txbx>
                        <wps:bodyPr horzOverflow="overflow" vert="horz" lIns="0" tIns="0" rIns="0" bIns="0" rtlCol="0">
                          <a:noAutofit/>
                        </wps:bodyPr>
                      </wps:wsp>
                      <wps:wsp>
                        <wps:cNvPr id="28340" name="Rectangle 2834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341" name="Rectangle 2834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233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4581" style="width:18.7031pt;height:264.21pt;position:absolute;mso-position-horizontal-relative:page;mso-position-horizontal:absolute;margin-left:662.928pt;mso-position-vertical-relative:page;margin-top:507.75pt;" coordsize="2375,33554">
                <v:rect id="Rectangle 2833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834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34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233 de 350 </w:t>
                        </w:r>
                      </w:p>
                    </w:txbxContent>
                  </v:textbox>
                </v:rect>
                <w10:wrap type="square"/>
              </v:group>
            </w:pict>
          </mc:Fallback>
        </mc:AlternateContent>
      </w:r>
      <w:r>
        <w:t xml:space="preserve">Agente: toda persona física o jurídica que organiza la valorización o la eliminación de residuos por encargo de terceras partes, incluidas aquellas que no tomen posesión física de los residuos. </w:t>
      </w:r>
    </w:p>
    <w:p w:rsidR="00025683" w:rsidRDefault="007C2AAB">
      <w:pPr>
        <w:numPr>
          <w:ilvl w:val="0"/>
          <w:numId w:val="67"/>
        </w:numPr>
        <w:spacing w:after="171" w:line="357" w:lineRule="auto"/>
        <w:ind w:right="11"/>
      </w:pPr>
      <w:r>
        <w:t>Basura dispersa: residuos no depositados en los lugares desig</w:t>
      </w:r>
      <w:r>
        <w:t>nados para ello y que acaban abandonados en espacios naturales o urbanos, requiriendo de una operación de limpieza ordinaria o extraordinaria para restablecer su situación inicial.</w:t>
      </w:r>
      <w:r>
        <w:rPr>
          <w:rFonts w:ascii="Times New Roman" w:eastAsia="Times New Roman" w:hAnsi="Times New Roman" w:cs="Times New Roman"/>
          <w:sz w:val="24"/>
        </w:rPr>
        <w:t xml:space="preserve"> </w:t>
      </w:r>
    </w:p>
    <w:p w:rsidR="00025683" w:rsidRDefault="007C2AAB">
      <w:pPr>
        <w:numPr>
          <w:ilvl w:val="0"/>
          <w:numId w:val="67"/>
        </w:numPr>
        <w:spacing w:after="195" w:line="363" w:lineRule="auto"/>
        <w:ind w:right="11"/>
      </w:pPr>
      <w:r>
        <w:t>Biorresiduo: residuo biodegradable vegetal de hogares, jardines, parques y</w:t>
      </w:r>
      <w:r>
        <w:t xml:space="preserve"> del sector servicios, así como residuos alimentarios y de cocina procedentes de hogares, oficinas, restaurantes, mayoristas, comedores, servicios de restauración colectiva y establecimientos de consumo al por menor, entre otros, y residuos comparables pro</w:t>
      </w:r>
      <w:r>
        <w:t xml:space="preserve">cedentes de plantas de transformación de alimentos. </w:t>
      </w:r>
    </w:p>
    <w:p w:rsidR="00025683" w:rsidRDefault="007C2AAB">
      <w:pPr>
        <w:numPr>
          <w:ilvl w:val="0"/>
          <w:numId w:val="67"/>
        </w:numPr>
        <w:spacing w:after="247" w:line="365" w:lineRule="auto"/>
        <w:ind w:right="11"/>
      </w:pPr>
      <w:r>
        <w:t>Compostaje comunitario: proceso externo al ámbito doméstico, aunque empleando fracción orgánica procedente de este, mediante sistemas de media capacidad y compatibles con el entorno, por el que se obtien</w:t>
      </w:r>
      <w:r>
        <w:t xml:space="preserve">e una enmienda orgánica a partir de residuos biodegradables generados en ese propio ámbito, y para su empleo en el entorno. </w:t>
      </w:r>
    </w:p>
    <w:p w:rsidR="00025683" w:rsidRDefault="007C2AAB">
      <w:pPr>
        <w:numPr>
          <w:ilvl w:val="0"/>
          <w:numId w:val="67"/>
        </w:numPr>
        <w:spacing w:after="192" w:line="367" w:lineRule="auto"/>
        <w:ind w:right="11"/>
      </w:pPr>
      <w:r>
        <w:t xml:space="preserve">Compostaje doméstico: proceso en el ámbito doméstico, mediante sistemas de reducida capacidad y compatibles con el entorno, por el </w:t>
      </w:r>
      <w:r>
        <w:t>que se obtiene una enmienda orgánica a partir de residuos biodegradables generados en ese propio ámbito, y para su empleo dentro del mismo.Contenedor de obra: recipientes homologados o normalizados, metálicos o de otro de residuos de construcción y demolic</w:t>
      </w:r>
      <w:r>
        <w:t>ión o materiales de construcción.</w:t>
      </w:r>
      <w:r>
        <w:rPr>
          <w:rFonts w:ascii="Times New Roman" w:eastAsia="Times New Roman" w:hAnsi="Times New Roman" w:cs="Times New Roman"/>
          <w:sz w:val="24"/>
        </w:rPr>
        <w:t xml:space="preserve"> </w:t>
      </w:r>
    </w:p>
    <w:p w:rsidR="00025683" w:rsidRDefault="007C2AAB">
      <w:pPr>
        <w:numPr>
          <w:ilvl w:val="0"/>
          <w:numId w:val="67"/>
        </w:numPr>
        <w:spacing w:after="171" w:line="357" w:lineRule="auto"/>
        <w:ind w:right="11"/>
      </w:pPr>
      <w:r>
        <w:t>Contenerización: sistema de recipientes específicos normalizados de diversos tipos para el depósito de residuos por parte de las personas usuarias, previo a su recogida y transporte a centros de tratamiento.</w:t>
      </w:r>
      <w:r>
        <w:rPr>
          <w:rFonts w:ascii="Times New Roman" w:eastAsia="Times New Roman" w:hAnsi="Times New Roman" w:cs="Times New Roman"/>
          <w:sz w:val="24"/>
        </w:rPr>
        <w:t xml:space="preserve"> </w:t>
      </w:r>
    </w:p>
    <w:p w:rsidR="00025683" w:rsidRDefault="007C2AAB">
      <w:pPr>
        <w:numPr>
          <w:ilvl w:val="0"/>
          <w:numId w:val="67"/>
        </w:numPr>
        <w:spacing w:after="195" w:line="363" w:lineRule="auto"/>
        <w:ind w:right="11"/>
      </w:pPr>
      <w:r>
        <w:t>Economía cir</w:t>
      </w:r>
      <w:r>
        <w:t>cular: sistema económico en el que el valor de los productos, materiales y demás recursos de la economía dura el mayor tiempo posible, potenciando su uso eficiente en la producción y el consumo. Reduciendo de este modo el impacto ambiental de su uso, y red</w:t>
      </w:r>
      <w:r>
        <w:t xml:space="preserve">uciendo al mínimo los residuos y la liberación de sustancias peligrosas en todas sus fases del ciclo de vida. </w:t>
      </w:r>
    </w:p>
    <w:p w:rsidR="00025683" w:rsidRDefault="007C2AAB">
      <w:pPr>
        <w:numPr>
          <w:ilvl w:val="0"/>
          <w:numId w:val="67"/>
        </w:numPr>
        <w:spacing w:after="171" w:line="357" w:lineRule="auto"/>
        <w:ind w:right="11"/>
      </w:pPr>
      <w:r>
        <w:t>Eliminación: cualquier operación que no sea la valorización, incluso cuando la operación tenga como consecuencia secundaria el aprovechamiento de</w:t>
      </w:r>
      <w:r>
        <w:t xml:space="preserve"> sustancias o materiales, siempre que estos no superen el 50 % en peso del residuo tratado, o el aprovechamiento de energía.</w:t>
      </w:r>
      <w:r>
        <w:rPr>
          <w:rFonts w:ascii="Times New Roman" w:eastAsia="Times New Roman" w:hAnsi="Times New Roman" w:cs="Times New Roman"/>
          <w:sz w:val="24"/>
        </w:rPr>
        <w:t xml:space="preserve"> </w:t>
      </w:r>
    </w:p>
    <w:p w:rsidR="00025683" w:rsidRDefault="007C2AAB">
      <w:pPr>
        <w:numPr>
          <w:ilvl w:val="0"/>
          <w:numId w:val="67"/>
        </w:numPr>
        <w:spacing w:after="168" w:line="357" w:lineRule="auto"/>
        <w:ind w:right="11"/>
      </w:pPr>
      <w:r>
        <w:rPr>
          <w:noProof/>
        </w:rPr>
        <w:drawing>
          <wp:anchor distT="0" distB="0" distL="114300" distR="114300" simplePos="0" relativeHeight="251910144" behindDoc="0" locked="0" layoutInCell="1" allowOverlap="0">
            <wp:simplePos x="0" y="0"/>
            <wp:positionH relativeFrom="page">
              <wp:posOffset>1654175</wp:posOffset>
            </wp:positionH>
            <wp:positionV relativeFrom="page">
              <wp:posOffset>266700</wp:posOffset>
            </wp:positionV>
            <wp:extent cx="713232" cy="914400"/>
            <wp:effectExtent l="0" t="0" r="0" b="0"/>
            <wp:wrapTopAndBottom/>
            <wp:docPr id="28346" name="Picture 28346"/>
            <wp:cNvGraphicFramePr/>
            <a:graphic xmlns:a="http://schemas.openxmlformats.org/drawingml/2006/main">
              <a:graphicData uri="http://schemas.openxmlformats.org/drawingml/2006/picture">
                <pic:pic xmlns:pic="http://schemas.openxmlformats.org/drawingml/2006/picture">
                  <pic:nvPicPr>
                    <pic:cNvPr id="28346" name="Picture 28346"/>
                    <pic:cNvPicPr/>
                  </pic:nvPicPr>
                  <pic:blipFill>
                    <a:blip r:embed="rId108"/>
                    <a:stretch>
                      <a:fillRect/>
                    </a:stretch>
                  </pic:blipFill>
                  <pic:spPr>
                    <a:xfrm>
                      <a:off x="0" y="0"/>
                      <a:ext cx="713232" cy="9144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91116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4773" name="Group 4147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543" name="Rectangle 2854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8544" name="Rectangle 2854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545" name="Rectangle 2854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234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4773" style="width:18.7031pt;height:264.21pt;position:absolute;mso-position-horizontal-relative:page;mso-position-horizontal:absolute;margin-left:662.928pt;mso-position-vertical-relative:page;margin-top:507.75pt;" coordsize="2375,33554">
                <v:rect id="Rectangle 2854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854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54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234 de 350 </w:t>
                        </w:r>
                      </w:p>
                    </w:txbxContent>
                  </v:textbox>
                </v:rect>
                <w10:wrap type="square"/>
              </v:group>
            </w:pict>
          </mc:Fallback>
        </mc:AlternateContent>
      </w:r>
      <w:r>
        <w:t xml:space="preserve">Entidad generadora o Productor de residuos: cualquier persona física o jurídica cuya actividad produzca residuos, o cualquier persona que efectúe operaciones de </w:t>
      </w:r>
      <w:r>
        <w:t>tratamiento previo, de mezcla o de otro tipo que ocasionen un cambio de naturaleza o de composición de los residuos.</w:t>
      </w:r>
      <w:r>
        <w:rPr>
          <w:rFonts w:ascii="Times New Roman" w:eastAsia="Times New Roman" w:hAnsi="Times New Roman" w:cs="Times New Roman"/>
          <w:sz w:val="24"/>
        </w:rPr>
        <w:t xml:space="preserve"> </w:t>
      </w:r>
    </w:p>
    <w:p w:rsidR="00025683" w:rsidRDefault="007C2AAB">
      <w:pPr>
        <w:numPr>
          <w:ilvl w:val="0"/>
          <w:numId w:val="67"/>
        </w:numPr>
        <w:spacing w:after="169" w:line="358" w:lineRule="auto"/>
        <w:ind w:right="11"/>
      </w:pPr>
      <w:r>
        <w:t>Envase: todo producto fabricado con materiales de cualquier naturaleza y que se utilice para contener, proteger, manipular, distribuir y p</w:t>
      </w:r>
      <w:r>
        <w:t>resentar mercancías, desde materias primas hasta Artículos acabados, en cualquier fase de la cadena de fabricación, distribución y consumo. Se considerarán también envases todos los Artículos desechables utilizados con este mismo fin.</w:t>
      </w:r>
      <w:r>
        <w:rPr>
          <w:rFonts w:ascii="Times New Roman" w:eastAsia="Times New Roman" w:hAnsi="Times New Roman" w:cs="Times New Roman"/>
          <w:sz w:val="24"/>
        </w:rPr>
        <w:t xml:space="preserve"> </w:t>
      </w:r>
    </w:p>
    <w:p w:rsidR="00025683" w:rsidRDefault="007C2AAB">
      <w:pPr>
        <w:numPr>
          <w:ilvl w:val="0"/>
          <w:numId w:val="67"/>
        </w:numPr>
        <w:spacing w:after="223" w:line="358" w:lineRule="auto"/>
        <w:ind w:right="11"/>
      </w:pPr>
      <w:r>
        <w:t>Gestión de residuos:</w:t>
      </w:r>
      <w:r>
        <w:t xml:space="preserve"> La recogida (incluida la contenerización previa), el transporte, la valorización y la eliminación de los residuos, incluida la clasificación y otras operaciones previas, así como la vigilancia de estas operaciones y el mantenimiento posterior al cierre de</w:t>
      </w:r>
      <w:r>
        <w:t xml:space="preserve"> los vertederos. Se incluyen también las actuaciones realizadas en calidad de negociante o agente.</w:t>
      </w:r>
      <w:r>
        <w:rPr>
          <w:rFonts w:ascii="Times New Roman" w:eastAsia="Times New Roman" w:hAnsi="Times New Roman" w:cs="Times New Roman"/>
          <w:sz w:val="24"/>
        </w:rPr>
        <w:t xml:space="preserve"> </w:t>
      </w:r>
    </w:p>
    <w:p w:rsidR="00025683" w:rsidRDefault="007C2AAB">
      <w:pPr>
        <w:numPr>
          <w:ilvl w:val="0"/>
          <w:numId w:val="67"/>
        </w:numPr>
        <w:spacing w:after="191" w:line="367" w:lineRule="auto"/>
        <w:ind w:right="11"/>
      </w:pPr>
      <w:r>
        <w:t>Gestor de residuos: la persona o entidad, pública o privada, registrada mediante autorización o comunicación que realice cualquiera de las operaciones que c</w:t>
      </w:r>
      <w:r>
        <w:t xml:space="preserve">omponen la gestión de los residuos, sea o no responsable de la producción de los mismos. </w:t>
      </w:r>
    </w:p>
    <w:p w:rsidR="00025683" w:rsidRDefault="007C2AAB">
      <w:pPr>
        <w:numPr>
          <w:ilvl w:val="0"/>
          <w:numId w:val="67"/>
        </w:numPr>
        <w:spacing w:after="175" w:line="352" w:lineRule="auto"/>
        <w:ind w:right="11"/>
      </w:pPr>
      <w:r>
        <w:t>Posesión de residuos: el productor de residuos u otra persona física o jurídica que esté en posesión de residuos. Se considerará la autoría de la posesión de residuos</w:t>
      </w:r>
      <w:r>
        <w:t xml:space="preserve"> a la persona cuyos datos figuren en el catastro de la parcela en la que se localicen residuos abandonados o basura dispersa, siendo responsable administrativa de dichos residuos, salvo en los casos en los que sea posible identificar la autoría material de</w:t>
      </w:r>
      <w:r>
        <w:t>l abandono o la posesión anterior.</w:t>
      </w:r>
      <w:r>
        <w:rPr>
          <w:rFonts w:ascii="Times New Roman" w:eastAsia="Times New Roman" w:hAnsi="Times New Roman" w:cs="Times New Roman"/>
          <w:sz w:val="24"/>
        </w:rPr>
        <w:t xml:space="preserve"> </w:t>
      </w:r>
    </w:p>
    <w:p w:rsidR="00025683" w:rsidRDefault="007C2AAB">
      <w:pPr>
        <w:numPr>
          <w:ilvl w:val="0"/>
          <w:numId w:val="67"/>
        </w:numPr>
        <w:spacing w:after="195" w:line="363" w:lineRule="auto"/>
        <w:ind w:right="11"/>
      </w:pPr>
      <w:r>
        <w:t xml:space="preserve">Se considera poseedora de residuos de construcción y demolición a la persona física o jurídica que los tenga en su poder. En todo caso, tendrá la consideración de poseedora la persona que ejecute la obra de construcción </w:t>
      </w:r>
      <w:r>
        <w:t xml:space="preserve">o demolición, tales como la constructora, la subcontrata, o las personas que trabajan de forma autónoma. No tendrán la consideración personas poseedoras de residuos de construcción y demolición la plantilla por cuenta ajena. </w:t>
      </w:r>
    </w:p>
    <w:p w:rsidR="00025683" w:rsidRDefault="007C2AAB">
      <w:pPr>
        <w:numPr>
          <w:ilvl w:val="0"/>
          <w:numId w:val="67"/>
        </w:numPr>
        <w:spacing w:after="168" w:line="358" w:lineRule="auto"/>
        <w:ind w:right="11"/>
      </w:pPr>
      <w:r>
        <w:t>Preparación para la reutilizac</w:t>
      </w:r>
      <w:r>
        <w:t>ión: la operación de valorización consistente en la comprobación, limpieza o reparación, mediante la cual productos o componentes de productos que se hayan convertido en residuos se preparan para que puedan reutilizarse sin ninguna otra transformación prev</w:t>
      </w:r>
      <w:r>
        <w:t>ia y dejen de ser considerados residuos si cumplen las normas de producto aplicables de tipo técnico y de consumo.</w:t>
      </w:r>
      <w:r>
        <w:rPr>
          <w:rFonts w:ascii="Times New Roman" w:eastAsia="Times New Roman" w:hAnsi="Times New Roman" w:cs="Times New Roman"/>
          <w:sz w:val="24"/>
        </w:rPr>
        <w:t xml:space="preserve"> </w:t>
      </w:r>
    </w:p>
    <w:p w:rsidR="00025683" w:rsidRDefault="007C2AAB">
      <w:pPr>
        <w:numPr>
          <w:ilvl w:val="0"/>
          <w:numId w:val="67"/>
        </w:numPr>
        <w:spacing w:after="170" w:line="358" w:lineRule="auto"/>
        <w:ind w:right="11"/>
      </w:pPr>
      <w:r>
        <w:rPr>
          <w:rFonts w:ascii="Calibri" w:eastAsia="Calibri" w:hAnsi="Calibri" w:cs="Calibri"/>
          <w:noProof/>
        </w:rPr>
        <mc:AlternateContent>
          <mc:Choice Requires="wpg">
            <w:drawing>
              <wp:anchor distT="0" distB="0" distL="114300" distR="114300" simplePos="0" relativeHeight="25191219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5103" name="Group 4151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885" name="Rectangle 2888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8886" name="Rectangle 2888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8887" name="Rectangle 2888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235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5103" style="width:18.7031pt;height:264.21pt;position:absolute;mso-position-horizontal-relative:page;mso-position-horizontal:absolute;margin-left:662.928pt;mso-position-vertical-relative:page;margin-top:507.75pt;" coordsize="2375,33554">
                <v:rect id="Rectangle 2888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888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888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235 de 350 </w:t>
                        </w:r>
                      </w:p>
                    </w:txbxContent>
                  </v:textbox>
                </v:rect>
                <w10:wrap type="square"/>
              </v:group>
            </w:pict>
          </mc:Fallback>
        </mc:AlternateContent>
      </w:r>
      <w:r>
        <w:t xml:space="preserve">Presentación de residuos: acto por el cual la generación y posesión de residuos los pone </w:t>
      </w:r>
      <w:r>
        <w:t>a disposición de los medios de recogida y transporte, generalmente a través del sistema de contenerización.</w:t>
      </w:r>
      <w:r>
        <w:rPr>
          <w:rFonts w:ascii="Times New Roman" w:eastAsia="Times New Roman" w:hAnsi="Times New Roman" w:cs="Times New Roman"/>
          <w:sz w:val="24"/>
        </w:rPr>
        <w:t xml:space="preserve"> </w:t>
      </w:r>
    </w:p>
    <w:p w:rsidR="00025683" w:rsidRDefault="007C2AAB">
      <w:pPr>
        <w:numPr>
          <w:ilvl w:val="0"/>
          <w:numId w:val="67"/>
        </w:numPr>
        <w:spacing w:after="138" w:line="354" w:lineRule="auto"/>
        <w:ind w:right="11"/>
      </w:pPr>
      <w:r>
        <w:t>Prevención: conjunto de medidas adoptadas en la fase de concepción y diseño, de producción, de distribución y de consumo de una sustancia, material</w:t>
      </w:r>
      <w:r>
        <w:t xml:space="preserve"> o producto, para reducir:</w:t>
      </w:r>
      <w:r>
        <w:rPr>
          <w:rFonts w:ascii="Times New Roman" w:eastAsia="Times New Roman" w:hAnsi="Times New Roman" w:cs="Times New Roman"/>
          <w:sz w:val="24"/>
        </w:rPr>
        <w:t xml:space="preserve"> </w:t>
      </w:r>
    </w:p>
    <w:p w:rsidR="00025683" w:rsidRDefault="007C2AAB">
      <w:pPr>
        <w:numPr>
          <w:ilvl w:val="0"/>
          <w:numId w:val="68"/>
        </w:numPr>
        <w:spacing w:after="196" w:line="350" w:lineRule="auto"/>
      </w:pPr>
      <w:r>
        <w:t>º La cantidad de residuo, incluso mediante la reutilización de los productos o el alargamiento de la vida útil de los productos.</w:t>
      </w:r>
      <w:r>
        <w:rPr>
          <w:rFonts w:ascii="Times New Roman" w:eastAsia="Times New Roman" w:hAnsi="Times New Roman" w:cs="Times New Roman"/>
          <w:sz w:val="24"/>
        </w:rPr>
        <w:t xml:space="preserve"> </w:t>
      </w:r>
    </w:p>
    <w:p w:rsidR="00025683" w:rsidRDefault="007C2AAB">
      <w:pPr>
        <w:numPr>
          <w:ilvl w:val="0"/>
          <w:numId w:val="68"/>
        </w:numPr>
        <w:spacing w:after="154" w:line="352" w:lineRule="auto"/>
      </w:pPr>
      <w:r>
        <w:t>º Los impactos adversos sobre el medio ambiente y la salud humana de los residuos generados, inclu</w:t>
      </w:r>
      <w:r>
        <w:t>yendo el ahorro en el uso de materiales o energía.</w:t>
      </w:r>
      <w:r>
        <w:rPr>
          <w:rFonts w:ascii="Times New Roman" w:eastAsia="Times New Roman" w:hAnsi="Times New Roman" w:cs="Times New Roman"/>
          <w:sz w:val="24"/>
        </w:rPr>
        <w:t xml:space="preserve"> </w:t>
      </w:r>
    </w:p>
    <w:p w:rsidR="00025683" w:rsidRDefault="007C2AAB">
      <w:pPr>
        <w:numPr>
          <w:ilvl w:val="0"/>
          <w:numId w:val="68"/>
        </w:numPr>
      </w:pPr>
      <w:r>
        <w:t>º El contenido de sustancias peligrosas en materiales y productos.</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0"/>
          <w:numId w:val="69"/>
        </w:numPr>
        <w:spacing w:after="170" w:line="358" w:lineRule="auto"/>
        <w:ind w:right="6"/>
      </w:pPr>
      <w:r>
        <w:t>Productor de residuos: cualquier persona física o jurídica cuya actividad produzca residuos (productor inicial de residuos) o cualquie</w:t>
      </w:r>
      <w:r>
        <w:t>r persona que efectúe operaciones de tratamiento previo, de mezcla o de otro tipo, que ocasionen un cambio de naturaleza o de composición de esos residuos.</w:t>
      </w:r>
      <w:r>
        <w:rPr>
          <w:rFonts w:ascii="Times New Roman" w:eastAsia="Times New Roman" w:hAnsi="Times New Roman" w:cs="Times New Roman"/>
          <w:sz w:val="24"/>
        </w:rPr>
        <w:t xml:space="preserve"> </w:t>
      </w:r>
    </w:p>
    <w:p w:rsidR="00025683" w:rsidRDefault="007C2AAB">
      <w:pPr>
        <w:numPr>
          <w:ilvl w:val="0"/>
          <w:numId w:val="69"/>
        </w:numPr>
        <w:ind w:right="6"/>
      </w:pPr>
      <w:r>
        <w:t>Punto limpio: instalación, vehículo o equipamiento en la que se recepcionan de forma se-</w:t>
      </w:r>
    </w:p>
    <w:p w:rsidR="00025683" w:rsidRDefault="00025683">
      <w:pPr>
        <w:sectPr w:rsidR="00025683">
          <w:headerReference w:type="even" r:id="rId121"/>
          <w:headerReference w:type="default" r:id="rId122"/>
          <w:footerReference w:type="even" r:id="rId123"/>
          <w:footerReference w:type="default" r:id="rId124"/>
          <w:headerReference w:type="first" r:id="rId125"/>
          <w:footerReference w:type="first" r:id="rId126"/>
          <w:pgSz w:w="14167" w:h="16819"/>
          <w:pgMar w:top="2105" w:right="2523" w:bottom="1919" w:left="2550" w:header="420" w:footer="580" w:gutter="0"/>
          <w:cols w:space="720"/>
          <w:titlePg/>
        </w:sectPr>
      </w:pPr>
    </w:p>
    <w:p w:rsidR="00025683" w:rsidRDefault="007C2AAB">
      <w:pPr>
        <w:spacing w:after="198" w:line="358" w:lineRule="auto"/>
        <w:ind w:left="14" w:right="16"/>
      </w:pPr>
      <w:r>
        <w:t>parada residuos de especiales características de procedencia doméstica, comercial o industrial, a los que la ciudadanía puede acceder con vehículo o a píe, que disponen de contenedore</w:t>
      </w:r>
      <w:r>
        <w:t xml:space="preserve">s y sistemas de recogida y gestión específica para cada fracción de residuos. </w:t>
      </w:r>
    </w:p>
    <w:p w:rsidR="00025683" w:rsidRDefault="007C2AAB">
      <w:pPr>
        <w:numPr>
          <w:ilvl w:val="0"/>
          <w:numId w:val="69"/>
        </w:numPr>
        <w:spacing w:after="170" w:line="358" w:lineRule="auto"/>
        <w:ind w:right="6"/>
      </w:pPr>
      <w:r>
        <w:t>Reciclado: toda operación de valorización mediante la cual los materiales de residuos son transformados de nuevo en productos, materiales o sustancias, tanto si es con la finali</w:t>
      </w:r>
      <w:r>
        <w:t>dad original como con cualquier otra finalidad. Incluye la transformación del material orgánico, pero no la valorización energética ni la transformación en materiales que se vayan a usar como combustibles o para operaciones de relleno.</w:t>
      </w:r>
      <w:r>
        <w:rPr>
          <w:rFonts w:ascii="Times New Roman" w:eastAsia="Times New Roman" w:hAnsi="Times New Roman" w:cs="Times New Roman"/>
          <w:sz w:val="24"/>
        </w:rPr>
        <w:t xml:space="preserve"> </w:t>
      </w:r>
    </w:p>
    <w:p w:rsidR="00025683" w:rsidRDefault="007C2AAB">
      <w:pPr>
        <w:numPr>
          <w:ilvl w:val="0"/>
          <w:numId w:val="69"/>
        </w:numPr>
        <w:spacing w:after="180" w:line="377" w:lineRule="auto"/>
        <w:ind w:right="6"/>
      </w:pPr>
      <w:r>
        <w:t xml:space="preserve">Recogida separada: </w:t>
      </w:r>
      <w:r>
        <w:t xml:space="preserve">la recogida en la que un flujo de residuos se mantiene por separado, según su tipo y naturaleza, para facilitar su tratamiento específico. </w:t>
      </w:r>
    </w:p>
    <w:p w:rsidR="00025683" w:rsidRDefault="007C2AAB">
      <w:pPr>
        <w:numPr>
          <w:ilvl w:val="0"/>
          <w:numId w:val="69"/>
        </w:numPr>
        <w:spacing w:after="167" w:line="356" w:lineRule="auto"/>
        <w:ind w:right="6"/>
      </w:pPr>
      <w:r>
        <w:t>Recogida: operación consistente en el acopio, la clasificación y almacenamiento iniciales de residuos, con el objeto</w:t>
      </w:r>
      <w:r>
        <w:t xml:space="preserve"> de transportarlos posteriormente a una instalación de tratamiento.</w:t>
      </w:r>
      <w:r>
        <w:rPr>
          <w:rFonts w:ascii="Times New Roman" w:eastAsia="Times New Roman" w:hAnsi="Times New Roman" w:cs="Times New Roman"/>
          <w:sz w:val="24"/>
        </w:rPr>
        <w:t xml:space="preserve"> </w:t>
      </w:r>
    </w:p>
    <w:p w:rsidR="00025683" w:rsidRDefault="007C2AAB">
      <w:pPr>
        <w:numPr>
          <w:ilvl w:val="0"/>
          <w:numId w:val="69"/>
        </w:numPr>
        <w:spacing w:after="222" w:line="358" w:lineRule="auto"/>
        <w:ind w:right="6"/>
      </w:pPr>
      <w:r>
        <w:rPr>
          <w:rFonts w:ascii="Calibri" w:eastAsia="Calibri" w:hAnsi="Calibri" w:cs="Calibri"/>
          <w:noProof/>
        </w:rPr>
        <mc:AlternateContent>
          <mc:Choice Requires="wpg">
            <w:drawing>
              <wp:anchor distT="0" distB="0" distL="114300" distR="114300" simplePos="0" relativeHeight="25191321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5161" name="Group 4151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149" name="Rectangle 2914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9150" name="Rectangle 2915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151" name="Rectangle 2915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236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5161" style="width:18.7031pt;height:264.21pt;position:absolute;mso-position-horizontal-relative:page;mso-position-horizontal:absolute;margin-left:662.928pt;mso-position-vertical-relative:page;margin-top:507.75pt;" coordsize="2375,33554">
                <v:rect id="Rectangle 2914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915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15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236 de 350 </w:t>
                        </w:r>
                      </w:p>
                    </w:txbxContent>
                  </v:textbox>
                </v:rect>
                <w10:wrap type="square"/>
              </v:group>
            </w:pict>
          </mc:Fallback>
        </mc:AlternateContent>
      </w:r>
      <w:r>
        <w:t xml:space="preserve">Residuos alimentarios: todos los alimentos, tal como se definen en el Artículo 2 del Reglamento (CE) n.º 178/2002 del Parlamento Europeo y del Consejo, de 28 de </w:t>
      </w:r>
      <w:r>
        <w:t xml:space="preserve">enero de 2002, por el que se establecen los principios y los requisitos generales de la legislación alimentaria, se crea la Autoridad Europea de Seguridad Alimentaria y se fijan procedimientos relativos a la seguridad alimentaria, que se han convertido en </w:t>
      </w:r>
      <w:r>
        <w:t>residuos.</w:t>
      </w:r>
      <w:r>
        <w:rPr>
          <w:rFonts w:ascii="Times New Roman" w:eastAsia="Times New Roman" w:hAnsi="Times New Roman" w:cs="Times New Roman"/>
          <w:sz w:val="24"/>
        </w:rPr>
        <w:t xml:space="preserve"> </w:t>
      </w:r>
    </w:p>
    <w:p w:rsidR="00025683" w:rsidRDefault="007C2AAB">
      <w:pPr>
        <w:numPr>
          <w:ilvl w:val="0"/>
          <w:numId w:val="69"/>
        </w:numPr>
        <w:spacing w:after="172" w:line="357" w:lineRule="auto"/>
        <w:ind w:right="6"/>
      </w:pPr>
      <w:r>
        <w:t>Residuo de envase: todo envase o material de envase, de procedencia doméstica o comercial, del cual se desprenda su posesión o tenga la obligación de desprenderse en virtud de las disposiciones en vigor.</w:t>
      </w:r>
      <w:r>
        <w:rPr>
          <w:rFonts w:ascii="Times New Roman" w:eastAsia="Times New Roman" w:hAnsi="Times New Roman" w:cs="Times New Roman"/>
          <w:sz w:val="24"/>
        </w:rPr>
        <w:t xml:space="preserve"> </w:t>
      </w:r>
    </w:p>
    <w:p w:rsidR="00025683" w:rsidRDefault="007C2AAB">
      <w:pPr>
        <w:numPr>
          <w:ilvl w:val="0"/>
          <w:numId w:val="69"/>
        </w:numPr>
        <w:spacing w:after="194" w:line="367" w:lineRule="auto"/>
        <w:ind w:right="6"/>
      </w:pPr>
      <w:r>
        <w:t xml:space="preserve">Residuo peligroso: residuo que presenta </w:t>
      </w:r>
      <w:r>
        <w:t xml:space="preserve">una o varias de las características peligrosas enumeradas en la legislación vigente, así como cualquier otro que las autoridades competentes pudieran determinar en su momento. </w:t>
      </w:r>
    </w:p>
    <w:p w:rsidR="00025683" w:rsidRDefault="007C2AAB">
      <w:pPr>
        <w:numPr>
          <w:ilvl w:val="0"/>
          <w:numId w:val="69"/>
        </w:numPr>
        <w:spacing w:after="180" w:line="375" w:lineRule="auto"/>
        <w:ind w:right="6"/>
      </w:pPr>
      <w:r>
        <w:t>Residuo: cualquier sustancia u objeto que la persona tenedora deseche o tenga l</w:t>
      </w:r>
      <w:r>
        <w:t xml:space="preserve">a intención o la obligación de desechar. </w:t>
      </w:r>
    </w:p>
    <w:p w:rsidR="00025683" w:rsidRDefault="007C2AAB">
      <w:pPr>
        <w:numPr>
          <w:ilvl w:val="0"/>
          <w:numId w:val="69"/>
        </w:numPr>
        <w:spacing w:after="191" w:line="367" w:lineRule="auto"/>
        <w:ind w:right="6"/>
      </w:pPr>
      <w:r>
        <w:t xml:space="preserve">Residuos comerciales: residuos generados en la actividad propia del comercio, al por mayor y al por menor, de los servicios de restauración y bares, de las oficinas y de los mercados, así como del resto del sector </w:t>
      </w:r>
      <w:r>
        <w:t xml:space="preserve">servicios. </w:t>
      </w:r>
    </w:p>
    <w:p w:rsidR="00025683" w:rsidRDefault="007C2AAB">
      <w:pPr>
        <w:numPr>
          <w:ilvl w:val="0"/>
          <w:numId w:val="69"/>
        </w:numPr>
        <w:spacing w:line="375" w:lineRule="auto"/>
        <w:ind w:right="6"/>
      </w:pPr>
      <w:r>
        <w:t xml:space="preserve">Residuos de construcción y demolición: residuos generados por las actividades de construcción y demolición. </w:t>
      </w:r>
    </w:p>
    <w:p w:rsidR="00025683" w:rsidRDefault="007C2AAB">
      <w:pPr>
        <w:numPr>
          <w:ilvl w:val="0"/>
          <w:numId w:val="69"/>
        </w:numPr>
        <w:spacing w:line="358" w:lineRule="auto"/>
        <w:ind w:right="6"/>
      </w:pPr>
      <w:r>
        <w:t>Residuos domésticos: residuos peligrosos o no peligrosos generados en los hogares como consecuencia de las actividades domésticas. Se c</w:t>
      </w:r>
      <w:r>
        <w:t>onsideran también residuos domésticos los similares en composición y cantidad a los anteriores generados en servicios e industrias, que no se generen como consecuencia de la actividad propia del servicio o industria.</w:t>
      </w:r>
      <w:r>
        <w:rPr>
          <w:rFonts w:ascii="Times New Roman" w:eastAsia="Times New Roman" w:hAnsi="Times New Roman" w:cs="Times New Roman"/>
          <w:sz w:val="24"/>
        </w:rPr>
        <w:t xml:space="preserve"> </w:t>
      </w:r>
    </w:p>
    <w:p w:rsidR="00025683" w:rsidRDefault="007C2AAB">
      <w:pPr>
        <w:spacing w:after="137" w:line="352" w:lineRule="auto"/>
        <w:ind w:left="14" w:right="16"/>
      </w:pPr>
      <w:r>
        <w:t xml:space="preserve">Se incluyen también en esta categoría </w:t>
      </w:r>
      <w:r>
        <w:t>los residuos que se generan en los hogares de, entre otros, aceites de cocina usados, aparatos eléctricos y electrónicos, textil, pilas, acumuladores, muebles, enseres y colchones, así como los residuos y escombros procedentes de obras menores de construcc</w:t>
      </w:r>
      <w:r>
        <w:t>ión y reparación domiciliaria.</w:t>
      </w:r>
      <w:r>
        <w:rPr>
          <w:rFonts w:ascii="Times New Roman" w:eastAsia="Times New Roman" w:hAnsi="Times New Roman" w:cs="Times New Roman"/>
          <w:sz w:val="24"/>
        </w:rPr>
        <w:t xml:space="preserve"> </w:t>
      </w:r>
    </w:p>
    <w:p w:rsidR="00025683" w:rsidRDefault="007C2AAB">
      <w:pPr>
        <w:spacing w:after="232" w:line="350" w:lineRule="auto"/>
        <w:ind w:left="14" w:right="12"/>
      </w:pPr>
      <w:r>
        <w:t xml:space="preserve">Tendrán la consideración de residuos domésticos, los residuos procedentes de la limpieza de vías públicas, zonas verdes, áreas recreativas y playas, los animales domésticos muertos y </w:t>
      </w:r>
      <w:r>
        <w:t>los vehículos abandonados, sin perjuicio de lo previsto en el Artículo 2.3.</w:t>
      </w:r>
      <w:r>
        <w:rPr>
          <w:rFonts w:ascii="Times New Roman" w:eastAsia="Times New Roman" w:hAnsi="Times New Roman" w:cs="Times New Roman"/>
          <w:sz w:val="24"/>
        </w:rPr>
        <w:t xml:space="preserve"> </w:t>
      </w:r>
    </w:p>
    <w:p w:rsidR="00025683" w:rsidRDefault="007C2AAB">
      <w:pPr>
        <w:numPr>
          <w:ilvl w:val="0"/>
          <w:numId w:val="69"/>
        </w:numPr>
        <w:spacing w:after="193" w:line="367" w:lineRule="auto"/>
        <w:ind w:right="6"/>
      </w:pPr>
      <w:r>
        <w:t>Residuos industriales: los resultantes de los procesos de producción, fabricación, transformación, utilización, consumo, limpieza o mantenimiento generados por la actividad indust</w:t>
      </w:r>
      <w:r>
        <w:t xml:space="preserve">rial como consecuencia de su actividad principal. </w:t>
      </w:r>
    </w:p>
    <w:p w:rsidR="00025683" w:rsidRDefault="007C2AAB">
      <w:pPr>
        <w:numPr>
          <w:ilvl w:val="0"/>
          <w:numId w:val="69"/>
        </w:numPr>
        <w:ind w:right="6"/>
      </w:pPr>
      <w:r>
        <w:t>Residuos municipales:</w:t>
      </w:r>
      <w:r>
        <w:rPr>
          <w:rFonts w:ascii="Times New Roman" w:eastAsia="Times New Roman" w:hAnsi="Times New Roman" w:cs="Times New Roman"/>
          <w:sz w:val="24"/>
        </w:rPr>
        <w:t xml:space="preserve"> </w:t>
      </w:r>
    </w:p>
    <w:p w:rsidR="00025683" w:rsidRDefault="007C2AAB">
      <w:pPr>
        <w:spacing w:after="103" w:line="259" w:lineRule="auto"/>
        <w:ind w:left="0" w:firstLine="0"/>
        <w:jc w:val="left"/>
      </w:pPr>
      <w:r>
        <w:rPr>
          <w:rFonts w:ascii="Calibri" w:eastAsia="Calibri" w:hAnsi="Calibri" w:cs="Calibri"/>
          <w:noProof/>
        </w:rPr>
        <mc:AlternateContent>
          <mc:Choice Requires="wpg">
            <w:drawing>
              <wp:anchor distT="0" distB="0" distL="114300" distR="114300" simplePos="0" relativeHeight="25191424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5308" name="Group 4153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383" name="Rectangle 2938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9384" name="Rectangle 2938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385" name="Rectangle 2938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esPublico Gestiona | Pá</w:t>
                              </w:r>
                              <w:r>
                                <w:rPr>
                                  <w:sz w:val="12"/>
                                </w:rPr>
                                <w:t xml:space="preserve">gina 237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5308" style="width:18.7031pt;height:264.21pt;position:absolute;mso-position-horizontal-relative:page;mso-position-horizontal:absolute;margin-left:662.928pt;mso-position-vertical-relative:page;margin-top:507.75pt;" coordsize="2375,33554">
                <v:rect id="Rectangle 2938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938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38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237 de 350 </w:t>
                        </w:r>
                      </w:p>
                    </w:txbxContent>
                  </v:textbox>
                </v:rect>
                <w10:wrap type="square"/>
              </v:group>
            </w:pict>
          </mc:Fallback>
        </mc:AlternateContent>
      </w:r>
      <w:r>
        <w:t xml:space="preserve"> </w:t>
      </w:r>
    </w:p>
    <w:p w:rsidR="00025683" w:rsidRDefault="007C2AAB">
      <w:pPr>
        <w:numPr>
          <w:ilvl w:val="0"/>
          <w:numId w:val="70"/>
        </w:numPr>
        <w:spacing w:after="136" w:line="356" w:lineRule="auto"/>
        <w:ind w:right="9"/>
      </w:pPr>
      <w:r>
        <w:t>º Los residuos mezclados y los residuos recogidos de forma separada de origen doméstico, incluidos papel y cartón, vidrio, metales, plásticos, biorresiduos, madera, textiles, envases, residuos de aparatos eléctricos y electrónicos, resid</w:t>
      </w:r>
      <w:r>
        <w:t>uos de pilas y acumuladores, residuos peligrosos del hogar y residuos voluminosos, incluidos los colchones y los muebles.</w:t>
      </w:r>
      <w:r>
        <w:rPr>
          <w:rFonts w:ascii="Times New Roman" w:eastAsia="Times New Roman" w:hAnsi="Times New Roman" w:cs="Times New Roman"/>
          <w:sz w:val="24"/>
        </w:rPr>
        <w:t xml:space="preserve"> </w:t>
      </w:r>
    </w:p>
    <w:p w:rsidR="00025683" w:rsidRDefault="007C2AAB">
      <w:pPr>
        <w:numPr>
          <w:ilvl w:val="0"/>
          <w:numId w:val="70"/>
        </w:numPr>
        <w:spacing w:line="365" w:lineRule="auto"/>
        <w:ind w:right="9"/>
      </w:pPr>
      <w:r>
        <w:t>º Los residuos mezclados y los residuos recogidos de forma separada procedentes de otras fuentes, cuando esos residuos sean similares</w:t>
      </w:r>
      <w:r>
        <w:t xml:space="preserve"> en naturaleza y composición a los residuos de origen doméstico. </w:t>
      </w:r>
    </w:p>
    <w:p w:rsidR="00025683" w:rsidRDefault="007C2AAB">
      <w:pPr>
        <w:spacing w:after="140" w:line="352" w:lineRule="auto"/>
        <w:ind w:left="14" w:right="7"/>
      </w:pPr>
      <w:r>
        <w:t>Los residuos municipales no comprenden los residuos procedentes de la producción, la agricultura, la silvicultura, la pesca, las fosas sépticas y la red de alcantarillado y plantas de tratam</w:t>
      </w:r>
      <w:r>
        <w:t>iento de aguas residuales, incluidos los lodos de depuradora, los vehículos al final de su vida útil ni los residuos de construcción y demolición.</w:t>
      </w:r>
      <w:r>
        <w:rPr>
          <w:rFonts w:ascii="Times New Roman" w:eastAsia="Times New Roman" w:hAnsi="Times New Roman" w:cs="Times New Roman"/>
          <w:sz w:val="24"/>
        </w:rPr>
        <w:t xml:space="preserve"> </w:t>
      </w:r>
    </w:p>
    <w:p w:rsidR="00025683" w:rsidRDefault="007C2AAB">
      <w:pPr>
        <w:spacing w:after="282" w:line="359" w:lineRule="auto"/>
        <w:ind w:left="14" w:right="17"/>
      </w:pPr>
      <w:r>
        <w:t xml:space="preserve">La presente definición se introduce a efectos de determinar el ámbito de aplicación de los objetivos en </w:t>
      </w:r>
      <w:r>
        <w:t>materia de preparación para la reutilización y de reciclado y sus normas de cálculo establecidos en la normativa vigente, y se entiende sin perjuicio de la distribución de responsabilidades para la gestión de residuos entre agentes públicos y privados a la</w:t>
      </w:r>
      <w:r>
        <w:t xml:space="preserve"> luz de la distribución de competencias establecida en la normativa vigente. Las competencias municipales sobre estos residuos serán las establecidas en el Artículo 2.2.</w:t>
      </w:r>
      <w:r>
        <w:rPr>
          <w:rFonts w:ascii="Times New Roman" w:eastAsia="Times New Roman" w:hAnsi="Times New Roman" w:cs="Times New Roman"/>
          <w:sz w:val="24"/>
        </w:rPr>
        <w:t xml:space="preserve"> </w:t>
      </w:r>
    </w:p>
    <w:p w:rsidR="00025683" w:rsidRDefault="007C2AAB">
      <w:pPr>
        <w:numPr>
          <w:ilvl w:val="0"/>
          <w:numId w:val="71"/>
        </w:numPr>
        <w:spacing w:after="249" w:line="362" w:lineRule="auto"/>
        <w:ind w:right="10"/>
      </w:pPr>
      <w:r>
        <w:t>Residuos generales: Son los residuos más habituales generados en los domicilios parti</w:t>
      </w:r>
      <w:r>
        <w:t>culares, comercios, oficinas, así como los generados por los servicios de la ciudad tales como la limpieza viaria, espacios verdes, áreas recreativas, mercadillos, festejos y actos públicos, y que no tengan la calificación de peligrosos o especiales. Inclu</w:t>
      </w:r>
      <w:r>
        <w:t xml:space="preserve">ye también todos aquellos residuos generados en comercios e industrias que por su naturaleza y composición puedan asimilarse a los producidos en los anteriores lugares o actividades. </w:t>
      </w:r>
    </w:p>
    <w:p w:rsidR="00025683" w:rsidRDefault="007C2AAB">
      <w:pPr>
        <w:numPr>
          <w:ilvl w:val="0"/>
          <w:numId w:val="71"/>
        </w:numPr>
        <w:spacing w:after="167" w:line="358" w:lineRule="auto"/>
        <w:ind w:right="10"/>
      </w:pPr>
      <w:r>
        <w:t>Residuos especiales: Aquellos que, aunque tengan la condición de residuo</w:t>
      </w:r>
      <w:r>
        <w:t xml:space="preserve"> doméstico, por su composición y naturaleza, dificultan la segregación, manipulación o valorización convencionales, exigiendo una gestión diferenciada, total o parcial, con el fin de no comprometer la recuperación de otras fracciones o evitar un riesgo par</w:t>
      </w:r>
      <w:r>
        <w:t>a el medio ambiente o la salud de las personas.</w:t>
      </w:r>
      <w:r>
        <w:rPr>
          <w:rFonts w:ascii="Times New Roman" w:eastAsia="Times New Roman" w:hAnsi="Times New Roman" w:cs="Times New Roman"/>
          <w:sz w:val="24"/>
        </w:rPr>
        <w:t xml:space="preserve"> </w:t>
      </w:r>
    </w:p>
    <w:p w:rsidR="00025683" w:rsidRDefault="007C2AAB">
      <w:pPr>
        <w:numPr>
          <w:ilvl w:val="0"/>
          <w:numId w:val="71"/>
        </w:numPr>
        <w:spacing w:after="174" w:line="357" w:lineRule="auto"/>
        <w:ind w:right="10"/>
      </w:pPr>
      <w:r>
        <w:rPr>
          <w:rFonts w:ascii="Calibri" w:eastAsia="Calibri" w:hAnsi="Calibri" w:cs="Calibri"/>
          <w:noProof/>
        </w:rPr>
        <mc:AlternateContent>
          <mc:Choice Requires="wpg">
            <w:drawing>
              <wp:anchor distT="0" distB="0" distL="114300" distR="114300" simplePos="0" relativeHeight="25191526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5608" name="Group 4156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652" name="Rectangle 2965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9653" name="Rectangle 2965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654" name="Rectangle 2965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238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5608" style="width:18.7031pt;height:264.21pt;position:absolute;mso-position-horizontal-relative:page;mso-position-horizontal:absolute;margin-left:662.928pt;mso-position-vertical-relative:page;margin-top:507.75pt;" coordsize="2375,33554">
                <v:rect id="Rectangle 2965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965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65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238 de 350 </w:t>
                        </w:r>
                      </w:p>
                    </w:txbxContent>
                  </v:textbox>
                </v:rect>
                <w10:wrap type="square"/>
              </v:group>
            </w:pict>
          </mc:Fallback>
        </mc:AlternateContent>
      </w:r>
      <w:r>
        <w:t>Reutiliz</w:t>
      </w:r>
      <w:r>
        <w:t>ación: cualquier operación mediante la cual productos o componentes de productos que no sean residuos se utilizan de nuevo con la misma finalidad para la que fueron concebidos.</w:t>
      </w:r>
      <w:r>
        <w:rPr>
          <w:rFonts w:ascii="Times New Roman" w:eastAsia="Times New Roman" w:hAnsi="Times New Roman" w:cs="Times New Roman"/>
          <w:sz w:val="24"/>
        </w:rPr>
        <w:t xml:space="preserve"> </w:t>
      </w:r>
    </w:p>
    <w:p w:rsidR="00025683" w:rsidRDefault="007C2AAB">
      <w:pPr>
        <w:numPr>
          <w:ilvl w:val="0"/>
          <w:numId w:val="71"/>
        </w:numPr>
        <w:spacing w:after="183" w:line="375" w:lineRule="auto"/>
        <w:ind w:right="10"/>
      </w:pPr>
      <w:r>
        <w:t xml:space="preserve">Saco de obra: recipientes homologados o normalizados, generalmente textiles o </w:t>
      </w:r>
      <w:r>
        <w:t xml:space="preserve">de material plástico, destinados al depósito temporal de materiales de construcción. </w:t>
      </w:r>
    </w:p>
    <w:p w:rsidR="00025683" w:rsidRDefault="007C2AAB">
      <w:pPr>
        <w:numPr>
          <w:ilvl w:val="0"/>
          <w:numId w:val="71"/>
        </w:numPr>
        <w:spacing w:after="175" w:line="353" w:lineRule="auto"/>
        <w:ind w:right="10"/>
      </w:pPr>
      <w:r>
        <w:t>Sistema depósito, devolución, retorno (SDDR): según lo definido en la normativa de aplicación.</w:t>
      </w:r>
      <w:r>
        <w:rPr>
          <w:rFonts w:ascii="Times New Roman" w:eastAsia="Times New Roman" w:hAnsi="Times New Roman" w:cs="Times New Roman"/>
          <w:sz w:val="24"/>
        </w:rPr>
        <w:t xml:space="preserve"> </w:t>
      </w:r>
    </w:p>
    <w:p w:rsidR="00025683" w:rsidRDefault="007C2AAB">
      <w:pPr>
        <w:numPr>
          <w:ilvl w:val="0"/>
          <w:numId w:val="71"/>
        </w:numPr>
        <w:spacing w:after="171" w:line="357" w:lineRule="auto"/>
        <w:ind w:right="10"/>
      </w:pPr>
      <w:r>
        <w:t>Subproductos: Una sustancia u objeto, resultante de un proceso de producción, cuya finalidad primaria no sea la producción de esa sustancia u objeto, podrá ser considerada como subproducto y no como residuo, cuando se cumplan todas las condiciones siguient</w:t>
      </w:r>
      <w:r>
        <w:t>es:</w:t>
      </w:r>
      <w:r>
        <w:rPr>
          <w:rFonts w:ascii="Times New Roman" w:eastAsia="Times New Roman" w:hAnsi="Times New Roman" w:cs="Times New Roman"/>
          <w:sz w:val="24"/>
        </w:rPr>
        <w:t xml:space="preserve"> </w:t>
      </w:r>
    </w:p>
    <w:p w:rsidR="00025683" w:rsidRDefault="007C2AAB">
      <w:pPr>
        <w:numPr>
          <w:ilvl w:val="0"/>
          <w:numId w:val="72"/>
        </w:numPr>
        <w:ind w:right="13"/>
      </w:pPr>
      <w:r>
        <w:t>Que se tenga la seguridad de que la sustancia u objeto va a ser utilizado ulteriormente.</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t xml:space="preserve"> </w:t>
      </w:r>
    </w:p>
    <w:p w:rsidR="00025683" w:rsidRDefault="007C2AAB">
      <w:pPr>
        <w:numPr>
          <w:ilvl w:val="0"/>
          <w:numId w:val="72"/>
        </w:numPr>
        <w:spacing w:after="182" w:line="375" w:lineRule="auto"/>
        <w:ind w:right="13"/>
      </w:pPr>
      <w:r>
        <w:t xml:space="preserve">Que la sustancia u objeto se pueda utilizar directamente sin tener que someterse a una transformación ulterior distinta de la práctica industrial habitual. </w:t>
      </w:r>
    </w:p>
    <w:p w:rsidR="00025683" w:rsidRDefault="007C2AAB">
      <w:pPr>
        <w:numPr>
          <w:ilvl w:val="0"/>
          <w:numId w:val="72"/>
        </w:numPr>
        <w:ind w:right="13"/>
      </w:pPr>
      <w:r>
        <w:t>Que la sustancia u objeto se produzca como parte integrante de un proceso de producción.</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0"/>
          <w:numId w:val="72"/>
        </w:numPr>
        <w:spacing w:line="357" w:lineRule="auto"/>
        <w:ind w:right="13"/>
      </w:pPr>
      <w:r>
        <w:t>Que el uso ulterior cumpla todos los requisitos pertinentes relativos a los productos y a la protección de la salud humana y del medio ambiente para la aplicación e</w:t>
      </w:r>
      <w:r>
        <w:t>specífica, y no produzca impactos generales adversos para la salud humana o el medio ambiente.</w:t>
      </w:r>
      <w:r>
        <w:rPr>
          <w:rFonts w:ascii="Times New Roman" w:eastAsia="Times New Roman" w:hAnsi="Times New Roman" w:cs="Times New Roman"/>
          <w:sz w:val="24"/>
        </w:rPr>
        <w:t xml:space="preserve"> </w:t>
      </w:r>
    </w:p>
    <w:p w:rsidR="00025683" w:rsidRDefault="007C2AAB">
      <w:pPr>
        <w:numPr>
          <w:ilvl w:val="0"/>
          <w:numId w:val="73"/>
        </w:numPr>
        <w:spacing w:after="247" w:line="367" w:lineRule="auto"/>
        <w:ind w:right="16"/>
      </w:pPr>
      <w:r>
        <w:t>Transferencia de residuos: la operación de gestión de residuo consistente en almacenar de forma transitoria un residuo ya recolectado, en espera de su transport</w:t>
      </w:r>
      <w:r>
        <w:t xml:space="preserve">e final a centro de tratamiento, generalmente para obtener una economía de escala. </w:t>
      </w:r>
    </w:p>
    <w:p w:rsidR="00025683" w:rsidRDefault="007C2AAB">
      <w:pPr>
        <w:numPr>
          <w:ilvl w:val="0"/>
          <w:numId w:val="73"/>
        </w:numPr>
        <w:spacing w:after="172" w:line="357" w:lineRule="auto"/>
        <w:ind w:right="16"/>
      </w:pPr>
      <w:r>
        <w:t>Transporte de residuos: operación de gestión consistente en el movimiento de residuos de forma profesional por encargo de terceras partes, llevado a cabo por empresas en el</w:t>
      </w:r>
      <w:r>
        <w:t xml:space="preserve"> marco de su actividad profesional, sea o no su actividad principal.</w:t>
      </w:r>
      <w:r>
        <w:rPr>
          <w:rFonts w:ascii="Times New Roman" w:eastAsia="Times New Roman" w:hAnsi="Times New Roman" w:cs="Times New Roman"/>
          <w:sz w:val="24"/>
        </w:rPr>
        <w:t xml:space="preserve"> </w:t>
      </w:r>
    </w:p>
    <w:p w:rsidR="00025683" w:rsidRDefault="007C2AAB">
      <w:pPr>
        <w:numPr>
          <w:ilvl w:val="0"/>
          <w:numId w:val="73"/>
        </w:numPr>
        <w:spacing w:after="183" w:line="375" w:lineRule="auto"/>
        <w:ind w:right="16"/>
      </w:pPr>
      <w:r>
        <w:t xml:space="preserve">Tratamiento: las operaciones de valorización o eliminación, incluida la preparación anterior a la valorización o eliminación. </w:t>
      </w:r>
    </w:p>
    <w:p w:rsidR="00025683" w:rsidRDefault="007C2AAB">
      <w:pPr>
        <w:numPr>
          <w:ilvl w:val="0"/>
          <w:numId w:val="73"/>
        </w:numPr>
        <w:spacing w:after="189" w:line="367" w:lineRule="auto"/>
        <w:ind w:right="16"/>
      </w:pPr>
      <w:r>
        <w:t>Trazabilidad del residuo: información y documentación emiti</w:t>
      </w:r>
      <w:r>
        <w:t xml:space="preserve">da por agentes autorizados, o intervinientes, en todos los procesos en el ámbito de los residuos, que avale su correcta gestión en todas sus fases, tanto cualitativa como cuantitativamente. </w:t>
      </w:r>
    </w:p>
    <w:p w:rsidR="00025683" w:rsidRDefault="007C2AAB">
      <w:pPr>
        <w:numPr>
          <w:ilvl w:val="0"/>
          <w:numId w:val="73"/>
        </w:numPr>
        <w:spacing w:after="149" w:line="358" w:lineRule="auto"/>
        <w:ind w:right="16"/>
      </w:pPr>
      <w:r>
        <w:rPr>
          <w:rFonts w:ascii="Calibri" w:eastAsia="Calibri" w:hAnsi="Calibri" w:cs="Calibri"/>
          <w:noProof/>
        </w:rPr>
        <mc:AlternateContent>
          <mc:Choice Requires="wpg">
            <w:drawing>
              <wp:anchor distT="0" distB="0" distL="114300" distR="114300" simplePos="0" relativeHeight="25191628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5217" name="Group 4152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873" name="Rectangle 2987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29874" name="Rectangle 2987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29875" name="Rectangle 2987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239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5217" style="width:18.7031pt;height:264.21pt;position:absolute;mso-position-horizontal-relative:page;mso-position-horizontal:absolute;margin-left:662.928pt;mso-position-vertical-relative:page;margin-top:507.75pt;" coordsize="2375,33554">
                <v:rect id="Rectangle 2987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2987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2987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239 de 350 </w:t>
                        </w:r>
                      </w:p>
                    </w:txbxContent>
                  </v:textbox>
                </v:rect>
                <w10:wrap type="square"/>
              </v:group>
            </w:pict>
          </mc:Fallback>
        </mc:AlternateContent>
      </w:r>
      <w:r>
        <w:t>Valorización: cualquier operación cuyo resultado principal sea que el residuo sirva a una finalidad útil a</w:t>
      </w:r>
      <w:r>
        <w:t>l sustituir a otros materiales, que de otro modo se habrían utilizado para cumplir una función particular o que el residuo sea preparado para cumplir esa función en la instalación o en la economía en general.</w:t>
      </w:r>
      <w:r>
        <w:rPr>
          <w:rFonts w:ascii="Times New Roman" w:eastAsia="Times New Roman" w:hAnsi="Times New Roman" w:cs="Times New Roman"/>
          <w:sz w:val="24"/>
        </w:rPr>
        <w:t xml:space="preserve"> </w:t>
      </w:r>
    </w:p>
    <w:p w:rsidR="00025683" w:rsidRDefault="007C2AAB">
      <w:pPr>
        <w:spacing w:after="88"/>
        <w:ind w:left="14" w:right="200"/>
      </w:pPr>
      <w:r>
        <w:t>Artículo.5. Régimen fiscal.</w:t>
      </w:r>
      <w:r>
        <w:rPr>
          <w:rFonts w:ascii="Times New Roman" w:eastAsia="Times New Roman" w:hAnsi="Times New Roman" w:cs="Times New Roman"/>
          <w:sz w:val="24"/>
        </w:rPr>
        <w:t xml:space="preserve"> </w:t>
      </w:r>
    </w:p>
    <w:p w:rsidR="00025683" w:rsidRDefault="007C2AAB">
      <w:pPr>
        <w:spacing w:after="95" w:line="352" w:lineRule="auto"/>
        <w:ind w:left="14" w:right="18"/>
      </w:pPr>
      <w:r>
        <w:t>Por la prestación</w:t>
      </w:r>
      <w:r>
        <w:t xml:space="preserve"> de los servicios municipales previstos en la presente ordenanza, en aquellos casos en los que así esté establecido, deberá abonarse la correspondiente tasa o precio público en los términos regulados en las respectivas ordenanzas fiscales o acuerdos de est</w:t>
      </w:r>
      <w:r>
        <w:t>ablecimiento de precios públicos</w:t>
      </w:r>
      <w:r>
        <w:rPr>
          <w:rFonts w:ascii="Times New Roman" w:eastAsia="Times New Roman" w:hAnsi="Times New Roman" w:cs="Times New Roman"/>
          <w:sz w:val="24"/>
        </w:rPr>
        <w:t xml:space="preserve"> </w:t>
      </w:r>
    </w:p>
    <w:p w:rsidR="00025683" w:rsidRDefault="007C2AAB">
      <w:pPr>
        <w:spacing w:after="239" w:line="259" w:lineRule="auto"/>
        <w:ind w:left="0" w:firstLine="0"/>
        <w:jc w:val="left"/>
      </w:pPr>
      <w:r>
        <w:rPr>
          <w:b/>
        </w:rPr>
        <w:t xml:space="preserve"> </w:t>
      </w:r>
    </w:p>
    <w:p w:rsidR="00025683" w:rsidRDefault="007C2AAB">
      <w:pPr>
        <w:spacing w:after="351"/>
        <w:ind w:left="0" w:right="197"/>
      </w:pPr>
      <w:r>
        <w:rPr>
          <w:b/>
        </w:rPr>
        <w:t>TÍTULO I. Limpieza del espacio público</w:t>
      </w:r>
      <w:r>
        <w:rPr>
          <w:rFonts w:ascii="Times New Roman" w:eastAsia="Times New Roman" w:hAnsi="Times New Roman" w:cs="Times New Roman"/>
          <w:sz w:val="24"/>
        </w:rPr>
        <w:t xml:space="preserve"> </w:t>
      </w:r>
    </w:p>
    <w:p w:rsidR="00025683" w:rsidRDefault="007C2AAB">
      <w:pPr>
        <w:spacing w:after="66"/>
        <w:ind w:left="0" w:right="197"/>
      </w:pPr>
      <w:r>
        <w:rPr>
          <w:b/>
        </w:rPr>
        <w:t>Capítulo I. Obligaciones en relación con la limpieza del espacio público</w:t>
      </w:r>
      <w:r>
        <w:rPr>
          <w:rFonts w:ascii="Times New Roman" w:eastAsia="Times New Roman" w:hAnsi="Times New Roman" w:cs="Times New Roman"/>
          <w:sz w:val="24"/>
        </w:rPr>
        <w:t xml:space="preserve"> </w:t>
      </w:r>
    </w:p>
    <w:p w:rsidR="00025683" w:rsidRDefault="007C2AAB">
      <w:pPr>
        <w:spacing w:after="112" w:line="259" w:lineRule="auto"/>
        <w:ind w:left="0" w:firstLine="0"/>
        <w:jc w:val="left"/>
      </w:pPr>
      <w:r>
        <w:rPr>
          <w:b/>
        </w:rPr>
        <w:t xml:space="preserve"> </w:t>
      </w:r>
    </w:p>
    <w:p w:rsidR="00025683" w:rsidRDefault="007C2AAB">
      <w:pPr>
        <w:pStyle w:val="Ttulo1"/>
        <w:spacing w:after="170"/>
        <w:ind w:left="0" w:right="197"/>
      </w:pPr>
      <w:r>
        <w:t>Artículo. 6. Cumplimiento de obligaciones.</w:t>
      </w:r>
      <w:r>
        <w:rPr>
          <w:rFonts w:ascii="Times New Roman" w:eastAsia="Times New Roman" w:hAnsi="Times New Roman" w:cs="Times New Roman"/>
          <w:b w:val="0"/>
          <w:sz w:val="24"/>
        </w:rPr>
        <w:t xml:space="preserve"> </w:t>
      </w:r>
    </w:p>
    <w:p w:rsidR="00025683" w:rsidRDefault="007C2AAB">
      <w:pPr>
        <w:numPr>
          <w:ilvl w:val="0"/>
          <w:numId w:val="74"/>
        </w:numPr>
        <w:spacing w:after="223" w:line="357" w:lineRule="auto"/>
        <w:ind w:right="17"/>
      </w:pPr>
      <w:r>
        <w:t xml:space="preserve">Las personas usuarias de los espacios comprendidos dentro </w:t>
      </w:r>
      <w:r>
        <w:t>del ámbito de aplicación de la presente ordenanza están obligadas a un uso correcto del espacio público y a su mantenimiento en condiciones óptimas de limpieza y salubridad</w:t>
      </w:r>
      <w:r>
        <w:rPr>
          <w:rFonts w:ascii="Times New Roman" w:eastAsia="Times New Roman" w:hAnsi="Times New Roman" w:cs="Times New Roman"/>
          <w:sz w:val="24"/>
        </w:rPr>
        <w:t xml:space="preserve"> </w:t>
      </w:r>
    </w:p>
    <w:p w:rsidR="00025683" w:rsidRDefault="007C2AAB">
      <w:pPr>
        <w:numPr>
          <w:ilvl w:val="0"/>
          <w:numId w:val="74"/>
        </w:numPr>
        <w:spacing w:after="192" w:line="339" w:lineRule="auto"/>
        <w:ind w:right="17"/>
      </w:pPr>
      <w:r>
        <w:t>Quedan prohibidas según lo establecido en el articulado de esta ordenanza, las acc</w:t>
      </w:r>
      <w:r>
        <w:t>iones y comportamientos que alteren el espacio público, generando molestias, alteraciones de la convivencia ciudadana y deterioro del entorno urbano.</w:t>
      </w:r>
      <w:r>
        <w:rPr>
          <w:rFonts w:ascii="Times New Roman" w:eastAsia="Times New Roman" w:hAnsi="Times New Roman" w:cs="Times New Roman"/>
          <w:sz w:val="24"/>
        </w:rPr>
        <w:t xml:space="preserve"> </w:t>
      </w:r>
    </w:p>
    <w:p w:rsidR="00025683" w:rsidRDefault="007C2AAB">
      <w:pPr>
        <w:numPr>
          <w:ilvl w:val="0"/>
          <w:numId w:val="74"/>
        </w:numPr>
        <w:spacing w:after="166" w:line="367" w:lineRule="auto"/>
        <w:ind w:right="17"/>
      </w:pPr>
      <w:r>
        <w:t>Todas las personas están obligadas al cumplimiento de las disposiciones de la presente ordenanza y las qu</w:t>
      </w:r>
      <w:r>
        <w:t xml:space="preserve">e, en materia de limpieza general y mantenimiento del ornato público, apruebe en cualquier momento el Ayuntamiento en el ejercicio de sus facultades. </w:t>
      </w:r>
    </w:p>
    <w:p w:rsidR="00025683" w:rsidRDefault="007C2AAB">
      <w:pPr>
        <w:spacing w:after="93"/>
        <w:ind w:left="0" w:right="197"/>
      </w:pPr>
      <w:r>
        <w:rPr>
          <w:b/>
        </w:rPr>
        <w:t>Artículo. 7. Colaboración ciudadana.</w:t>
      </w:r>
      <w:r>
        <w:rPr>
          <w:rFonts w:ascii="Times New Roman" w:eastAsia="Times New Roman" w:hAnsi="Times New Roman" w:cs="Times New Roman"/>
          <w:sz w:val="24"/>
        </w:rPr>
        <w:t xml:space="preserve"> </w:t>
      </w:r>
    </w:p>
    <w:p w:rsidR="00025683" w:rsidRDefault="007C2AAB">
      <w:pPr>
        <w:spacing w:after="151" w:line="352" w:lineRule="auto"/>
        <w:ind w:left="14" w:right="5"/>
      </w:pPr>
      <w:r>
        <w:t>Todas las personas habrán de observar conductas que eviten el ensuc</w:t>
      </w:r>
      <w:r>
        <w:t>iamiento de los espacios públicos, pudiendo poner en conocimiento del Ayuntamiento las infracciones o incidencias que presencien o de las que tengan un conocimiento cierto en relación con el incumplimiento de esta ordenanza.</w:t>
      </w:r>
      <w:r>
        <w:rPr>
          <w:rFonts w:ascii="Times New Roman" w:eastAsia="Times New Roman" w:hAnsi="Times New Roman" w:cs="Times New Roman"/>
          <w:sz w:val="24"/>
        </w:rPr>
        <w:t xml:space="preserve"> </w:t>
      </w:r>
    </w:p>
    <w:p w:rsidR="00025683" w:rsidRDefault="007C2AAB">
      <w:pPr>
        <w:spacing w:after="93"/>
        <w:ind w:left="0" w:right="197"/>
      </w:pPr>
      <w:r>
        <w:rPr>
          <w:b/>
        </w:rPr>
        <w:t>Artículo. 8. Limpieza ante sit</w:t>
      </w:r>
      <w:r>
        <w:rPr>
          <w:b/>
        </w:rPr>
        <w:t>uaciones de emergencia.</w:t>
      </w:r>
      <w:r>
        <w:rPr>
          <w:rFonts w:ascii="Times New Roman" w:eastAsia="Times New Roman" w:hAnsi="Times New Roman" w:cs="Times New Roman"/>
          <w:sz w:val="24"/>
        </w:rPr>
        <w:t xml:space="preserve"> </w:t>
      </w:r>
    </w:p>
    <w:p w:rsidR="00025683" w:rsidRDefault="007C2AAB">
      <w:pPr>
        <w:spacing w:after="226" w:line="356" w:lineRule="auto"/>
        <w:ind w:left="14"/>
      </w:pPr>
      <w:r>
        <w:rPr>
          <w:rFonts w:ascii="Calibri" w:eastAsia="Calibri" w:hAnsi="Calibri" w:cs="Calibri"/>
          <w:noProof/>
        </w:rPr>
        <mc:AlternateContent>
          <mc:Choice Requires="wpg">
            <w:drawing>
              <wp:anchor distT="0" distB="0" distL="114300" distR="114300" simplePos="0" relativeHeight="25191731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5822" name="Group 4158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150" name="Rectangle 3015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0151" name="Rectangle 3015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152" name="Rectangle 3015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240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5822" style="width:18.7031pt;height:264.21pt;position:absolute;mso-position-horizontal-relative:page;mso-position-horizontal:absolute;margin-left:662.928pt;mso-position-vertical-relative:page;margin-top:507.75pt;" coordsize="2375,33554">
                <v:rect id="Rectangle 3015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015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15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240 de 350 </w:t>
                        </w:r>
                      </w:p>
                    </w:txbxContent>
                  </v:textbox>
                </v:rect>
                <w10:wrap type="square"/>
              </v:group>
            </w:pict>
          </mc:Fallback>
        </mc:AlternateContent>
      </w:r>
      <w:r>
        <w:t>Ante situaciones de emergencia, activados los mecanismos establecidos en la normativa dictado al efecto, cualquier persona a partir de la mayoría de edad estará obligada a la realización de las prestaciones personales en materia de limpieza o eliminación d</w:t>
      </w:r>
      <w:r>
        <w:t>e basura que exijan las autoridades competentes, de acuerdo con lo previsto en el Artículo 7 bis.2 de la Ley 17/2015, de 9 de julio, del Sistema Nacional de Protección Civil. Dichas prestaciones se llevarán a cabo en el frontal de la edificación, parcela u</w:t>
      </w:r>
      <w:r>
        <w:t xml:space="preserve"> ámbito de actuación que se corresponde con el viario público y zonas de acceso a su vivienda, negocio o actividad, en una anchura mínima de 1,80 metros de la acera con el fin de garantizar el movimiento peatonal, así como el acceso a las rampas de garajes</w:t>
      </w:r>
      <w:r>
        <w:t xml:space="preserve"> y aparcamientos.</w:t>
      </w:r>
      <w:r>
        <w:rPr>
          <w:rFonts w:ascii="Times New Roman" w:eastAsia="Times New Roman" w:hAnsi="Times New Roman" w:cs="Times New Roman"/>
          <w:sz w:val="24"/>
        </w:rPr>
        <w:t xml:space="preserve"> </w:t>
      </w:r>
    </w:p>
    <w:p w:rsidR="00025683" w:rsidRDefault="007C2AAB">
      <w:pPr>
        <w:spacing w:after="67"/>
        <w:ind w:left="0" w:right="197"/>
      </w:pPr>
      <w:r>
        <w:rPr>
          <w:b/>
        </w:rPr>
        <w:t>Capítulo II. Actuaciones no permitidas</w:t>
      </w:r>
      <w:r>
        <w:rPr>
          <w:rFonts w:ascii="Times New Roman" w:eastAsia="Times New Roman" w:hAnsi="Times New Roman" w:cs="Times New Roman"/>
          <w:sz w:val="24"/>
        </w:rPr>
        <w:t xml:space="preserve"> </w:t>
      </w:r>
    </w:p>
    <w:p w:rsidR="00025683" w:rsidRDefault="007C2AAB">
      <w:pPr>
        <w:spacing w:after="111" w:line="259" w:lineRule="auto"/>
        <w:ind w:left="0" w:firstLine="0"/>
        <w:jc w:val="left"/>
      </w:pPr>
      <w:r>
        <w:rPr>
          <w:b/>
        </w:rPr>
        <w:t xml:space="preserve"> </w:t>
      </w:r>
    </w:p>
    <w:p w:rsidR="00025683" w:rsidRDefault="007C2AAB">
      <w:pPr>
        <w:spacing w:after="145"/>
        <w:ind w:left="0" w:right="197"/>
      </w:pPr>
      <w:r>
        <w:rPr>
          <w:b/>
        </w:rPr>
        <w:t>Artículo. 9. Prohibiciones.</w:t>
      </w:r>
      <w:r>
        <w:rPr>
          <w:rFonts w:ascii="Times New Roman" w:eastAsia="Times New Roman" w:hAnsi="Times New Roman" w:cs="Times New Roman"/>
          <w:sz w:val="24"/>
        </w:rPr>
        <w:t xml:space="preserve"> </w:t>
      </w:r>
    </w:p>
    <w:p w:rsidR="00025683" w:rsidRDefault="007C2AAB">
      <w:pPr>
        <w:spacing w:after="88"/>
        <w:ind w:left="14" w:right="200"/>
      </w:pPr>
      <w:r>
        <w:t>Quedan prohibidas las siguientes conductas:</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t xml:space="preserve"> </w:t>
      </w:r>
    </w:p>
    <w:p w:rsidR="00025683" w:rsidRDefault="007C2AAB">
      <w:pPr>
        <w:numPr>
          <w:ilvl w:val="0"/>
          <w:numId w:val="75"/>
        </w:numPr>
        <w:spacing w:after="227" w:line="354" w:lineRule="auto"/>
        <w:ind w:right="19"/>
      </w:pPr>
      <w:r>
        <w:t xml:space="preserve">Abandonar, arrojar o depositar residuos de cualquier naturaleza en espacios públicos fuera de los lugares expresamente </w:t>
      </w:r>
      <w:r>
        <w:t>habilitados para ello.</w:t>
      </w:r>
      <w:r>
        <w:rPr>
          <w:rFonts w:ascii="Times New Roman" w:eastAsia="Times New Roman" w:hAnsi="Times New Roman" w:cs="Times New Roman"/>
          <w:sz w:val="24"/>
        </w:rPr>
        <w:t xml:space="preserve"> </w:t>
      </w:r>
    </w:p>
    <w:p w:rsidR="00025683" w:rsidRDefault="007C2AAB">
      <w:pPr>
        <w:numPr>
          <w:ilvl w:val="0"/>
          <w:numId w:val="75"/>
        </w:numPr>
        <w:spacing w:line="367" w:lineRule="auto"/>
        <w:ind w:right="19"/>
      </w:pPr>
      <w:r>
        <w:t xml:space="preserve">Arrojar residuos de pequeño tamaño, tales como colillas, cáscaras, chicles, papeles o cualquier otro residuo de entidad similar sin utilizar las papeleras u otros elementos de mobiliario instalados y destinados específicamente para </w:t>
      </w:r>
      <w:r>
        <w:t xml:space="preserve">tal fin. </w:t>
      </w:r>
    </w:p>
    <w:p w:rsidR="00025683" w:rsidRDefault="007C2AAB">
      <w:pPr>
        <w:numPr>
          <w:ilvl w:val="0"/>
          <w:numId w:val="75"/>
        </w:numPr>
        <w:spacing w:after="170" w:line="358" w:lineRule="auto"/>
        <w:ind w:right="19"/>
      </w:pPr>
      <w:r>
        <w:t>Realizar cualquier manipulación de las papeleras, cubos y contenedores que ocasione suciedad en el espacio público y, en particular, moverlas, volcarlas o arrancarlas, sustraerlas, pintarlas, colocar en ellas carteles o pegatinas, o cualquier otr</w:t>
      </w:r>
      <w:r>
        <w:t>o acto que las deteriore o las haga inutilizables para el uso a que están destinadas.</w:t>
      </w:r>
      <w:r>
        <w:rPr>
          <w:rFonts w:ascii="Times New Roman" w:eastAsia="Times New Roman" w:hAnsi="Times New Roman" w:cs="Times New Roman"/>
          <w:sz w:val="24"/>
        </w:rPr>
        <w:t xml:space="preserve"> </w:t>
      </w:r>
    </w:p>
    <w:p w:rsidR="00025683" w:rsidRDefault="007C2AAB">
      <w:pPr>
        <w:numPr>
          <w:ilvl w:val="0"/>
          <w:numId w:val="75"/>
        </w:numPr>
        <w:spacing w:line="367" w:lineRule="auto"/>
        <w:ind w:right="19"/>
      </w:pPr>
      <w:r>
        <w:t>Realizar operaciones de mantenimiento, reparación o limpieza de vehículos y maquinaria en la vía pública cuando esto genere suciedad, vertido de aceites, combustibles, p</w:t>
      </w:r>
      <w:r>
        <w:t xml:space="preserve">inturas u otros residuos. </w:t>
      </w:r>
    </w:p>
    <w:p w:rsidR="00025683" w:rsidRDefault="007C2AAB">
      <w:pPr>
        <w:spacing w:after="172" w:line="354" w:lineRule="auto"/>
        <w:ind w:left="14" w:right="4"/>
      </w:pPr>
      <w:r>
        <w:t xml:space="preserve">Igualmente, se considerará infracción el abandono de vehículos en mal estado que produzcan vertidos contaminantes en el espacio público. Además, una avería ocasional puede ser sancionada si su permanencia en la vía pública </w:t>
      </w:r>
      <w:r>
        <w:t>constituye un obstáculo grave, si no se adoptan las medidas de señalización y seguridad o si no se retira de la vía en el tiempo máximo autorizado.</w:t>
      </w:r>
      <w:r>
        <w:rPr>
          <w:rFonts w:ascii="Times New Roman" w:eastAsia="Times New Roman" w:hAnsi="Times New Roman" w:cs="Times New Roman"/>
          <w:sz w:val="24"/>
        </w:rPr>
        <w:t xml:space="preserve"> </w:t>
      </w:r>
    </w:p>
    <w:p w:rsidR="00025683" w:rsidRDefault="007C2AAB">
      <w:pPr>
        <w:numPr>
          <w:ilvl w:val="0"/>
          <w:numId w:val="75"/>
        </w:numPr>
        <w:spacing w:after="169" w:line="358" w:lineRule="auto"/>
        <w:ind w:right="19"/>
      </w:pPr>
      <w:r>
        <w:rPr>
          <w:rFonts w:ascii="Calibri" w:eastAsia="Calibri" w:hAnsi="Calibri" w:cs="Calibri"/>
          <w:noProof/>
        </w:rPr>
        <mc:AlternateContent>
          <mc:Choice Requires="wpg">
            <w:drawing>
              <wp:anchor distT="0" distB="0" distL="114300" distR="114300" simplePos="0" relativeHeight="25191833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5868" name="Group 4158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438" name="Rectangle 3043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0439" name="Rectangle 3043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440" name="Rectangle 3044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w:t>
                              </w:r>
                              <w:r>
                                <w:rPr>
                                  <w:sz w:val="12"/>
                                </w:rPr>
                                <w:t xml:space="preserve">umento firmado electrónicamente desde la plataforma esPublico Gestiona | Página 241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5868" style="width:18.7031pt;height:264.21pt;position:absolute;mso-position-horizontal-relative:page;mso-position-horizontal:absolute;margin-left:662.928pt;mso-position-vertical-relative:page;margin-top:507.75pt;" coordsize="2375,33554">
                <v:rect id="Rectangle 3043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043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44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241 de 350 </w:t>
                        </w:r>
                      </w:p>
                    </w:txbxContent>
                  </v:textbox>
                </v:rect>
                <w10:wrap type="square"/>
              </v:group>
            </w:pict>
          </mc:Fallback>
        </mc:AlternateContent>
      </w:r>
      <w:r>
        <w:t>Las papeleras están destinadas exclusivamente a la recogida de residuos de pequeño tamaño generados durante el tránsito o estancia en el espacio público, como papel</w:t>
      </w:r>
      <w:r>
        <w:t>es y colillas debidamente apagadas. Queda prohibido depositar en ellas bolsas con residuos domiciliarios o comerciales, así como objetos voluminosos o de cualquier naturaleza que, por su tamaño, sobresalgan de la boca de la papelera o impidan su uso adecua</w:t>
      </w:r>
      <w:r>
        <w:t>do.</w:t>
      </w:r>
      <w:r>
        <w:rPr>
          <w:rFonts w:ascii="Times New Roman" w:eastAsia="Times New Roman" w:hAnsi="Times New Roman" w:cs="Times New Roman"/>
          <w:sz w:val="24"/>
        </w:rPr>
        <w:t xml:space="preserve"> </w:t>
      </w:r>
    </w:p>
    <w:p w:rsidR="00025683" w:rsidRDefault="007C2AAB">
      <w:pPr>
        <w:numPr>
          <w:ilvl w:val="0"/>
          <w:numId w:val="75"/>
        </w:numPr>
        <w:spacing w:after="176" w:line="355" w:lineRule="auto"/>
        <w:ind w:right="19"/>
      </w:pPr>
      <w:r>
        <w:t>Arrojar al espacio público desde vehículos, puertas, portales, ventanas, balcones o terrazas cualquier clase de residuos, o cualquier objeto que pudiera producir suciedad.</w:t>
      </w:r>
      <w:r>
        <w:rPr>
          <w:rFonts w:ascii="Times New Roman" w:eastAsia="Times New Roman" w:hAnsi="Times New Roman" w:cs="Times New Roman"/>
          <w:sz w:val="24"/>
        </w:rPr>
        <w:t xml:space="preserve"> </w:t>
      </w:r>
    </w:p>
    <w:p w:rsidR="00025683" w:rsidRDefault="007C2AAB">
      <w:pPr>
        <w:numPr>
          <w:ilvl w:val="0"/>
          <w:numId w:val="75"/>
        </w:numPr>
        <w:spacing w:after="228" w:line="354" w:lineRule="auto"/>
        <w:ind w:right="19"/>
      </w:pPr>
      <w:r>
        <w:t xml:space="preserve">Ensuciar el espacio público por la poda o tala de árboles y plantas, así como </w:t>
      </w:r>
      <w:r>
        <w:t>por la limpieza de jardines.</w:t>
      </w:r>
      <w:r>
        <w:rPr>
          <w:rFonts w:ascii="Times New Roman" w:eastAsia="Times New Roman" w:hAnsi="Times New Roman" w:cs="Times New Roman"/>
          <w:sz w:val="24"/>
        </w:rPr>
        <w:t xml:space="preserve"> </w:t>
      </w:r>
    </w:p>
    <w:p w:rsidR="00025683" w:rsidRDefault="007C2AAB">
      <w:pPr>
        <w:numPr>
          <w:ilvl w:val="0"/>
          <w:numId w:val="75"/>
        </w:numPr>
        <w:spacing w:after="171" w:line="357" w:lineRule="auto"/>
        <w:ind w:right="19"/>
      </w:pPr>
      <w:r>
        <w:t>Ensuciar el espacio público con goteos o vertidos resultantes de la limpieza de balcones y terrazas, o por la limpieza o sacudida de alfombras, prendas y similares, cuando tales acciones generen suciedad notoria o molestias re</w:t>
      </w:r>
      <w:r>
        <w:t>ales en la vía.</w:t>
      </w:r>
      <w:r>
        <w:rPr>
          <w:rFonts w:ascii="Times New Roman" w:eastAsia="Times New Roman" w:hAnsi="Times New Roman" w:cs="Times New Roman"/>
          <w:sz w:val="24"/>
        </w:rPr>
        <w:t xml:space="preserve"> </w:t>
      </w:r>
    </w:p>
    <w:p w:rsidR="00025683" w:rsidRDefault="007C2AAB">
      <w:pPr>
        <w:numPr>
          <w:ilvl w:val="0"/>
          <w:numId w:val="75"/>
        </w:numPr>
        <w:spacing w:after="167" w:line="358" w:lineRule="auto"/>
        <w:ind w:right="19"/>
      </w:pPr>
      <w:r>
        <w:t xml:space="preserve">Alimentar animales o depositar comida en la vía pública por motivos de salubridad y limpieza, salvo en el caso de la alimentación controlada referida a colonias felinas que estén debidamente gestionadas por el ayuntamiento (directamente o </w:t>
      </w:r>
      <w:r>
        <w:t>en régimen de colaboración) o las autorizadas conforme a los programas de control y seguimiento establecidas por la autoridad municipal.</w:t>
      </w:r>
      <w:r>
        <w:rPr>
          <w:rFonts w:ascii="Times New Roman" w:eastAsia="Times New Roman" w:hAnsi="Times New Roman" w:cs="Times New Roman"/>
          <w:sz w:val="24"/>
        </w:rPr>
        <w:t xml:space="preserve"> </w:t>
      </w:r>
    </w:p>
    <w:p w:rsidR="00025683" w:rsidRDefault="007C2AAB">
      <w:pPr>
        <w:numPr>
          <w:ilvl w:val="0"/>
          <w:numId w:val="75"/>
        </w:numPr>
        <w:spacing w:line="378" w:lineRule="auto"/>
        <w:ind w:right="19"/>
      </w:pPr>
      <w:r>
        <w:t xml:space="preserve">Introducir materias encendidas o inflamables en papeleras, contenedores u otra clase de mobiliario urbano destinado a </w:t>
      </w:r>
      <w:r>
        <w:t xml:space="preserve">la recogida de residuos. </w:t>
      </w:r>
    </w:p>
    <w:p w:rsidR="00025683" w:rsidRDefault="00025683">
      <w:pPr>
        <w:sectPr w:rsidR="00025683">
          <w:headerReference w:type="even" r:id="rId127"/>
          <w:headerReference w:type="default" r:id="rId128"/>
          <w:footerReference w:type="even" r:id="rId129"/>
          <w:footerReference w:type="default" r:id="rId130"/>
          <w:headerReference w:type="first" r:id="rId131"/>
          <w:footerReference w:type="first" r:id="rId132"/>
          <w:pgSz w:w="14167" w:h="16819"/>
          <w:pgMar w:top="2104" w:right="2521" w:bottom="1734" w:left="2550" w:header="420" w:footer="580" w:gutter="0"/>
          <w:cols w:space="720"/>
        </w:sectPr>
      </w:pPr>
    </w:p>
    <w:p w:rsidR="00025683" w:rsidRDefault="007C2AAB">
      <w:pPr>
        <w:numPr>
          <w:ilvl w:val="0"/>
          <w:numId w:val="75"/>
        </w:numPr>
        <w:spacing w:after="173" w:line="357" w:lineRule="auto"/>
        <w:ind w:right="19"/>
      </w:pPr>
      <w:r>
        <w:t>Se prohíbe la realización de necesidades fisiológicas en la vía o espacios púb</w:t>
      </w:r>
      <w:r>
        <w:t>licos. Asimismo, se prohíbe y será sancionado ensuciar el espacio público mediante el depósito o vertido de cualquier desecho orgánico.</w:t>
      </w:r>
      <w:r>
        <w:rPr>
          <w:rFonts w:ascii="Times New Roman" w:eastAsia="Times New Roman" w:hAnsi="Times New Roman" w:cs="Times New Roman"/>
          <w:sz w:val="24"/>
        </w:rPr>
        <w:t xml:space="preserve"> </w:t>
      </w:r>
    </w:p>
    <w:p w:rsidR="00025683" w:rsidRDefault="007C2AAB">
      <w:pPr>
        <w:numPr>
          <w:ilvl w:val="0"/>
          <w:numId w:val="75"/>
        </w:numPr>
        <w:spacing w:after="174" w:line="354" w:lineRule="auto"/>
        <w:ind w:right="19"/>
      </w:pPr>
      <w:r>
        <w:t>Abandonar en el espacio público los productos del barrido y de su limpieza, producidos por particulares.</w:t>
      </w:r>
      <w:r>
        <w:rPr>
          <w:rFonts w:ascii="Times New Roman" w:eastAsia="Times New Roman" w:hAnsi="Times New Roman" w:cs="Times New Roman"/>
          <w:sz w:val="24"/>
        </w:rPr>
        <w:t xml:space="preserve"> </w:t>
      </w:r>
    </w:p>
    <w:p w:rsidR="00025683" w:rsidRDefault="007C2AAB">
      <w:pPr>
        <w:numPr>
          <w:ilvl w:val="0"/>
          <w:numId w:val="75"/>
        </w:numPr>
        <w:spacing w:after="180" w:line="376" w:lineRule="auto"/>
        <w:ind w:right="19"/>
      </w:pPr>
      <w:r>
        <w:t xml:space="preserve">Manipular, rebuscar o extraer residuos depositados en papeleras, cubos o contenedores instalados en el espacio público. </w:t>
      </w:r>
    </w:p>
    <w:p w:rsidR="00025683" w:rsidRDefault="007C2AAB">
      <w:pPr>
        <w:numPr>
          <w:ilvl w:val="0"/>
          <w:numId w:val="75"/>
        </w:numPr>
        <w:spacing w:after="167" w:line="354" w:lineRule="auto"/>
        <w:ind w:right="19"/>
      </w:pPr>
      <w:r>
        <w:t>Abandonar muebles, enseres, colchones, electrodomésticos, bolsas, envases o similares en los espacios públicos, salvo autorización prev</w:t>
      </w:r>
      <w:r>
        <w:t>ia.</w:t>
      </w:r>
      <w:r>
        <w:rPr>
          <w:rFonts w:ascii="Times New Roman" w:eastAsia="Times New Roman" w:hAnsi="Times New Roman" w:cs="Times New Roman"/>
          <w:sz w:val="24"/>
        </w:rPr>
        <w:t xml:space="preserve"> </w:t>
      </w:r>
    </w:p>
    <w:p w:rsidR="00025683" w:rsidRDefault="007C2AAB">
      <w:pPr>
        <w:numPr>
          <w:ilvl w:val="0"/>
          <w:numId w:val="75"/>
        </w:numPr>
        <w:spacing w:line="368" w:lineRule="auto"/>
        <w:ind w:right="19"/>
      </w:pPr>
      <w:r>
        <w:t xml:space="preserve">Abandonar o depositar en la vía pública, ya sea directamente, en sacos, en contenedores no autorizados o en otros recipientes inadecuados, cualquier tipo de residuo procedente de obras de construcción, remodelación, reparación o demolición. </w:t>
      </w:r>
    </w:p>
    <w:p w:rsidR="00025683" w:rsidRDefault="007C2AAB">
      <w:pPr>
        <w:spacing w:after="229" w:line="352" w:lineRule="auto"/>
        <w:ind w:left="14" w:right="327"/>
      </w:pPr>
      <w:r>
        <w:rPr>
          <w:noProof/>
        </w:rPr>
        <w:drawing>
          <wp:anchor distT="0" distB="0" distL="114300" distR="114300" simplePos="0" relativeHeight="251919360" behindDoc="0" locked="0" layoutInCell="1" allowOverlap="0">
            <wp:simplePos x="0" y="0"/>
            <wp:positionH relativeFrom="page">
              <wp:posOffset>1654175</wp:posOffset>
            </wp:positionH>
            <wp:positionV relativeFrom="page">
              <wp:posOffset>266700</wp:posOffset>
            </wp:positionV>
            <wp:extent cx="713232" cy="914400"/>
            <wp:effectExtent l="0" t="0" r="0" b="0"/>
            <wp:wrapTopAndBottom/>
            <wp:docPr id="30445" name="Picture 30445"/>
            <wp:cNvGraphicFramePr/>
            <a:graphic xmlns:a="http://schemas.openxmlformats.org/drawingml/2006/main">
              <a:graphicData uri="http://schemas.openxmlformats.org/drawingml/2006/picture">
                <pic:pic xmlns:pic="http://schemas.openxmlformats.org/drawingml/2006/picture">
                  <pic:nvPicPr>
                    <pic:cNvPr id="30445" name="Picture 30445"/>
                    <pic:cNvPicPr/>
                  </pic:nvPicPr>
                  <pic:blipFill>
                    <a:blip r:embed="rId108"/>
                    <a:stretch>
                      <a:fillRect/>
                    </a:stretch>
                  </pic:blipFill>
                  <pic:spPr>
                    <a:xfrm>
                      <a:off x="0" y="0"/>
                      <a:ext cx="713232" cy="9144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92038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5769" name="Group 4157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621" name="Rectangle 3062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w:t>
                              </w:r>
                              <w:r>
                                <w:rPr>
                                  <w:sz w:val="12"/>
                                </w:rPr>
                                <w:t xml:space="preserve">Validación: 3J3KYNW3CJM74AZ6SEHNT4KKY </w:t>
                              </w:r>
                            </w:p>
                          </w:txbxContent>
                        </wps:txbx>
                        <wps:bodyPr horzOverflow="overflow" vert="horz" lIns="0" tIns="0" rIns="0" bIns="0" rtlCol="0">
                          <a:noAutofit/>
                        </wps:bodyPr>
                      </wps:wsp>
                      <wps:wsp>
                        <wps:cNvPr id="30622" name="Rectangle 3062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0623" name="Rectangle 3062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242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5769" style="width:18.7031pt;height:264.21pt;position:absolute;mso-position-horizontal-relative:page;mso-position-horizontal:absolute;margin-left:662.928pt;mso-position-vertical-relative:page;margin-top:507.75pt;" coordsize="2375,33554">
                <v:rect id="Rectangle 3062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062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62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242 de 350 </w:t>
                        </w:r>
                      </w:p>
                    </w:txbxContent>
                  </v:textbox>
                </v:rect>
                <w10:wrap type="square"/>
              </v:group>
            </w:pict>
          </mc:Fallback>
        </mc:AlternateContent>
      </w:r>
      <w:r>
        <w:t>Se recuerda que estos residuos, denominados Residuos de Construcción y Demolición (RCD), deben ser gestionados obligatoriamente conforme al Real Decreto 105/2008 y la Ley 7/2022, entregándose únicamente a un gestor autorizado y con la documentación acredit</w:t>
      </w:r>
      <w:r>
        <w:t>ativa correspondiente.</w:t>
      </w:r>
      <w:r>
        <w:rPr>
          <w:rFonts w:ascii="Times New Roman" w:eastAsia="Times New Roman" w:hAnsi="Times New Roman" w:cs="Times New Roman"/>
          <w:sz w:val="24"/>
        </w:rPr>
        <w:t xml:space="preserve"> </w:t>
      </w:r>
    </w:p>
    <w:p w:rsidR="00025683" w:rsidRDefault="007C2AAB">
      <w:pPr>
        <w:numPr>
          <w:ilvl w:val="0"/>
          <w:numId w:val="75"/>
        </w:numPr>
        <w:spacing w:after="182" w:line="375" w:lineRule="auto"/>
        <w:ind w:right="19"/>
      </w:pPr>
      <w:r>
        <w:t xml:space="preserve">Depositar o almacenar materiales de construcción (como arena, grava, ladrillos, cemento, madera, maquinaria u otros similares) en la vía pública sin la debida autorización municipal. </w:t>
      </w:r>
    </w:p>
    <w:p w:rsidR="00025683" w:rsidRDefault="007C2AAB">
      <w:pPr>
        <w:numPr>
          <w:ilvl w:val="0"/>
          <w:numId w:val="75"/>
        </w:numPr>
        <w:spacing w:after="169" w:line="359" w:lineRule="auto"/>
        <w:ind w:right="19"/>
      </w:pPr>
      <w:r>
        <w:t>Ensuciar el espacio público con líquidos derrama</w:t>
      </w:r>
      <w:r>
        <w:t>dos por vehículos o sus actividades, y en especial, en el acceso a talleres, garajes y vados, entendiéndose como tal el derrame significativo de sustancias contaminantes (como aceites o carburantes), distinguiéndose este del goteo puntual de líquidos inocu</w:t>
      </w:r>
      <w:r>
        <w:t>os (como la condensación del aire acondicionado).</w:t>
      </w:r>
      <w:r>
        <w:rPr>
          <w:rFonts w:ascii="Times New Roman" w:eastAsia="Times New Roman" w:hAnsi="Times New Roman" w:cs="Times New Roman"/>
          <w:sz w:val="24"/>
        </w:rPr>
        <w:t xml:space="preserve"> </w:t>
      </w:r>
    </w:p>
    <w:p w:rsidR="00025683" w:rsidRDefault="007C2AAB">
      <w:pPr>
        <w:numPr>
          <w:ilvl w:val="0"/>
          <w:numId w:val="75"/>
        </w:numPr>
        <w:spacing w:after="154" w:line="363" w:lineRule="auto"/>
        <w:ind w:right="19"/>
      </w:pPr>
      <w:r>
        <w:t>Queda prohibido realizar pintadas, inscripciones, grafitis, dibujos, rayados o cualquier otra intervención que altere muros, fachadas, pavimentos, mobiliario urbano, elementos de transporte público u otros</w:t>
      </w:r>
      <w:r>
        <w:t xml:space="preserve"> bienes situados en espacios públicos o privados visibles desde estos, salvo previa autorización municipal o consentimiento expreso del titular en el caso de bienes privados. </w:t>
      </w:r>
    </w:p>
    <w:p w:rsidR="00025683" w:rsidRDefault="007C2AAB">
      <w:pPr>
        <w:spacing w:line="361" w:lineRule="auto"/>
        <w:ind w:left="14" w:right="200"/>
      </w:pPr>
      <w:r>
        <w:t xml:space="preserve">El Ayuntamiento podrá autorizar e impulsar intervenciones artísticas en espacios determinados mediante programas o proyectos de arte urbano. </w:t>
      </w:r>
    </w:p>
    <w:p w:rsidR="00025683" w:rsidRDefault="007C2AAB">
      <w:pPr>
        <w:numPr>
          <w:ilvl w:val="0"/>
          <w:numId w:val="75"/>
        </w:numPr>
        <w:spacing w:after="128" w:line="358" w:lineRule="auto"/>
        <w:ind w:right="19"/>
      </w:pPr>
      <w:r>
        <w:t>Queda expresamente prohibido el vertido, directo o indirecto, de aguas residuales procedentes de la limpieza de te</w:t>
      </w:r>
      <w:r>
        <w:t>rrazas de uso privativo, de establecimientos de restauración o de las terrazas vinculadas a los mismos, a través de los imbornales o elementos de recogida de aguas pluviales situados en la vía pública o en cualquier otro espacio público.</w:t>
      </w:r>
      <w:r>
        <w:rPr>
          <w:rFonts w:ascii="Times New Roman" w:eastAsia="Times New Roman" w:hAnsi="Times New Roman" w:cs="Times New Roman"/>
          <w:sz w:val="24"/>
        </w:rPr>
        <w:t xml:space="preserve"> </w:t>
      </w:r>
    </w:p>
    <w:p w:rsidR="00025683" w:rsidRDefault="007C2AAB">
      <w:pPr>
        <w:spacing w:after="226" w:line="352" w:lineRule="auto"/>
        <w:ind w:left="14" w:right="327"/>
      </w:pPr>
      <w:r>
        <w:t>Las aguas generad</w:t>
      </w:r>
      <w:r>
        <w:t>as en dichas operaciones de limpieza deberán evacuarse exclusivamente a través de las instalaciones interiores adecuadas y de la correspondiente red de saneamiento, de conformidad con la normativa sectorial de aplicación y, en su caso, con el Reglamento de</w:t>
      </w:r>
      <w:r>
        <w:t>l Servicio Municipal de Aguas y Saneamiento de Candelaria.</w:t>
      </w:r>
      <w:r>
        <w:rPr>
          <w:rFonts w:ascii="Times New Roman" w:eastAsia="Times New Roman" w:hAnsi="Times New Roman" w:cs="Times New Roman"/>
          <w:sz w:val="24"/>
        </w:rPr>
        <w:t xml:space="preserve"> </w:t>
      </w:r>
    </w:p>
    <w:p w:rsidR="00025683" w:rsidRDefault="007C2AAB">
      <w:pPr>
        <w:spacing w:after="66"/>
        <w:ind w:left="0" w:right="197"/>
      </w:pPr>
      <w:r>
        <w:rPr>
          <w:b/>
        </w:rPr>
        <w:t>Capítulo III. Medidas respecto a determinadas actuaciones en el espacio público</w:t>
      </w:r>
      <w:r>
        <w:rPr>
          <w:rFonts w:ascii="Times New Roman" w:eastAsia="Times New Roman" w:hAnsi="Times New Roman" w:cs="Times New Roman"/>
          <w:sz w:val="24"/>
        </w:rPr>
        <w:t xml:space="preserve"> </w:t>
      </w:r>
    </w:p>
    <w:p w:rsidR="00025683" w:rsidRDefault="007C2AAB">
      <w:pPr>
        <w:spacing w:after="114" w:line="259" w:lineRule="auto"/>
        <w:ind w:left="0" w:firstLine="0"/>
        <w:jc w:val="left"/>
      </w:pPr>
      <w:r>
        <w:rPr>
          <w:b/>
        </w:rPr>
        <w:t xml:space="preserve"> </w:t>
      </w:r>
    </w:p>
    <w:p w:rsidR="00025683" w:rsidRDefault="007C2AAB">
      <w:pPr>
        <w:spacing w:after="225"/>
        <w:ind w:left="0" w:right="197"/>
      </w:pPr>
      <w:r>
        <w:rPr>
          <w:b/>
        </w:rPr>
        <w:t>Artículo.10. Actividades privadas.</w:t>
      </w:r>
      <w:r>
        <w:rPr>
          <w:rFonts w:ascii="Times New Roman" w:eastAsia="Times New Roman" w:hAnsi="Times New Roman" w:cs="Times New Roman"/>
          <w:sz w:val="24"/>
        </w:rPr>
        <w:t xml:space="preserve"> </w:t>
      </w:r>
    </w:p>
    <w:p w:rsidR="00025683" w:rsidRDefault="007C2AAB">
      <w:pPr>
        <w:numPr>
          <w:ilvl w:val="0"/>
          <w:numId w:val="76"/>
        </w:numPr>
        <w:spacing w:after="90" w:line="358" w:lineRule="auto"/>
        <w:ind w:right="327"/>
      </w:pPr>
      <w:r>
        <w:rPr>
          <w:rFonts w:ascii="Calibri" w:eastAsia="Calibri" w:hAnsi="Calibri" w:cs="Calibri"/>
          <w:noProof/>
        </w:rPr>
        <mc:AlternateContent>
          <mc:Choice Requires="wpg">
            <w:drawing>
              <wp:anchor distT="0" distB="0" distL="114300" distR="114300" simplePos="0" relativeHeight="25192140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7094" name="Group 4170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921" name="Rectangle 3092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0922" name="Rectangle 3092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w:t>
                              </w:r>
                              <w:r>
                                <w:rPr>
                                  <w:sz w:val="12"/>
                                </w:rPr>
                                <w:t xml:space="preserve">aria.sedelectronica.es/ </w:t>
                              </w:r>
                            </w:p>
                          </w:txbxContent>
                        </wps:txbx>
                        <wps:bodyPr horzOverflow="overflow" vert="horz" lIns="0" tIns="0" rIns="0" bIns="0" rtlCol="0">
                          <a:noAutofit/>
                        </wps:bodyPr>
                      </wps:wsp>
                      <wps:wsp>
                        <wps:cNvPr id="30923" name="Rectangle 3092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243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7094" style="width:18.7031pt;height:264.21pt;position:absolute;mso-position-horizontal-relative:page;mso-position-horizontal:absolute;margin-left:662.928pt;mso-position-vertical-relative:page;margin-top:507.75pt;" coordsize="2375,33554">
                <v:rect id="Rectangle 3092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092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092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243 de 350 </w:t>
                        </w:r>
                      </w:p>
                    </w:txbxContent>
                  </v:textbox>
                </v:rect>
                <w10:wrap type="square"/>
              </v:group>
            </w:pict>
          </mc:Fallback>
        </mc:AlternateContent>
      </w:r>
      <w:r>
        <w:t xml:space="preserve">Las personas titulares de actividades abiertas al público tales como bares, cafés, quioscos, puestos de venta y mercadillos, cajeros </w:t>
      </w:r>
      <w:r>
        <w:t>automáticos, terrazas y similares, así como comercios en general, sean de carácter permanente o temporal, están obligadas a mantener en todomomento en las debidas condiciones de limpieza el dominio público ocupado, incluyendo la limpieza de cualquier manch</w:t>
      </w:r>
      <w:r>
        <w:t>a o suciedad producida por su actividad</w:t>
      </w:r>
      <w:r>
        <w:rPr>
          <w:rFonts w:ascii="Times New Roman" w:eastAsia="Times New Roman" w:hAnsi="Times New Roman" w:cs="Times New Roman"/>
          <w:sz w:val="24"/>
        </w:rPr>
        <w:t xml:space="preserve"> </w:t>
      </w:r>
    </w:p>
    <w:p w:rsidR="00025683" w:rsidRDefault="007C2AAB">
      <w:pPr>
        <w:spacing w:after="156" w:line="358" w:lineRule="auto"/>
        <w:ind w:left="14" w:right="200"/>
      </w:pPr>
      <w:r>
        <w:t xml:space="preserve">La suciedad producida a consecuencia de la utilización privativa o aprovechamiento especial del dominio público local será responsabilidad de la persona titular del aprovechamiento. </w:t>
      </w:r>
    </w:p>
    <w:p w:rsidR="00025683" w:rsidRDefault="007C2AAB">
      <w:pPr>
        <w:spacing w:after="199" w:line="360" w:lineRule="auto"/>
        <w:ind w:left="14" w:right="331"/>
      </w:pPr>
      <w:r>
        <w:t>En el supuesto de incumplimiento</w:t>
      </w:r>
      <w:r>
        <w:t xml:space="preserve"> de esta obligación, los servicios municipales competentes procederán, previo requerimiento, a realizar la restitución de la zona afectada a su estado anterior, mediante ejecución subsidiaria en los términos de la normativa vigente, siendo por cuenta de la</w:t>
      </w:r>
      <w:r>
        <w:t xml:space="preserve"> propiedad los costes en que incurran dichos servicios municipales por las operaciones de limpieza, sin perjuicio de las sanciones que pudieran corresponder. </w:t>
      </w:r>
    </w:p>
    <w:p w:rsidR="00025683" w:rsidRDefault="007C2AAB">
      <w:pPr>
        <w:numPr>
          <w:ilvl w:val="0"/>
          <w:numId w:val="76"/>
        </w:numPr>
        <w:spacing w:line="358" w:lineRule="auto"/>
        <w:ind w:right="327"/>
      </w:pPr>
      <w:r>
        <w:t>Los comerciantes de venta ambulante en cualquiera de sus modalidades están obligados, una vez que</w:t>
      </w:r>
      <w:r>
        <w:t xml:space="preserve"> se ha procedido al desmontaje del puesto o instalación, a dejar limpia de residuos y de desperdicios la superficie ocupada y sus aledaños y a retirar todo el material sobrante haciéndose cargo de su traslado y gestión.</w:t>
      </w:r>
      <w:r>
        <w:rPr>
          <w:rFonts w:ascii="Times New Roman" w:eastAsia="Times New Roman" w:hAnsi="Times New Roman" w:cs="Times New Roman"/>
          <w:sz w:val="24"/>
        </w:rPr>
        <w:t xml:space="preserve"> </w:t>
      </w:r>
    </w:p>
    <w:p w:rsidR="00025683" w:rsidRDefault="007C2AAB">
      <w:pPr>
        <w:spacing w:line="352" w:lineRule="auto"/>
        <w:ind w:left="14" w:right="327"/>
      </w:pPr>
      <w:r>
        <w:t xml:space="preserve">Deberán además recoger diariamente </w:t>
      </w:r>
      <w:r>
        <w:t>todos los residuos y basuras, así como realizar la limpieza de cualquier mancha o suciedad producida por su actividad, que se encuentren en su ubicación y entorno, siguiendo las prescripciones contenidas en la presente ordenanza. Estas obligaciones son res</w:t>
      </w:r>
      <w:r>
        <w:t>ponsabilidad de quien ostente la propiedad de la actividad.</w:t>
      </w:r>
      <w:r>
        <w:rPr>
          <w:rFonts w:ascii="Times New Roman" w:eastAsia="Times New Roman" w:hAnsi="Times New Roman" w:cs="Times New Roman"/>
          <w:sz w:val="24"/>
        </w:rPr>
        <w:t xml:space="preserve"> </w:t>
      </w:r>
    </w:p>
    <w:p w:rsidR="00025683" w:rsidRDefault="007C2AAB">
      <w:pPr>
        <w:numPr>
          <w:ilvl w:val="0"/>
          <w:numId w:val="76"/>
        </w:numPr>
        <w:spacing w:after="222" w:line="358" w:lineRule="auto"/>
        <w:ind w:right="327"/>
      </w:pPr>
      <w:r>
        <w:t>El Ayuntamiento exigirá a las personas titulares de las actividades que utilicen privativamente o aprovechen de forma especial el dominio público la colocación de elementos para el depósito de lo</w:t>
      </w:r>
      <w:r>
        <w:t>s residuos producidos por las mismas. El número y tipo de elementos a instalar serán determinados por el órgano competente en materia de limpieza y permitirán la recogida separada de las fracciones dispuestas en el Artículo 25.3 susceptibles de ser generad</w:t>
      </w:r>
      <w:r>
        <w:t>as durante estas actividades. Dichos contenedores deberán mantenerse en condiciones de limpieza, ser retirados al término de la ocupación y su contenido entregado al gestor autorizado, siendo responsable de su correcto cumplimiento la persona titular de la</w:t>
      </w:r>
      <w:r>
        <w:t xml:space="preserve"> actividad.</w:t>
      </w:r>
      <w:r>
        <w:rPr>
          <w:rFonts w:ascii="Times New Roman" w:eastAsia="Times New Roman" w:hAnsi="Times New Roman" w:cs="Times New Roman"/>
          <w:sz w:val="24"/>
        </w:rPr>
        <w:t xml:space="preserve"> </w:t>
      </w:r>
    </w:p>
    <w:p w:rsidR="00025683" w:rsidRDefault="007C2AAB">
      <w:pPr>
        <w:numPr>
          <w:ilvl w:val="0"/>
          <w:numId w:val="76"/>
        </w:numPr>
        <w:spacing w:after="173" w:line="358" w:lineRule="auto"/>
        <w:ind w:right="327"/>
      </w:pPr>
      <w:r>
        <w:t>Para evitar ensuciar el espacio público en cada una de las mesas de terrazas, quioscos o barras instalados, se dispondrá por parte del titular de la actividad de, al menos, un recipiente para recogida de residuos generados por el servicio en l</w:t>
      </w:r>
      <w:r>
        <w:t>a propia terraza, estando con la obligatoriedad a efectuar su vaciado.</w:t>
      </w:r>
      <w:r>
        <w:rPr>
          <w:rFonts w:ascii="Times New Roman" w:eastAsia="Times New Roman" w:hAnsi="Times New Roman" w:cs="Times New Roman"/>
          <w:sz w:val="24"/>
        </w:rPr>
        <w:t xml:space="preserve"> </w:t>
      </w:r>
    </w:p>
    <w:p w:rsidR="00025683" w:rsidRDefault="007C2AAB">
      <w:pPr>
        <w:numPr>
          <w:ilvl w:val="0"/>
          <w:numId w:val="76"/>
        </w:numPr>
        <w:spacing w:after="168" w:line="358" w:lineRule="auto"/>
        <w:ind w:right="327"/>
      </w:pPr>
      <w:r>
        <w:rPr>
          <w:rFonts w:ascii="Calibri" w:eastAsia="Calibri" w:hAnsi="Calibri" w:cs="Calibri"/>
          <w:noProof/>
        </w:rPr>
        <mc:AlternateContent>
          <mc:Choice Requires="wpg">
            <w:drawing>
              <wp:anchor distT="0" distB="0" distL="114300" distR="114300" simplePos="0" relativeHeight="25192243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5854" name="Group 4158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178" name="Rectangle 3117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1179" name="Rectangle 3117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1180" name="Rectangle 3118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244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5854" style="width:18.7031pt;height:264.21pt;position:absolute;mso-position-horizontal-relative:page;mso-position-horizontal:absolute;margin-left:662.928pt;mso-position-vertical-relative:page;margin-top:507.75pt;" coordsize="2375,33554">
                <v:rect id="Rectangle 3117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117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18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244 de 350 </w:t>
                        </w:r>
                      </w:p>
                    </w:txbxContent>
                  </v:textbox>
                </v:rect>
                <w10:wrap type="square"/>
              </v:group>
            </w:pict>
          </mc:Fallback>
        </mc:AlternateContent>
      </w:r>
      <w:r>
        <w:t>Los propietarios o, en su caso, los titulares o responsables de la gestión de los edificios de general acceso público tienen la obligación de instalar y mantener</w:t>
      </w:r>
      <w:r>
        <w:t xml:space="preserve"> un cenicero o elemento destinado a la recogida de colillas en sus accesos exteriores, siendo responsables de su vaciado y limpieza continuos.</w:t>
      </w:r>
      <w:r>
        <w:rPr>
          <w:rFonts w:ascii="Times New Roman" w:eastAsia="Times New Roman" w:hAnsi="Times New Roman" w:cs="Times New Roman"/>
          <w:sz w:val="24"/>
        </w:rPr>
        <w:t xml:space="preserve"> </w:t>
      </w:r>
    </w:p>
    <w:p w:rsidR="00025683" w:rsidRDefault="007C2AAB">
      <w:pPr>
        <w:numPr>
          <w:ilvl w:val="0"/>
          <w:numId w:val="76"/>
        </w:numPr>
        <w:spacing w:after="146" w:line="358" w:lineRule="auto"/>
        <w:ind w:right="327"/>
      </w:pPr>
      <w:r>
        <w:t>En las paradas de guagua, se propone la obligación modulada de disponer tres fracciones de recogida separada (pa</w:t>
      </w:r>
      <w:r>
        <w:t xml:space="preserve">pel, envases y resto). La aplicación universal de esta medida se considera una exigencia desproporcionada y con impacto logístico desfavorable en términos de eficiencia en la gestión de residuos. La instalación múltiple resulta inviable en paradas de baja </w:t>
      </w:r>
      <w:r>
        <w:t>frecuencia de usuarios o en aquellas que solo disponen de un poste de señalización, donde el volumen de residuos generado no justifica la complejidad de la recogida selectiva. Por lo tanto, la instalación de las tres fracciones se limitará a las paradas de</w:t>
      </w:r>
      <w:r>
        <w:t xml:space="preserve"> alta afluencia y con infraestructura adecuada. En el resto, se adoptará una solución mínima viable. Esta medida se aplicará según la titularidad (pública o concesional) de las marquesinas y postes, vinculando la responsabilidad de disposición y conservaci</w:t>
      </w:r>
      <w:r>
        <w:t>ón a la entidad que ostente su explotación.</w:t>
      </w:r>
      <w:r>
        <w:rPr>
          <w:rFonts w:ascii="Times New Roman" w:eastAsia="Times New Roman" w:hAnsi="Times New Roman" w:cs="Times New Roman"/>
          <w:sz w:val="24"/>
        </w:rPr>
        <w:t xml:space="preserve"> </w:t>
      </w:r>
    </w:p>
    <w:p w:rsidR="00025683" w:rsidRDefault="007C2AAB">
      <w:pPr>
        <w:spacing w:after="168"/>
        <w:ind w:left="0" w:right="197"/>
      </w:pPr>
      <w:r>
        <w:rPr>
          <w:b/>
        </w:rPr>
        <w:t>Artículo.11. Actuaciones relacionadas con la publicidad.</w:t>
      </w:r>
      <w:r>
        <w:rPr>
          <w:rFonts w:ascii="Times New Roman" w:eastAsia="Times New Roman" w:hAnsi="Times New Roman" w:cs="Times New Roman"/>
          <w:sz w:val="24"/>
        </w:rPr>
        <w:t xml:space="preserve"> </w:t>
      </w:r>
    </w:p>
    <w:p w:rsidR="00025683" w:rsidRDefault="007C2AAB">
      <w:pPr>
        <w:numPr>
          <w:ilvl w:val="0"/>
          <w:numId w:val="77"/>
        </w:numPr>
        <w:spacing w:after="229" w:line="368" w:lineRule="auto"/>
        <w:ind w:right="331"/>
      </w:pPr>
      <w:r>
        <w:t>Queda prohibida la fijación o colocación de carteles, pancartas, adhesivos o cualquier elemento publicitario en el espacio público o mobiliario urbano si</w:t>
      </w:r>
      <w:r>
        <w:t>n la preceptiva autorización municipal. La persona física o jurídica anunciante o promotora será la responsable de la infracción, debiendo asumir los costes de la retirada y limpieza. Así mismo, queda prohibido a cualquier usuario arrancar, rasgar o destru</w:t>
      </w:r>
      <w:r>
        <w:t>ir dichos elementos y abandonar los restos en la vía pública o en el daño del soporte, siendo el autor material de este acto el responsable de la sanción.</w:t>
      </w:r>
      <w:r>
        <w:rPr>
          <w:rFonts w:ascii="Times New Roman" w:eastAsia="Times New Roman" w:hAnsi="Times New Roman" w:cs="Times New Roman"/>
          <w:sz w:val="24"/>
        </w:rPr>
        <w:t xml:space="preserve"> </w:t>
      </w:r>
    </w:p>
    <w:p w:rsidR="00025683" w:rsidRDefault="007C2AAB">
      <w:pPr>
        <w:numPr>
          <w:ilvl w:val="0"/>
          <w:numId w:val="77"/>
        </w:numPr>
        <w:spacing w:after="194" w:line="362" w:lineRule="auto"/>
        <w:ind w:right="331"/>
      </w:pPr>
      <w:r>
        <w:t>Queda prohibido ensuciar las vías o espacios públicos abandonando, colocando o depositando folletos,</w:t>
      </w:r>
      <w:r>
        <w:t xml:space="preserve"> octavillas o cualquier otro material publicitario. Serán responsables de estos hechos el/la repartidor/a, y subsidiariamente o solidariamente la persona física o jurídica (empresa anunciante o promotora) que encargó, promovió o se benefició de la difusión</w:t>
      </w:r>
      <w:r>
        <w:t xml:space="preserve"> del material, siempre y cuando el material publicitario contenga una identificación clara de dicha persona o empresa. En caso de que el material publicitario no contenga la identificación del anunciante, la persona o entidad responsable de la infracción s</w:t>
      </w:r>
      <w:r>
        <w:t xml:space="preserve">erá quien haya ordenado el reparto. </w:t>
      </w:r>
    </w:p>
    <w:p w:rsidR="00025683" w:rsidRDefault="007C2AAB">
      <w:pPr>
        <w:numPr>
          <w:ilvl w:val="0"/>
          <w:numId w:val="77"/>
        </w:numPr>
        <w:spacing w:after="144" w:line="358" w:lineRule="auto"/>
        <w:ind w:right="331"/>
      </w:pPr>
      <w:r>
        <w:t xml:space="preserve">El reparto domiciliario de publicidad se realizará de forma que no genere suciedad en la vía y espacio público. La publicidad se habrá de depositar en el interior de los buzones </w:t>
      </w:r>
      <w:r>
        <w:t>particulares o en aquellos espacios que la vecindad o la comunidad de personas propietarias del edificio hayan establecido a este efecto.</w:t>
      </w:r>
      <w:r>
        <w:rPr>
          <w:rFonts w:ascii="Times New Roman" w:eastAsia="Times New Roman" w:hAnsi="Times New Roman" w:cs="Times New Roman"/>
          <w:sz w:val="24"/>
        </w:rPr>
        <w:t xml:space="preserve"> </w:t>
      </w:r>
    </w:p>
    <w:p w:rsidR="00025683" w:rsidRDefault="007C2AAB">
      <w:pPr>
        <w:spacing w:after="170"/>
        <w:ind w:left="0" w:right="197"/>
      </w:pPr>
      <w:r>
        <w:rPr>
          <w:rFonts w:ascii="Calibri" w:eastAsia="Calibri" w:hAnsi="Calibri" w:cs="Calibri"/>
          <w:noProof/>
        </w:rPr>
        <mc:AlternateContent>
          <mc:Choice Requires="wpg">
            <w:drawing>
              <wp:anchor distT="0" distB="0" distL="114300" distR="114300" simplePos="0" relativeHeight="25192345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7375" name="Group 4173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460" name="Rectangle 3146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1461" name="Rectangle 3146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1462" name="Rectangle 3146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w:t>
                              </w:r>
                              <w:r>
                                <w:rPr>
                                  <w:sz w:val="12"/>
                                </w:rPr>
                                <w:t xml:space="preserve">mado electrónicamente desde la plataforma esPublico Gestiona | Página 245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7375" style="width:18.7031pt;height:264.21pt;position:absolute;mso-position-horizontal-relative:page;mso-position-horizontal:absolute;margin-left:662.928pt;mso-position-vertical-relative:page;margin-top:507.75pt;" coordsize="2375,33554">
                <v:rect id="Rectangle 3146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146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46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245 de 350 </w:t>
                        </w:r>
                      </w:p>
                    </w:txbxContent>
                  </v:textbox>
                </v:rect>
                <w10:wrap type="square"/>
              </v:group>
            </w:pict>
          </mc:Fallback>
        </mc:AlternateContent>
      </w:r>
      <w:r>
        <w:rPr>
          <w:b/>
        </w:rPr>
        <w:t>Artículo.12. Afecciones al espacio público por obras</w:t>
      </w:r>
      <w:r>
        <w:t>.</w:t>
      </w:r>
      <w:r>
        <w:rPr>
          <w:rFonts w:ascii="Times New Roman" w:eastAsia="Times New Roman" w:hAnsi="Times New Roman" w:cs="Times New Roman"/>
          <w:sz w:val="24"/>
        </w:rPr>
        <w:t xml:space="preserve"> </w:t>
      </w:r>
    </w:p>
    <w:p w:rsidR="00025683" w:rsidRDefault="007C2AAB">
      <w:pPr>
        <w:numPr>
          <w:ilvl w:val="0"/>
          <w:numId w:val="78"/>
        </w:numPr>
        <w:spacing w:after="130" w:line="359" w:lineRule="auto"/>
        <w:ind w:right="335"/>
      </w:pPr>
      <w:r>
        <w:t>Las afecciones al espacio público por obras que se realicen en él o lo ocupen provisionalmente, así como los accesos a edificaciones o solares en los que se desarrollen obras o actuaciones que puedan ocasionar suciedad, vertidos, derrames o adherencias, ge</w:t>
      </w:r>
      <w:r>
        <w:t>neran la obligación de adoptar las medidas necesarias para evitar dicha suciedad, así como la de limpiar la zona que se hubiera visto afectada, sin perjuicio de las licencias o autorizaciones que en cada caso sean procedentes y de las demás obligaciones qu</w:t>
      </w:r>
      <w:r>
        <w:t>e deban cumplirse.</w:t>
      </w:r>
      <w:r>
        <w:rPr>
          <w:rFonts w:ascii="Times New Roman" w:eastAsia="Times New Roman" w:hAnsi="Times New Roman" w:cs="Times New Roman"/>
          <w:sz w:val="24"/>
        </w:rPr>
        <w:t xml:space="preserve"> </w:t>
      </w:r>
    </w:p>
    <w:p w:rsidR="00025683" w:rsidRDefault="007C2AAB">
      <w:pPr>
        <w:spacing w:after="122" w:line="358" w:lineRule="auto"/>
        <w:ind w:left="14" w:right="328"/>
      </w:pPr>
      <w:r>
        <w:t>Debe procederse al cumplimiento de esta obligación diariamente y una vez finalizada cualquier operación de carga, descarga, salida o entrada de vehículos al lugar de la obra. El órgano municipal competente podrá exigir en todo momento l</w:t>
      </w:r>
      <w:r>
        <w:t xml:space="preserve">as acciones correspondientes de limpieza. </w:t>
      </w:r>
    </w:p>
    <w:p w:rsidR="00025683" w:rsidRDefault="007C2AAB">
      <w:pPr>
        <w:spacing w:after="204" w:line="359" w:lineRule="auto"/>
        <w:ind w:left="14" w:right="330"/>
      </w:pPr>
      <w:r>
        <w:t>Deberán adoptarse las medidas necesarias para que los vehículos que accedan a la vía pública desde el perímetro interior de la zona de obras no la ensucien. En aquellas obras en las que deban realizarse importante</w:t>
      </w:r>
      <w:r>
        <w:t>s excavaciones, tales como vaciados o túneles, entre otros, deberá instalarse un sistema para la limpieza de las ruedas y bajos de los vehículos en el interior de la salida de la zona acotada de la obra, de forma que se asegure que todos los vehículos acce</w:t>
      </w:r>
      <w:r>
        <w:t>den a la vía pública con los neumáticos limpios y sin posibilidad de vertido de materiales.</w:t>
      </w:r>
      <w:r>
        <w:rPr>
          <w:rFonts w:ascii="Times New Roman" w:eastAsia="Times New Roman" w:hAnsi="Times New Roman" w:cs="Times New Roman"/>
          <w:sz w:val="24"/>
        </w:rPr>
        <w:t xml:space="preserve"> </w:t>
      </w:r>
    </w:p>
    <w:p w:rsidR="00025683" w:rsidRDefault="007C2AAB">
      <w:pPr>
        <w:spacing w:after="180" w:line="349" w:lineRule="auto"/>
        <w:ind w:left="14" w:right="328"/>
      </w:pPr>
      <w:r>
        <w:t>Serán responsables solidarios del cumplimiento de estas obligaciones la persona titular de la licencia, declaración responsable o autorización de la obra, la const</w:t>
      </w:r>
      <w:r>
        <w:t>ructora o contratista, la persona encargada de la promoción y la propiedad de la obra.</w:t>
      </w:r>
      <w:r>
        <w:rPr>
          <w:rFonts w:ascii="Times New Roman" w:eastAsia="Times New Roman" w:hAnsi="Times New Roman" w:cs="Times New Roman"/>
          <w:sz w:val="24"/>
        </w:rPr>
        <w:t xml:space="preserve"> </w:t>
      </w:r>
    </w:p>
    <w:p w:rsidR="00025683" w:rsidRDefault="007C2AAB">
      <w:pPr>
        <w:numPr>
          <w:ilvl w:val="0"/>
          <w:numId w:val="78"/>
        </w:numPr>
        <w:spacing w:line="368" w:lineRule="auto"/>
        <w:ind w:right="335"/>
      </w:pPr>
      <w:r>
        <w:t>Expirada la eficacia de la licencia, declaración responsable, autorización concedida para la ocupación del espacio público, este debe quedar libre de materiales y resto</w:t>
      </w:r>
      <w:r>
        <w:t xml:space="preserve">s de obra en un plazo máximo de veinticuatro horas. </w:t>
      </w:r>
    </w:p>
    <w:p w:rsidR="00025683" w:rsidRDefault="007C2AAB">
      <w:pPr>
        <w:spacing w:after="175" w:line="358" w:lineRule="auto"/>
        <w:ind w:left="14" w:right="329"/>
      </w:pPr>
      <w:r>
        <w:t>Transcurrido dicho plazo, los servicios municipales procederán a la retirada de dichos materiales. Estos materiales tendrán la consideración de residuos, serán gestionados conforme a la normativa vigente</w:t>
      </w:r>
      <w:r>
        <w:t xml:space="preserve"> en la materia y se imputarán los costes derivados de la retirada, el transporte y la gestión al responsable, sin perjuicio de las sanciones administrativas que procedan. </w:t>
      </w:r>
    </w:p>
    <w:p w:rsidR="00025683" w:rsidRDefault="007C2AAB">
      <w:pPr>
        <w:spacing w:after="131"/>
        <w:ind w:left="0" w:right="197"/>
      </w:pPr>
      <w:r>
        <w:rPr>
          <w:b/>
        </w:rPr>
        <w:t>Artículo. 13.  Carga y descarga.</w:t>
      </w:r>
      <w:r>
        <w:rPr>
          <w:rFonts w:ascii="Times New Roman" w:eastAsia="Times New Roman" w:hAnsi="Times New Roman" w:cs="Times New Roman"/>
          <w:sz w:val="24"/>
        </w:rPr>
        <w:t xml:space="preserve"> </w:t>
      </w:r>
    </w:p>
    <w:p w:rsidR="00025683" w:rsidRDefault="007C2AAB">
      <w:pPr>
        <w:spacing w:after="198" w:line="357" w:lineRule="auto"/>
        <w:ind w:left="14" w:right="322"/>
      </w:pPr>
      <w:r>
        <w:rPr>
          <w:rFonts w:ascii="Calibri" w:eastAsia="Calibri" w:hAnsi="Calibri" w:cs="Calibri"/>
          <w:noProof/>
        </w:rPr>
        <mc:AlternateContent>
          <mc:Choice Requires="wpg">
            <w:drawing>
              <wp:anchor distT="0" distB="0" distL="114300" distR="114300" simplePos="0" relativeHeight="25192448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6365" name="Group 4163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668" name="Rectangle 3166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1669" name="Rectangle 3166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w:t>
                              </w:r>
                              <w:r>
                                <w:rPr>
                                  <w:sz w:val="12"/>
                                </w:rPr>
                                <w:t xml:space="preserve">erificación: https://candelaria.sedelectronica.es/ </w:t>
                              </w:r>
                            </w:p>
                          </w:txbxContent>
                        </wps:txbx>
                        <wps:bodyPr horzOverflow="overflow" vert="horz" lIns="0" tIns="0" rIns="0" bIns="0" rtlCol="0">
                          <a:noAutofit/>
                        </wps:bodyPr>
                      </wps:wsp>
                      <wps:wsp>
                        <wps:cNvPr id="31670" name="Rectangle 3167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246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6365" style="width:18.7031pt;height:264.21pt;position:absolute;mso-position-horizontal-relative:page;mso-position-horizontal:absolute;margin-left:662.928pt;mso-position-vertical-relative:page;margin-top:507.75pt;" coordsize="2375,33554">
                <v:rect id="Rectangle 3166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166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67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246 de 350 </w:t>
                        </w:r>
                      </w:p>
                    </w:txbxContent>
                  </v:textbox>
                </v:rect>
                <w10:wrap type="square"/>
              </v:group>
            </w:pict>
          </mc:Fallback>
        </mc:AlternateContent>
      </w:r>
      <w:r>
        <w:t>Las operaciones de carga y descarga que, por parte de agentes dedicados a la distribución, reparto y suministro, se efectúen en la vía pública, deben realizarse de manera que no se ensucie esta. En caso contrario, quienes conduzcan los vehículos que desarr</w:t>
      </w:r>
      <w:r>
        <w:t>ollen esta actividad, y, subsidiariamente, por este orden, las personas arrendatarias o titulares del vehículo y de los establecimientos o fincas para los que se efectúe la carga y la descarga, están obligadas a proceder a la limpieza de las aceras y calza</w:t>
      </w:r>
      <w:r>
        <w:t>das que hubieran sido ensuciadas durante la operación, retirando de la vía pública todo tipo de residuos vertidos. Esto incluye, sin limitarse a ello: plásticos (films, flejes, bolsas, burbujas), cartones (cajas rotas, esquineras), maderas (astillas, resto</w:t>
      </w:r>
      <w:r>
        <w:t>s de palets), metales (flejes, grapas), derrames de líquidos (aceites, grasas, productos alimenticios), vidrios rotos, o cualquier otro material o residuo derivado de la actividad.</w:t>
      </w:r>
      <w:r>
        <w:rPr>
          <w:rFonts w:ascii="Times New Roman" w:eastAsia="Times New Roman" w:hAnsi="Times New Roman" w:cs="Times New Roman"/>
          <w:sz w:val="24"/>
        </w:rPr>
        <w:t xml:space="preserve"> </w:t>
      </w:r>
    </w:p>
    <w:p w:rsidR="00025683" w:rsidRDefault="007C2AAB">
      <w:pPr>
        <w:pStyle w:val="Ttulo2"/>
        <w:spacing w:after="90"/>
        <w:ind w:left="0" w:right="197"/>
      </w:pPr>
      <w:r>
        <w:t>Artículo. 14.  Transporte de residuos y materiales.</w:t>
      </w:r>
      <w:r>
        <w:rPr>
          <w:rFonts w:ascii="Times New Roman" w:eastAsia="Times New Roman" w:hAnsi="Times New Roman" w:cs="Times New Roman"/>
          <w:b w:val="0"/>
          <w:sz w:val="24"/>
        </w:rPr>
        <w:t xml:space="preserve"> </w:t>
      </w:r>
    </w:p>
    <w:p w:rsidR="00025683" w:rsidRDefault="007C2AAB">
      <w:pPr>
        <w:spacing w:after="151" w:line="353" w:lineRule="auto"/>
        <w:ind w:left="14" w:right="326"/>
      </w:pPr>
      <w:r>
        <w:t xml:space="preserve">Quienes conduzcan y, </w:t>
      </w:r>
      <w:r>
        <w:t>subsidiariamente, las personas arrendatarias o titulares de vehículos que cualquier material que pudiera ensuciar la vía pública, habrán de tomar cuantas medidas sean precisas en la manipulación y transporte de dichos materiales y evitar que ocasionen suci</w:t>
      </w:r>
      <w:r>
        <w:t>edad o caigan sobre la vía pública</w:t>
      </w:r>
      <w:r>
        <w:rPr>
          <w:rFonts w:ascii="Times New Roman" w:eastAsia="Times New Roman" w:hAnsi="Times New Roman" w:cs="Times New Roman"/>
          <w:sz w:val="24"/>
        </w:rPr>
        <w:t xml:space="preserve"> </w:t>
      </w:r>
    </w:p>
    <w:p w:rsidR="00025683" w:rsidRDefault="007C2AAB">
      <w:pPr>
        <w:pStyle w:val="Ttulo2"/>
        <w:spacing w:after="170"/>
        <w:ind w:left="0" w:right="197"/>
      </w:pPr>
      <w:r>
        <w:t>Artículo. 15. Animales.</w:t>
      </w:r>
      <w:r>
        <w:rPr>
          <w:rFonts w:ascii="Times New Roman" w:eastAsia="Times New Roman" w:hAnsi="Times New Roman" w:cs="Times New Roman"/>
          <w:b w:val="0"/>
          <w:sz w:val="24"/>
        </w:rPr>
        <w:t xml:space="preserve"> </w:t>
      </w:r>
    </w:p>
    <w:p w:rsidR="00025683" w:rsidRDefault="007C2AAB">
      <w:pPr>
        <w:numPr>
          <w:ilvl w:val="0"/>
          <w:numId w:val="79"/>
        </w:numPr>
        <w:spacing w:after="192" w:line="339" w:lineRule="auto"/>
        <w:ind w:right="264"/>
      </w:pPr>
      <w:r>
        <w:t>Las personas que lleven animales de compañía serán responsables de cualquier acción de estos que ocasione suciedad en los espacios públicos, así como en los parques y demás zonas verdes. Será res</w:t>
      </w:r>
      <w:r>
        <w:t>ponsable subsidiario el propietario del animal</w:t>
      </w:r>
      <w:r>
        <w:rPr>
          <w:rFonts w:ascii="Times New Roman" w:eastAsia="Times New Roman" w:hAnsi="Times New Roman" w:cs="Times New Roman"/>
          <w:sz w:val="24"/>
        </w:rPr>
        <w:t xml:space="preserve"> </w:t>
      </w:r>
    </w:p>
    <w:p w:rsidR="00025683" w:rsidRDefault="007C2AAB">
      <w:pPr>
        <w:numPr>
          <w:ilvl w:val="0"/>
          <w:numId w:val="79"/>
        </w:numPr>
        <w:spacing w:line="367" w:lineRule="auto"/>
        <w:ind w:right="264"/>
      </w:pPr>
      <w:r>
        <w:t>Cuando las deyecciones de los perros u otros animales queden depositadas en el espacio público la persona que lleve el animal está obligada a proceder a su recogida y limpieza inmediata, así como a su depósit</w:t>
      </w:r>
      <w:r>
        <w:t xml:space="preserve">o en los lugares destinados al efecto. </w:t>
      </w:r>
    </w:p>
    <w:p w:rsidR="00025683" w:rsidRDefault="007C2AAB">
      <w:pPr>
        <w:spacing w:after="199" w:line="359" w:lineRule="auto"/>
        <w:ind w:left="14" w:right="332"/>
      </w:pPr>
      <w:r>
        <w:t>Toda aquella persona portadora de un animal está obligada a llevar consigo y utilizar la correspondiente bolsa o dispositivo para la recogida de los excrementos. Las personas invidentes que sean titulares de perros/a</w:t>
      </w:r>
      <w:r>
        <w:t xml:space="preserve">s guía se encuentran exentas del cumplimiento de estas obligaciones. </w:t>
      </w:r>
    </w:p>
    <w:p w:rsidR="00025683" w:rsidRDefault="007C2AAB">
      <w:pPr>
        <w:numPr>
          <w:ilvl w:val="0"/>
          <w:numId w:val="79"/>
        </w:numPr>
        <w:spacing w:after="171" w:line="357" w:lineRule="auto"/>
        <w:ind w:right="264"/>
      </w:pPr>
      <w:r>
        <w:t>Queda prohibido que las personas portadoras permitan que los animales realicen sus micciones y/o deposiciones en las puertas de acceso a los edificios y locales y en el interior de las z</w:t>
      </w:r>
      <w:r>
        <w:t>onas infantiles o en los areneros que tienen como fin el juego de niños y niñas.</w:t>
      </w:r>
      <w:r>
        <w:rPr>
          <w:rFonts w:ascii="Times New Roman" w:eastAsia="Times New Roman" w:hAnsi="Times New Roman" w:cs="Times New Roman"/>
          <w:sz w:val="24"/>
        </w:rPr>
        <w:t xml:space="preserve"> </w:t>
      </w:r>
    </w:p>
    <w:p w:rsidR="00025683" w:rsidRDefault="007C2AAB">
      <w:pPr>
        <w:numPr>
          <w:ilvl w:val="0"/>
          <w:numId w:val="79"/>
        </w:numPr>
        <w:spacing w:after="151" w:line="354" w:lineRule="auto"/>
        <w:ind w:right="264"/>
      </w:pPr>
      <w:r>
        <w:t>Queda prohibida la limpieza, corte de pelo, cepillado y aseo de animales en los espacios públicos.</w:t>
      </w:r>
      <w:r>
        <w:rPr>
          <w:rFonts w:ascii="Times New Roman" w:eastAsia="Times New Roman" w:hAnsi="Times New Roman" w:cs="Times New Roman"/>
          <w:sz w:val="24"/>
        </w:rPr>
        <w:t xml:space="preserve"> </w:t>
      </w:r>
    </w:p>
    <w:p w:rsidR="00025683" w:rsidRDefault="007C2AAB">
      <w:pPr>
        <w:pStyle w:val="Ttulo2"/>
        <w:spacing w:after="168"/>
        <w:ind w:left="0" w:right="197"/>
      </w:pPr>
      <w:r>
        <w:rPr>
          <w:rFonts w:ascii="Calibri" w:eastAsia="Calibri" w:hAnsi="Calibri" w:cs="Calibri"/>
          <w:noProof/>
        </w:rPr>
        <mc:AlternateContent>
          <mc:Choice Requires="wpg">
            <w:drawing>
              <wp:anchor distT="0" distB="0" distL="114300" distR="114300" simplePos="0" relativeHeight="25192550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6528" name="Group 4165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886" name="Rectangle 3188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1887" name="Rectangle 3188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1888" name="Rectangle 3188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247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6528" style="width:18.7031pt;height:264.21pt;position:absolute;mso-position-horizontal-relative:page;mso-position-horizontal:absolute;margin-left:662.928pt;mso-position-vertical-relative:page;margin-top:507.75pt;" coordsize="2375,33554">
                <v:rect id="Rectangle 3188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188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188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247 de 350 </w:t>
                        </w:r>
                      </w:p>
                    </w:txbxContent>
                  </v:textbox>
                </v:rect>
                <w10:wrap type="square"/>
              </v:group>
            </w:pict>
          </mc:Fallback>
        </mc:AlternateContent>
      </w:r>
      <w:r>
        <w:t>Artículo. 16. Actos públicos.</w:t>
      </w:r>
      <w:r>
        <w:rPr>
          <w:rFonts w:ascii="Times New Roman" w:eastAsia="Times New Roman" w:hAnsi="Times New Roman" w:cs="Times New Roman"/>
          <w:b w:val="0"/>
          <w:sz w:val="24"/>
        </w:rPr>
        <w:t xml:space="preserve"> </w:t>
      </w:r>
    </w:p>
    <w:p w:rsidR="00025683" w:rsidRDefault="007C2AAB">
      <w:pPr>
        <w:numPr>
          <w:ilvl w:val="0"/>
          <w:numId w:val="80"/>
        </w:numPr>
        <w:spacing w:after="222" w:line="358" w:lineRule="auto"/>
        <w:ind w:right="325"/>
      </w:pPr>
      <w:r>
        <w:t>Se considera acto público a los efectos de la presente ordenanza aquel que,</w:t>
      </w:r>
      <w:r>
        <w:t xml:space="preserve"> por número de asistentes, naturaleza del acto o zona donde se va a celebrar, suponga una ocupación del espacio público y requiera de una preparación previa o repercuta de forma especial en la limpieza viaria o recogida de residuos</w:t>
      </w:r>
      <w:r>
        <w:rPr>
          <w:rFonts w:ascii="Times New Roman" w:eastAsia="Times New Roman" w:hAnsi="Times New Roman" w:cs="Times New Roman"/>
          <w:sz w:val="24"/>
        </w:rPr>
        <w:t xml:space="preserve"> </w:t>
      </w:r>
    </w:p>
    <w:p w:rsidR="00025683" w:rsidRDefault="007C2AAB">
      <w:pPr>
        <w:numPr>
          <w:ilvl w:val="0"/>
          <w:numId w:val="80"/>
        </w:numPr>
        <w:spacing w:after="182" w:line="376" w:lineRule="auto"/>
        <w:ind w:right="325"/>
      </w:pPr>
      <w:r>
        <w:t>Quienes organicen los a</w:t>
      </w:r>
      <w:r>
        <w:t xml:space="preserve">ctos públicos deberán adoptar las medidas necesarias para garantizar que antes, durante y después de dichos actos no se ensucie el espacio público. </w:t>
      </w:r>
    </w:p>
    <w:p w:rsidR="00025683" w:rsidRDefault="007C2AAB">
      <w:pPr>
        <w:numPr>
          <w:ilvl w:val="0"/>
          <w:numId w:val="80"/>
        </w:numPr>
        <w:spacing w:after="167" w:line="358" w:lineRule="auto"/>
        <w:ind w:right="325"/>
      </w:pPr>
      <w:r>
        <w:t>En cualquier acto con carácter multitudinario que tenga la consideración de espectáculo público o actividad</w:t>
      </w:r>
      <w:r>
        <w:t xml:space="preserve"> recreativa los organizadores instalarán aseos portátiles o sanitarios durante el evento en cantidad suficiente. Deberán disponer de tanque hermético de retención con capacidad suficiente para el uso previsto con el fin de que no existan fugas en la zona d</w:t>
      </w:r>
      <w:r>
        <w:t>e instalación, así como lavamanos de agua corriente con todos los consumibles. Serán responsables, asimismo, de su limpieza y mantenimiento en todo momento.</w:t>
      </w:r>
      <w:r>
        <w:rPr>
          <w:rFonts w:ascii="Times New Roman" w:eastAsia="Times New Roman" w:hAnsi="Times New Roman" w:cs="Times New Roman"/>
          <w:sz w:val="24"/>
        </w:rPr>
        <w:t xml:space="preserve"> </w:t>
      </w:r>
    </w:p>
    <w:p w:rsidR="00025683" w:rsidRDefault="007C2AAB">
      <w:pPr>
        <w:numPr>
          <w:ilvl w:val="0"/>
          <w:numId w:val="80"/>
        </w:numPr>
        <w:spacing w:line="367" w:lineRule="auto"/>
        <w:ind w:right="325"/>
      </w:pPr>
      <w:r>
        <w:t>La instalación de los sanitarios se realizará con una antelación suficiente al inicio de la activi</w:t>
      </w:r>
      <w:r>
        <w:t xml:space="preserve">dad con el fin de no interferir en el montaje de las instalaciones precisadas. La retirada se efectuará a la terminación de los eventos programados. </w:t>
      </w:r>
    </w:p>
    <w:p w:rsidR="00025683" w:rsidRDefault="007C2AAB">
      <w:pPr>
        <w:numPr>
          <w:ilvl w:val="0"/>
          <w:numId w:val="80"/>
        </w:numPr>
        <w:spacing w:line="358" w:lineRule="auto"/>
        <w:ind w:right="325"/>
      </w:pPr>
      <w:r>
        <w:t>Quienes organicen actos públicos están en la obligación de comunicar al Ayuntamiento, con 30 días naturale</w:t>
      </w:r>
      <w:r>
        <w:t>s de antelación, su celebración. A estos efectos deberán presentar una memoria en la que deberá constar la siguiente información: lugar, recorrido, si lo hubiese y horario del acto a celebrar, así como las medidas adoptadas para minimizar los impactos deri</w:t>
      </w:r>
      <w:r>
        <w:t>vados de la generación de residuos y de la limpieza de la zona afectada.</w:t>
      </w:r>
      <w:r>
        <w:rPr>
          <w:rFonts w:ascii="Times New Roman" w:eastAsia="Times New Roman" w:hAnsi="Times New Roman" w:cs="Times New Roman"/>
          <w:sz w:val="24"/>
        </w:rPr>
        <w:t xml:space="preserve"> </w:t>
      </w:r>
    </w:p>
    <w:p w:rsidR="00025683" w:rsidRDefault="007C2AAB">
      <w:pPr>
        <w:spacing w:after="120" w:line="359" w:lineRule="auto"/>
        <w:ind w:left="14" w:right="337"/>
      </w:pPr>
      <w:r>
        <w:t>Las personas encargadas de la organización de actos estarán obligadas a retirar todos los residuos de cualquier naturaleza que se produzcan con motivo de la realización de dichos act</w:t>
      </w:r>
      <w:r>
        <w:t xml:space="preserve">os y a garantizar su correcta recogida separada y gestión posterior, incluso durante los procesos de montaje y desmontaje, salvo que se solicite su retirada por el Ayuntamiento. </w:t>
      </w:r>
    </w:p>
    <w:p w:rsidR="00025683" w:rsidRDefault="007C2AAB">
      <w:pPr>
        <w:spacing w:after="225" w:line="356" w:lineRule="auto"/>
        <w:ind w:left="14" w:right="325"/>
      </w:pPr>
      <w:r>
        <w:rPr>
          <w:rFonts w:ascii="Calibri" w:eastAsia="Calibri" w:hAnsi="Calibri" w:cs="Calibri"/>
          <w:noProof/>
        </w:rPr>
        <mc:AlternateContent>
          <mc:Choice Requires="wpg">
            <w:drawing>
              <wp:anchor distT="0" distB="0" distL="114300" distR="114300" simplePos="0" relativeHeight="25192652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6665" name="Group 4166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107" name="Rectangle 3210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2108" name="Rectangle 3210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2109" name="Rectangle 3210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248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6665" style="width:18.7031pt;height:264.21pt;position:absolute;mso-position-horizontal-relative:page;mso-position-horizontal:absolute;margin-left:662.928pt;mso-position-vertical-relative:page;margin-top:507.75pt;" coordsize="2375,33554">
                <v:rect id="Rectangle 3210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21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1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248 de 350 </w:t>
                        </w:r>
                      </w:p>
                    </w:txbxContent>
                  </v:textbox>
                </v:rect>
                <w10:wrap type="square"/>
              </v:group>
            </w:pict>
          </mc:Fallback>
        </mc:AlternateContent>
      </w:r>
      <w:r>
        <w:t>Si la retirada de los residuos se realiza por la persona organizadora del acto, se exigirá la constitución</w:t>
      </w:r>
      <w:r>
        <w:t xml:space="preserve"> de una fianza por el importe previsible de las operaciones extraordinarias de limpieza y recogida de residuos que deriven de la celebración de dicho acto. En aquellos casos en los que la retirada de los residuos se lleve a cabo por el Ayuntamiento, bien p</w:t>
      </w:r>
      <w:r>
        <w:t>orque así lo solicita la persona que en su caso organiza el acto, bien por incumplimiento de esta de la obligación contraída, procederá la incautación de la fianza, salvo que sea de aplicación una tasa en cuyo caso, se devengará esta.</w:t>
      </w:r>
      <w:r>
        <w:rPr>
          <w:rFonts w:ascii="Times New Roman" w:eastAsia="Times New Roman" w:hAnsi="Times New Roman" w:cs="Times New Roman"/>
          <w:sz w:val="24"/>
        </w:rPr>
        <w:t xml:space="preserve"> </w:t>
      </w:r>
    </w:p>
    <w:p w:rsidR="00025683" w:rsidRDefault="007C2AAB">
      <w:pPr>
        <w:numPr>
          <w:ilvl w:val="0"/>
          <w:numId w:val="80"/>
        </w:numPr>
        <w:spacing w:line="367" w:lineRule="auto"/>
        <w:ind w:right="325"/>
      </w:pPr>
      <w:r>
        <w:t xml:space="preserve">Quedan excluidos de </w:t>
      </w:r>
      <w:r>
        <w:t xml:space="preserve">lo establecido en los apartados anteriores, aquellos actos derivados del ejercicio de los derechos fundamentales recogidos en los Artículos 21 y 28.2 de la Constitución Española. </w:t>
      </w:r>
    </w:p>
    <w:p w:rsidR="00025683" w:rsidRDefault="007C2AAB">
      <w:pPr>
        <w:spacing w:after="132" w:line="354" w:lineRule="auto"/>
        <w:ind w:left="14" w:right="322"/>
      </w:pPr>
      <w:r>
        <w:t xml:space="preserve">Asimismo, el órgano municipal competente podrá, excepcionalmente, eximir de </w:t>
      </w:r>
      <w:r>
        <w:t>las obligaciones contenidas en los apartados anteriores al equipo organizador de aquellos actos en los que, aun previéndose una afluencia elevada de particulares, no se presuma una alta generación de residuos por la naturaleza del evento o en aquellos otro</w:t>
      </w:r>
      <w:r>
        <w:t>s en que se aprecie una especial relevancia institucional para el municipio de Candelaria.</w:t>
      </w:r>
      <w:r>
        <w:rPr>
          <w:rFonts w:ascii="Times New Roman" w:eastAsia="Times New Roman" w:hAnsi="Times New Roman" w:cs="Times New Roman"/>
          <w:sz w:val="24"/>
        </w:rPr>
        <w:t xml:space="preserve"> </w:t>
      </w:r>
    </w:p>
    <w:p w:rsidR="00025683" w:rsidRDefault="007C2AAB">
      <w:pPr>
        <w:spacing w:after="243" w:line="339" w:lineRule="auto"/>
        <w:ind w:left="14" w:right="200"/>
      </w:pPr>
      <w:r>
        <w:t>Dicha exención deberá formalizarse mediante resolución motivada del órgano competente, la cual justificará expresamente el cumplimiento de los criterios que la dete</w:t>
      </w:r>
      <w:r>
        <w:t>rminan.</w:t>
      </w:r>
      <w:r>
        <w:rPr>
          <w:rFonts w:ascii="Times New Roman" w:eastAsia="Times New Roman" w:hAnsi="Times New Roman" w:cs="Times New Roman"/>
          <w:sz w:val="24"/>
        </w:rPr>
        <w:t xml:space="preserve"> </w:t>
      </w:r>
    </w:p>
    <w:p w:rsidR="00025683" w:rsidRDefault="007C2AAB">
      <w:pPr>
        <w:spacing w:after="66"/>
        <w:ind w:left="0" w:right="197"/>
      </w:pPr>
      <w:r>
        <w:rPr>
          <w:b/>
        </w:rPr>
        <w:t>Capítulo IV. Limpieza de edificaciones</w:t>
      </w:r>
      <w:r>
        <w:rPr>
          <w:rFonts w:ascii="Times New Roman" w:eastAsia="Times New Roman" w:hAnsi="Times New Roman" w:cs="Times New Roman"/>
          <w:sz w:val="24"/>
        </w:rPr>
        <w:t xml:space="preserve"> </w:t>
      </w:r>
    </w:p>
    <w:p w:rsidR="00025683" w:rsidRDefault="007C2AAB">
      <w:pPr>
        <w:spacing w:after="112" w:line="259" w:lineRule="auto"/>
        <w:ind w:left="0" w:firstLine="0"/>
        <w:jc w:val="left"/>
      </w:pPr>
      <w:r>
        <w:rPr>
          <w:b/>
        </w:rPr>
        <w:t xml:space="preserve"> </w:t>
      </w:r>
    </w:p>
    <w:p w:rsidR="00025683" w:rsidRDefault="007C2AAB">
      <w:pPr>
        <w:spacing w:after="91"/>
        <w:ind w:left="0" w:right="197"/>
      </w:pPr>
      <w:r>
        <w:rPr>
          <w:b/>
        </w:rPr>
        <w:t>Artículo. 17.   Obligacioness   de la propiedad de los inmuebles.</w:t>
      </w:r>
      <w:r>
        <w:rPr>
          <w:rFonts w:ascii="Times New Roman" w:eastAsia="Times New Roman" w:hAnsi="Times New Roman" w:cs="Times New Roman"/>
          <w:sz w:val="24"/>
        </w:rPr>
        <w:t xml:space="preserve"> </w:t>
      </w:r>
    </w:p>
    <w:p w:rsidR="00025683" w:rsidRDefault="007C2AAB">
      <w:pPr>
        <w:spacing w:after="187" w:line="259" w:lineRule="auto"/>
        <w:ind w:left="0" w:firstLine="0"/>
        <w:jc w:val="left"/>
      </w:pPr>
      <w:r>
        <w:rPr>
          <w:b/>
        </w:rPr>
        <w:t xml:space="preserve"> </w:t>
      </w:r>
    </w:p>
    <w:p w:rsidR="00025683" w:rsidRDefault="007C2AAB">
      <w:pPr>
        <w:spacing w:after="140" w:line="259" w:lineRule="auto"/>
        <w:ind w:left="0" w:firstLine="0"/>
        <w:jc w:val="left"/>
      </w:pPr>
      <w:r>
        <w:t xml:space="preserve"> </w:t>
      </w:r>
    </w:p>
    <w:p w:rsidR="00025683" w:rsidRDefault="007C2AAB">
      <w:pPr>
        <w:numPr>
          <w:ilvl w:val="2"/>
          <w:numId w:val="81"/>
        </w:numPr>
        <w:ind w:right="200" w:hanging="360"/>
      </w:pPr>
      <w:r>
        <w:t>Mantenimiento de la limpieza de fachadas</w:t>
      </w:r>
      <w:r>
        <w:rPr>
          <w:rFonts w:ascii="Times New Roman" w:eastAsia="Times New Roman" w:hAnsi="Times New Roman" w:cs="Times New Roman"/>
          <w:sz w:val="24"/>
        </w:rPr>
        <w:t xml:space="preserve"> </w:t>
      </w:r>
    </w:p>
    <w:p w:rsidR="00025683" w:rsidRDefault="007C2AAB">
      <w:pPr>
        <w:spacing w:after="98" w:line="259" w:lineRule="auto"/>
        <w:ind w:left="0" w:firstLine="0"/>
        <w:jc w:val="left"/>
      </w:pPr>
      <w:r>
        <w:t xml:space="preserve"> </w:t>
      </w:r>
    </w:p>
    <w:p w:rsidR="00025683" w:rsidRDefault="007C2AAB">
      <w:pPr>
        <w:spacing w:after="199" w:line="359" w:lineRule="auto"/>
        <w:ind w:left="14" w:right="327"/>
      </w:pPr>
      <w:r>
        <w:t>Las personas propietarias de inmuebles o establecimientos, así como sus titulares o responsables, están obligadas a mantener limpias, en buen estado de conservación las fachadas, muros, cerramientos y, en general, todas las partes de los inmuebles que sean</w:t>
      </w:r>
      <w:r>
        <w:t xml:space="preserve"> visibles desde los espacios públicos. </w:t>
      </w:r>
    </w:p>
    <w:p w:rsidR="00025683" w:rsidRDefault="007C2AAB">
      <w:pPr>
        <w:numPr>
          <w:ilvl w:val="2"/>
          <w:numId w:val="81"/>
        </w:numPr>
        <w:ind w:right="200" w:hanging="360"/>
      </w:pPr>
      <w:r>
        <w:t>Eliminación de pintadas, grafitis y manchas vandálicas.</w:t>
      </w:r>
      <w:r>
        <w:rPr>
          <w:rFonts w:ascii="Times New Roman" w:eastAsia="Times New Roman" w:hAnsi="Times New Roman" w:cs="Times New Roman"/>
          <w:sz w:val="24"/>
        </w:rPr>
        <w:t xml:space="preserve"> </w:t>
      </w:r>
    </w:p>
    <w:p w:rsidR="00025683" w:rsidRDefault="007C2AAB">
      <w:pPr>
        <w:spacing w:after="98" w:line="259" w:lineRule="auto"/>
        <w:ind w:left="0" w:firstLine="0"/>
        <w:jc w:val="left"/>
      </w:pPr>
      <w:r>
        <w:t xml:space="preserve"> </w:t>
      </w:r>
    </w:p>
    <w:p w:rsidR="00025683" w:rsidRDefault="007C2AAB">
      <w:pPr>
        <w:spacing w:after="176" w:line="360" w:lineRule="auto"/>
        <w:ind w:left="14" w:right="322"/>
      </w:pPr>
      <w:r>
        <w:t xml:space="preserve">La restauración de la fachada a su estado inicial tras la realización de pintadas, grafitis o manchas vandálicas deberá completarse en un plazo máximo de un </w:t>
      </w:r>
      <w:r>
        <w:t xml:space="preserve">(1) mes desde que el propietario tenga conocimiento de su existencia. </w:t>
      </w:r>
    </w:p>
    <w:p w:rsidR="00025683" w:rsidRDefault="007C2AAB">
      <w:pPr>
        <w:spacing w:after="88"/>
        <w:ind w:left="14" w:right="200"/>
      </w:pPr>
      <w:r>
        <w:t>El procedimiento a seguir para la eliminación de estos actos vandálicos será el siguiente:</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1"/>
          <w:numId w:val="80"/>
        </w:numPr>
        <w:spacing w:after="177"/>
        <w:ind w:right="200" w:hanging="360"/>
      </w:pPr>
      <w:r>
        <w:t>Obligación de notificación.</w:t>
      </w:r>
      <w:r>
        <w:rPr>
          <w:rFonts w:ascii="Times New Roman" w:eastAsia="Times New Roman" w:hAnsi="Times New Roman" w:cs="Times New Roman"/>
          <w:sz w:val="24"/>
        </w:rPr>
        <w:t xml:space="preserve"> </w:t>
      </w:r>
    </w:p>
    <w:p w:rsidR="00025683" w:rsidRDefault="007C2AAB">
      <w:pPr>
        <w:spacing w:after="198" w:line="361" w:lineRule="auto"/>
        <w:ind w:left="14" w:right="200"/>
      </w:pPr>
      <w:r>
        <w:t xml:space="preserve">El propietario del inmueble deberá notificar al Ayuntamiento la existencia de la pintada o grafiti en un plazo máximo de quince (15) días desde que tenga conocimiento. </w:t>
      </w:r>
    </w:p>
    <w:p w:rsidR="00025683" w:rsidRDefault="007C2AAB">
      <w:pPr>
        <w:numPr>
          <w:ilvl w:val="1"/>
          <w:numId w:val="80"/>
        </w:numPr>
        <w:ind w:right="200" w:hanging="360"/>
      </w:pPr>
      <w:r>
        <w:rPr>
          <w:rFonts w:ascii="Calibri" w:eastAsia="Calibri" w:hAnsi="Calibri" w:cs="Calibri"/>
          <w:noProof/>
        </w:rPr>
        <mc:AlternateContent>
          <mc:Choice Requires="wpg">
            <w:drawing>
              <wp:anchor distT="0" distB="0" distL="114300" distR="114300" simplePos="0" relativeHeight="25192755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6824" name="Group 4168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336" name="Rectangle 3233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2337" name="Rectangle 3233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2338" name="Rectangle 3233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249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6824" style="width:18.7031pt;height:264.21pt;position:absolute;mso-position-horizontal-relative:page;mso-position-horizontal:absolute;margin-left:662.928pt;mso-position-vertical-relative:page;margin-top:507.75pt;" coordsize="2375,33554">
                <v:rect id="Rectangle 3233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233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33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249 de 350 </w:t>
                        </w:r>
                      </w:p>
                    </w:txbxContent>
                  </v:textbox>
                </v:rect>
                <w10:wrap type="square"/>
              </v:group>
            </w:pict>
          </mc:Fallback>
        </mc:AlternateContent>
      </w:r>
      <w:r>
        <w:t>Identificación del infractor.</w:t>
      </w:r>
      <w:r>
        <w:rPr>
          <w:rFonts w:ascii="Times New Roman" w:eastAsia="Times New Roman" w:hAnsi="Times New Roman" w:cs="Times New Roman"/>
          <w:sz w:val="24"/>
        </w:rPr>
        <w:t xml:space="preserve"> </w:t>
      </w:r>
    </w:p>
    <w:p w:rsidR="00025683" w:rsidRDefault="007C2AAB">
      <w:pPr>
        <w:spacing w:after="100" w:line="259" w:lineRule="auto"/>
        <w:ind w:left="0" w:firstLine="0"/>
        <w:jc w:val="left"/>
      </w:pPr>
      <w:r>
        <w:t xml:space="preserve"> </w:t>
      </w:r>
    </w:p>
    <w:p w:rsidR="00025683" w:rsidRDefault="007C2AAB">
      <w:pPr>
        <w:spacing w:after="198" w:line="358" w:lineRule="auto"/>
        <w:ind w:left="14" w:right="264"/>
      </w:pPr>
      <w:r>
        <w:t>Si las autoridades municipales logran identificar al sujeto responsable d</w:t>
      </w:r>
      <w:r>
        <w:t>e la actividad vandálica, el Ayuntamiento procederá a la limpieza de la fachada afectada a través de la empresa concesionaria del Servicio Municipal de Limpieza. Una vez realizada la limpieza, el coste íntegro de la actuación será repercutido al infractor,</w:t>
      </w:r>
      <w:r>
        <w:t xml:space="preserve"> previa audiencia y tras el período de alegaciones al que tiene derecho. </w:t>
      </w:r>
    </w:p>
    <w:p w:rsidR="00025683" w:rsidRDefault="007C2AAB">
      <w:pPr>
        <w:numPr>
          <w:ilvl w:val="1"/>
          <w:numId w:val="80"/>
        </w:numPr>
        <w:ind w:right="200" w:hanging="360"/>
      </w:pPr>
      <w:r>
        <w:t>No identificación del infractor.</w:t>
      </w:r>
      <w:r>
        <w:rPr>
          <w:rFonts w:ascii="Times New Roman" w:eastAsia="Times New Roman" w:hAnsi="Times New Roman" w:cs="Times New Roman"/>
          <w:sz w:val="24"/>
        </w:rPr>
        <w:t xml:space="preserve"> </w:t>
      </w:r>
    </w:p>
    <w:p w:rsidR="00025683" w:rsidRDefault="007C2AAB">
      <w:pPr>
        <w:spacing w:after="98" w:line="259" w:lineRule="auto"/>
        <w:ind w:left="0" w:firstLine="0"/>
        <w:jc w:val="left"/>
      </w:pPr>
      <w:r>
        <w:t xml:space="preserve"> </w:t>
      </w:r>
    </w:p>
    <w:p w:rsidR="00025683" w:rsidRDefault="007C2AAB">
      <w:pPr>
        <w:spacing w:after="96" w:line="353" w:lineRule="auto"/>
        <w:ind w:left="14" w:right="318"/>
      </w:pPr>
      <w:r>
        <w:t>En caso de que el sujeto responsable del acto vandálico no sea identificado, la responsabilidad de restaurar la fachada a su estado inicial, utili</w:t>
      </w:r>
      <w:r>
        <w:t>zando los materiales y técnicas adecuadas para su limpieza o repintado, recaerá directamente sobre el propietario del inmueble, quien deberá cumplir con el plazo máximo establecido en el primer párrafo de este punto (un mes).</w:t>
      </w:r>
      <w:r>
        <w:rPr>
          <w:rFonts w:ascii="Times New Roman" w:eastAsia="Times New Roman" w:hAnsi="Times New Roman" w:cs="Times New Roman"/>
          <w:sz w:val="24"/>
        </w:rPr>
        <w:t xml:space="preserve"> </w:t>
      </w:r>
    </w:p>
    <w:p w:rsidR="00025683" w:rsidRDefault="007C2AAB">
      <w:pPr>
        <w:spacing w:after="151" w:line="259" w:lineRule="auto"/>
        <w:ind w:left="0" w:firstLine="0"/>
        <w:jc w:val="left"/>
      </w:pPr>
      <w:r>
        <w:t xml:space="preserve"> </w:t>
      </w:r>
    </w:p>
    <w:p w:rsidR="00025683" w:rsidRDefault="007C2AAB">
      <w:pPr>
        <w:spacing w:after="140" w:line="259" w:lineRule="auto"/>
        <w:ind w:left="0" w:firstLine="0"/>
        <w:jc w:val="left"/>
      </w:pPr>
      <w:r>
        <w:t xml:space="preserve"> </w:t>
      </w:r>
    </w:p>
    <w:p w:rsidR="00025683" w:rsidRDefault="007C2AAB">
      <w:pPr>
        <w:ind w:left="360" w:right="200"/>
      </w:pPr>
      <w:r>
        <w:rPr>
          <w:rFonts w:ascii="Calibri" w:eastAsia="Calibri" w:hAnsi="Calibri" w:cs="Calibri"/>
          <w:sz w:val="24"/>
        </w:rPr>
        <w:t>3)</w:t>
      </w:r>
      <w:r>
        <w:rPr>
          <w:sz w:val="24"/>
        </w:rPr>
        <w:t xml:space="preserve"> </w:t>
      </w:r>
      <w:r>
        <w:t xml:space="preserve">Limpieza de Elementos </w:t>
      </w:r>
      <w:r>
        <w:t>Comerciales.</w:t>
      </w:r>
      <w:r>
        <w:rPr>
          <w:rFonts w:ascii="Times New Roman" w:eastAsia="Times New Roman" w:hAnsi="Times New Roman" w:cs="Times New Roman"/>
          <w:sz w:val="24"/>
        </w:rPr>
        <w:t xml:space="preserve"> </w:t>
      </w:r>
    </w:p>
    <w:p w:rsidR="00025683" w:rsidRDefault="007C2AAB">
      <w:pPr>
        <w:spacing w:after="98" w:line="259" w:lineRule="auto"/>
        <w:ind w:left="0" w:firstLine="0"/>
        <w:jc w:val="left"/>
      </w:pPr>
      <w:r>
        <w:t xml:space="preserve"> </w:t>
      </w:r>
    </w:p>
    <w:p w:rsidR="00025683" w:rsidRDefault="007C2AAB">
      <w:pPr>
        <w:spacing w:after="138" w:line="352" w:lineRule="auto"/>
        <w:ind w:left="14" w:right="200"/>
      </w:pPr>
      <w:r>
        <w:t>En los establecimientos comerciales o similares, cuando se realice la limpieza de elementos como escaparates, puertas, marquesinas, toldos o cortinas, se adoptarán precauciones para no causar molestias ni ensuciar el espacio público. Si est</w:t>
      </w:r>
      <w:r>
        <w:t>e fuera ensuciado, quienes tengan la titularidad del establecimiento están sujetos a su limpieza y a la retirada de los residuos generados lo antes posible.</w:t>
      </w:r>
      <w:r>
        <w:rPr>
          <w:rFonts w:ascii="Times New Roman" w:eastAsia="Times New Roman" w:hAnsi="Times New Roman" w:cs="Times New Roman"/>
          <w:sz w:val="24"/>
        </w:rPr>
        <w:t xml:space="preserve"> </w:t>
      </w:r>
    </w:p>
    <w:p w:rsidR="00025683" w:rsidRDefault="007C2AAB">
      <w:pPr>
        <w:spacing w:after="143" w:line="259" w:lineRule="auto"/>
        <w:ind w:left="0" w:firstLine="0"/>
        <w:jc w:val="left"/>
      </w:pPr>
      <w:r>
        <w:rPr>
          <w:b/>
        </w:rPr>
        <w:t xml:space="preserve"> </w:t>
      </w:r>
    </w:p>
    <w:p w:rsidR="00025683" w:rsidRDefault="007C2AAB">
      <w:pPr>
        <w:spacing w:after="155" w:line="259" w:lineRule="auto"/>
        <w:ind w:left="0" w:firstLine="0"/>
        <w:jc w:val="left"/>
      </w:pPr>
      <w:r>
        <w:rPr>
          <w:b/>
        </w:rPr>
        <w:t xml:space="preserve"> </w:t>
      </w:r>
    </w:p>
    <w:p w:rsidR="00025683" w:rsidRDefault="007C2AAB">
      <w:pPr>
        <w:pStyle w:val="Ttulo2"/>
        <w:spacing w:after="88"/>
        <w:ind w:left="0" w:right="197"/>
      </w:pPr>
      <w:r>
        <w:t>Artículo. 18.  Normas   específicas para playas    y litoral</w:t>
      </w:r>
      <w:r>
        <w:rPr>
          <w:rFonts w:ascii="Times New Roman" w:eastAsia="Times New Roman" w:hAnsi="Times New Roman" w:cs="Times New Roman"/>
          <w:b w:val="0"/>
          <w:sz w:val="24"/>
        </w:rPr>
        <w:t xml:space="preserve"> </w:t>
      </w:r>
    </w:p>
    <w:p w:rsidR="00025683" w:rsidRDefault="007C2AAB">
      <w:pPr>
        <w:spacing w:after="114" w:line="259" w:lineRule="auto"/>
        <w:ind w:left="0" w:firstLine="0"/>
        <w:jc w:val="left"/>
      </w:pPr>
      <w:r>
        <w:rPr>
          <w:b/>
        </w:rPr>
        <w:t xml:space="preserve"> </w:t>
      </w:r>
    </w:p>
    <w:p w:rsidR="00025683" w:rsidRDefault="007C2AAB">
      <w:pPr>
        <w:spacing w:after="90"/>
        <w:ind w:left="0" w:right="197"/>
      </w:pPr>
      <w:r>
        <w:rPr>
          <w:b/>
        </w:rPr>
        <w:t>Artículo 17. Normas específica</w:t>
      </w:r>
      <w:r>
        <w:rPr>
          <w:b/>
        </w:rPr>
        <w:t>s para playas y zonas litorales.</w:t>
      </w:r>
      <w:r>
        <w:rPr>
          <w:rFonts w:ascii="Times New Roman" w:eastAsia="Times New Roman" w:hAnsi="Times New Roman" w:cs="Times New Roman"/>
          <w:b/>
          <w:sz w:val="24"/>
        </w:rPr>
        <w:t xml:space="preserve"> </w:t>
      </w:r>
    </w:p>
    <w:p w:rsidR="00025683" w:rsidRDefault="007C2AAB">
      <w:pPr>
        <w:spacing w:after="100" w:line="259" w:lineRule="auto"/>
        <w:ind w:left="0" w:firstLine="0"/>
        <w:jc w:val="left"/>
      </w:pPr>
      <w:r>
        <w:t xml:space="preserve"> </w:t>
      </w:r>
    </w:p>
    <w:p w:rsidR="00025683" w:rsidRDefault="007C2AAB">
      <w:pPr>
        <w:spacing w:after="97" w:line="352" w:lineRule="auto"/>
        <w:ind w:left="14" w:right="336"/>
      </w:pPr>
      <w:r>
        <w:t xml:space="preserve">Las normas de este artículo se aplican al litoral, las playas, sus accesos y paseos marítimos, buscando garantizar la limpieza e higiene en estas zonas de dominio público marítimoterrestre, de conformidad con las </w:t>
      </w:r>
      <w:r>
        <w:t>competencias delegadas por la Ley 22/1988, de 28 de julio, de Costas.</w:t>
      </w:r>
      <w:r>
        <w:rPr>
          <w:rFonts w:ascii="Times New Roman" w:eastAsia="Times New Roman" w:hAnsi="Times New Roman" w:cs="Times New Roman"/>
          <w:sz w:val="24"/>
        </w:rPr>
        <w:t xml:space="preserve"> </w:t>
      </w:r>
    </w:p>
    <w:p w:rsidR="00025683" w:rsidRDefault="007C2AAB">
      <w:pPr>
        <w:spacing w:after="151" w:line="259" w:lineRule="auto"/>
        <w:ind w:left="0" w:firstLine="0"/>
        <w:jc w:val="left"/>
      </w:pPr>
      <w:r>
        <w:t xml:space="preserve"> </w:t>
      </w:r>
    </w:p>
    <w:p w:rsidR="00025683" w:rsidRDefault="007C2AAB">
      <w:pPr>
        <w:spacing w:after="139" w:line="259" w:lineRule="auto"/>
        <w:ind w:left="0" w:firstLine="0"/>
        <w:jc w:val="left"/>
      </w:pPr>
      <w:r>
        <w:rPr>
          <w:rFonts w:ascii="Calibri" w:eastAsia="Calibri" w:hAnsi="Calibri" w:cs="Calibri"/>
          <w:noProof/>
        </w:rPr>
        <mc:AlternateContent>
          <mc:Choice Requires="wpg">
            <w:drawing>
              <wp:anchor distT="0" distB="0" distL="114300" distR="114300" simplePos="0" relativeHeight="25192857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6780" name="Group 4167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636" name="Rectangle 3263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2637" name="Rectangle 3263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2638" name="Rectangle 3263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250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6780" style="width:18.7031pt;height:264.21pt;position:absolute;mso-position-horizontal-relative:page;mso-position-horizontal:absolute;margin-left:662.928pt;mso-position-vertical-relative:page;margin-top:507.75pt;" coordsize="2375,33554">
                <v:rect id="Rectangle 3263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263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63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250 de 350 </w:t>
                        </w:r>
                      </w:p>
                    </w:txbxContent>
                  </v:textbox>
                </v:rect>
                <w10:wrap type="square"/>
              </v:group>
            </w:pict>
          </mc:Fallback>
        </mc:AlternateContent>
      </w:r>
      <w:r>
        <w:t xml:space="preserve"> </w:t>
      </w:r>
    </w:p>
    <w:p w:rsidR="00025683" w:rsidRDefault="007C2AAB">
      <w:pPr>
        <w:ind w:left="362" w:right="200"/>
      </w:pPr>
      <w:r>
        <w:rPr>
          <w:rFonts w:ascii="Calibri" w:eastAsia="Calibri" w:hAnsi="Calibri" w:cs="Calibri"/>
          <w:sz w:val="24"/>
        </w:rPr>
        <w:t>1.</w:t>
      </w:r>
      <w:r>
        <w:rPr>
          <w:sz w:val="24"/>
        </w:rPr>
        <w:t xml:space="preserve"> </w:t>
      </w:r>
      <w:r>
        <w:t>Gestión municipal de limpieza y residuos (obligaciones del Ayuntamiento).</w:t>
      </w:r>
      <w:r>
        <w:rPr>
          <w:rFonts w:ascii="Times New Roman" w:eastAsia="Times New Roman" w:hAnsi="Times New Roman" w:cs="Times New Roman"/>
          <w:sz w:val="24"/>
        </w:rPr>
        <w:t xml:space="preserve"> </w:t>
      </w:r>
    </w:p>
    <w:p w:rsidR="00025683" w:rsidRDefault="007C2AAB">
      <w:pPr>
        <w:spacing w:after="98" w:line="259" w:lineRule="auto"/>
        <w:ind w:left="0" w:firstLine="0"/>
        <w:jc w:val="left"/>
      </w:pPr>
      <w:r>
        <w:t xml:space="preserve"> </w:t>
      </w:r>
    </w:p>
    <w:p w:rsidR="00025683" w:rsidRDefault="007C2AAB">
      <w:pPr>
        <w:spacing w:after="198" w:line="361" w:lineRule="auto"/>
        <w:ind w:left="14" w:right="200"/>
      </w:pPr>
      <w:r>
        <w:t>El Ayuntamiento, a través de la concejalía competente y la empresa concesionari</w:t>
      </w:r>
      <w:r>
        <w:t xml:space="preserve">a, asumirá obligaciones para garantizar orden y calidad en el espacio litoral: </w:t>
      </w:r>
    </w:p>
    <w:p w:rsidR="00025683" w:rsidRDefault="007C2AAB">
      <w:pPr>
        <w:numPr>
          <w:ilvl w:val="0"/>
          <w:numId w:val="82"/>
        </w:numPr>
        <w:spacing w:after="170" w:line="358" w:lineRule="auto"/>
        <w:ind w:right="323"/>
      </w:pPr>
      <w:r>
        <w:t xml:space="preserve">Servicio de limpieza: Establecer la frecuencia y medios necesarios (maquinaria, personal) para la limpieza de las playas. Los trabajos incluirán el cribado y la limpieza de la </w:t>
      </w:r>
      <w:r>
        <w:t>arena para la eliminación de residuos, así como la limpieza de la zona de baño, paseos marítimos y zonas de playa.</w:t>
      </w:r>
      <w:r>
        <w:rPr>
          <w:rFonts w:ascii="Times New Roman" w:eastAsia="Times New Roman" w:hAnsi="Times New Roman" w:cs="Times New Roman"/>
          <w:sz w:val="24"/>
        </w:rPr>
        <w:t xml:space="preserve"> </w:t>
      </w:r>
    </w:p>
    <w:p w:rsidR="00025683" w:rsidRDefault="007C2AAB">
      <w:pPr>
        <w:numPr>
          <w:ilvl w:val="0"/>
          <w:numId w:val="82"/>
        </w:numPr>
        <w:spacing w:after="171" w:line="357" w:lineRule="auto"/>
        <w:ind w:right="323"/>
      </w:pPr>
      <w:r>
        <w:t>Gestión de residuos: Instalar y mantener un número suficiente de papeleras y contenedores en la playa y en sus accesos, priorizando la difer</w:t>
      </w:r>
      <w:r>
        <w:t>enciación para la recogida selectiva. La recogida se establecerá con la frecuencia adecuada, intensificándose en temporada alta.</w:t>
      </w:r>
      <w:r>
        <w:rPr>
          <w:rFonts w:ascii="Times New Roman" w:eastAsia="Times New Roman" w:hAnsi="Times New Roman" w:cs="Times New Roman"/>
          <w:sz w:val="24"/>
        </w:rPr>
        <w:t xml:space="preserve"> </w:t>
      </w:r>
    </w:p>
    <w:p w:rsidR="00025683" w:rsidRDefault="007C2AAB">
      <w:pPr>
        <w:numPr>
          <w:ilvl w:val="0"/>
          <w:numId w:val="82"/>
        </w:numPr>
        <w:spacing w:line="375" w:lineRule="auto"/>
        <w:ind w:right="323"/>
      </w:pPr>
      <w:r>
        <w:t xml:space="preserve">Sensibilización: Realizar campañas de sensibilización ambiental para fomentar el uso correcto de los contenedores y evitar el </w:t>
      </w:r>
      <w:r>
        <w:t xml:space="preserve">abandono de residuos en la playa. </w:t>
      </w:r>
    </w:p>
    <w:p w:rsidR="00025683" w:rsidRDefault="007C2AAB">
      <w:pPr>
        <w:spacing w:after="153" w:line="259" w:lineRule="auto"/>
        <w:ind w:left="0" w:firstLine="0"/>
        <w:jc w:val="left"/>
      </w:pPr>
      <w:r>
        <w:t xml:space="preserve"> </w:t>
      </w:r>
    </w:p>
    <w:p w:rsidR="00025683" w:rsidRDefault="007C2AAB">
      <w:pPr>
        <w:spacing w:after="139" w:line="259" w:lineRule="auto"/>
        <w:ind w:left="0" w:firstLine="0"/>
        <w:jc w:val="left"/>
      </w:pPr>
      <w:r>
        <w:t xml:space="preserve"> </w:t>
      </w:r>
    </w:p>
    <w:p w:rsidR="00025683" w:rsidRDefault="007C2AAB">
      <w:pPr>
        <w:ind w:left="362" w:right="200"/>
      </w:pPr>
      <w:r>
        <w:rPr>
          <w:rFonts w:ascii="Calibri" w:eastAsia="Calibri" w:hAnsi="Calibri" w:cs="Calibri"/>
          <w:sz w:val="24"/>
        </w:rPr>
        <w:t>2.</w:t>
      </w:r>
      <w:r>
        <w:rPr>
          <w:sz w:val="24"/>
        </w:rPr>
        <w:t xml:space="preserve"> </w:t>
      </w:r>
      <w:r>
        <w:t>Obligaciones y prohibiciones de los usuarios (residuos e higiene).</w:t>
      </w:r>
      <w:r>
        <w:rPr>
          <w:rFonts w:ascii="Times New Roman" w:eastAsia="Times New Roman" w:hAnsi="Times New Roman" w:cs="Times New Roman"/>
          <w:sz w:val="24"/>
        </w:rPr>
        <w:t xml:space="preserve"> </w:t>
      </w:r>
    </w:p>
    <w:p w:rsidR="00025683" w:rsidRDefault="007C2AAB">
      <w:pPr>
        <w:spacing w:after="112" w:line="259" w:lineRule="auto"/>
        <w:ind w:left="0" w:firstLine="0"/>
        <w:jc w:val="left"/>
      </w:pPr>
      <w:r>
        <w:t xml:space="preserve"> </w:t>
      </w:r>
    </w:p>
    <w:p w:rsidR="00025683" w:rsidRDefault="007C2AAB">
      <w:pPr>
        <w:spacing w:after="90"/>
        <w:ind w:left="14" w:right="200"/>
      </w:pPr>
      <w:r>
        <w:t>Los usuarios del litoral y las playas están sujetos a las siguientes normas:</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0"/>
          <w:numId w:val="83"/>
        </w:numPr>
        <w:spacing w:after="170" w:line="358" w:lineRule="auto"/>
        <w:ind w:hanging="10"/>
        <w:jc w:val="left"/>
      </w:pPr>
      <w:r>
        <w:t>Prohibición de verter residuos: Queda expresamente prohibido arr</w:t>
      </w:r>
      <w:r>
        <w:t>ojar, depositar o abandonar cualquier tipo de residuo (basuras, colillas, plásticos, envases, restos de alimentos, etc.) en la arena, el mar, zona de duchas o fuera de los recipientes destinados a tal fin.</w:t>
      </w:r>
      <w:r>
        <w:rPr>
          <w:rFonts w:ascii="Times New Roman" w:eastAsia="Times New Roman" w:hAnsi="Times New Roman" w:cs="Times New Roman"/>
          <w:sz w:val="24"/>
        </w:rPr>
        <w:t xml:space="preserve"> </w:t>
      </w:r>
    </w:p>
    <w:p w:rsidR="00025683" w:rsidRDefault="007C2AAB">
      <w:pPr>
        <w:numPr>
          <w:ilvl w:val="0"/>
          <w:numId w:val="83"/>
        </w:numPr>
        <w:spacing w:after="224" w:line="356" w:lineRule="auto"/>
        <w:ind w:hanging="10"/>
        <w:jc w:val="left"/>
      </w:pPr>
      <w:r>
        <w:t>Uso obligatorio de recipientes: Los usuarios tienen la obligación de utilizar las papeleras y contenedores instalados para depositar la basura generada, según su separación en fracciones.</w:t>
      </w:r>
      <w:r>
        <w:rPr>
          <w:rFonts w:ascii="Times New Roman" w:eastAsia="Times New Roman" w:hAnsi="Times New Roman" w:cs="Times New Roman"/>
          <w:sz w:val="24"/>
        </w:rPr>
        <w:t xml:space="preserve"> </w:t>
      </w:r>
    </w:p>
    <w:p w:rsidR="00025683" w:rsidRDefault="007C2AAB">
      <w:pPr>
        <w:numPr>
          <w:ilvl w:val="0"/>
          <w:numId w:val="83"/>
        </w:numPr>
        <w:spacing w:after="3" w:line="367" w:lineRule="auto"/>
        <w:ind w:hanging="10"/>
        <w:jc w:val="left"/>
      </w:pPr>
      <w:r>
        <w:t>Higiene y salubridad: Se prohíbe la realización de necesidades fisi</w:t>
      </w:r>
      <w:r>
        <w:t xml:space="preserve">ológicas (micción, defecación o escupir) en la playa, en la arena, en el agua de mar o en las zonas adyacentes a la misma. </w:t>
      </w:r>
    </w:p>
    <w:p w:rsidR="00025683" w:rsidRDefault="007C2AAB">
      <w:pPr>
        <w:spacing w:after="151" w:line="259" w:lineRule="auto"/>
        <w:ind w:left="0" w:firstLine="0"/>
        <w:jc w:val="left"/>
      </w:pPr>
      <w:r>
        <w:t xml:space="preserve"> </w:t>
      </w:r>
    </w:p>
    <w:p w:rsidR="00025683" w:rsidRDefault="007C2AAB">
      <w:pPr>
        <w:spacing w:after="138" w:line="259" w:lineRule="auto"/>
        <w:ind w:left="0" w:firstLine="0"/>
        <w:jc w:val="left"/>
      </w:pPr>
      <w:r>
        <w:t xml:space="preserve"> </w:t>
      </w:r>
    </w:p>
    <w:p w:rsidR="00025683" w:rsidRDefault="007C2AAB">
      <w:pPr>
        <w:ind w:left="362" w:right="200"/>
      </w:pPr>
      <w:r>
        <w:rPr>
          <w:rFonts w:ascii="Calibri" w:eastAsia="Calibri" w:hAnsi="Calibri" w:cs="Calibri"/>
          <w:sz w:val="24"/>
        </w:rPr>
        <w:t>3.</w:t>
      </w:r>
      <w:r>
        <w:rPr>
          <w:sz w:val="24"/>
        </w:rPr>
        <w:t xml:space="preserve"> </w:t>
      </w:r>
      <w:r>
        <w:t>Animales domésticos.</w:t>
      </w:r>
      <w:r>
        <w:rPr>
          <w:rFonts w:ascii="Times New Roman" w:eastAsia="Times New Roman" w:hAnsi="Times New Roman" w:cs="Times New Roman"/>
          <w:sz w:val="24"/>
        </w:rPr>
        <w:t xml:space="preserve"> </w:t>
      </w:r>
    </w:p>
    <w:p w:rsidR="00025683" w:rsidRDefault="007C2AAB">
      <w:pPr>
        <w:spacing w:after="98" w:line="259" w:lineRule="auto"/>
        <w:ind w:left="0" w:firstLine="0"/>
        <w:jc w:val="left"/>
      </w:pPr>
      <w:r>
        <w:t xml:space="preserve"> </w:t>
      </w:r>
    </w:p>
    <w:p w:rsidR="00025683" w:rsidRDefault="007C2AAB">
      <w:pPr>
        <w:spacing w:after="202" w:line="358" w:lineRule="auto"/>
        <w:ind w:left="14" w:right="331"/>
      </w:pPr>
      <w:r>
        <w:rPr>
          <w:rFonts w:ascii="Calibri" w:eastAsia="Calibri" w:hAnsi="Calibri" w:cs="Calibri"/>
          <w:noProof/>
        </w:rPr>
        <mc:AlternateContent>
          <mc:Choice Requires="wpg">
            <w:drawing>
              <wp:anchor distT="0" distB="0" distL="114300" distR="114300" simplePos="0" relativeHeight="25192960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6016" name="Group 4160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882" name="Rectangle 3288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2883" name="Rectangle 3288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2884" name="Rectangle 3288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251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6016" style="width:18.7031pt;height:264.21pt;position:absolute;mso-position-horizontal-relative:page;mso-position-horizontal:absolute;margin-left:662.928pt;mso-position-vertical-relative:page;margin-top:507.75pt;" coordsize="2375,33554">
                <v:rect id="Rectangle 3288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288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288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251 de 350 </w:t>
                        </w:r>
                      </w:p>
                    </w:txbxContent>
                  </v:textbox>
                </v:rect>
                <w10:wrap type="square"/>
              </v:group>
            </w:pict>
          </mc:Fallback>
        </mc:AlternateContent>
      </w:r>
      <w:r>
        <w:t xml:space="preserve">La presencia de animales domésticos en las playas se regirá, en caso de haberla, por la normativa específica de ordenanzas de tenencia de animales, pero quedando siempre la persona responsable obligada a: </w:t>
      </w:r>
    </w:p>
    <w:p w:rsidR="00025683" w:rsidRDefault="007C2AAB">
      <w:pPr>
        <w:numPr>
          <w:ilvl w:val="0"/>
          <w:numId w:val="84"/>
        </w:numPr>
        <w:ind w:right="200"/>
      </w:pPr>
      <w:r>
        <w:t xml:space="preserve">Recoger y depositar en los recipientes adecuados </w:t>
      </w:r>
      <w:r>
        <w:t>los excrementos generados por el animal.</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t xml:space="preserve"> </w:t>
      </w:r>
    </w:p>
    <w:p w:rsidR="00025683" w:rsidRDefault="007C2AAB">
      <w:pPr>
        <w:numPr>
          <w:ilvl w:val="0"/>
          <w:numId w:val="84"/>
        </w:numPr>
        <w:spacing w:after="231" w:line="376" w:lineRule="auto"/>
        <w:ind w:right="200"/>
      </w:pPr>
      <w:r>
        <w:t xml:space="preserve">Tener a los animales permanentemente controlados para evitar que ensucie o altere la tranquilidad y seguridad del resto de usuarios. </w:t>
      </w:r>
    </w:p>
    <w:p w:rsidR="00025683" w:rsidRDefault="007C2AAB">
      <w:pPr>
        <w:pStyle w:val="Ttulo3"/>
        <w:spacing w:after="224"/>
        <w:ind w:left="0" w:right="197"/>
      </w:pPr>
      <w:r>
        <w:t>TÍTULO II. Gestión de los residuos municipales</w:t>
      </w:r>
      <w:r>
        <w:rPr>
          <w:rFonts w:ascii="Times New Roman" w:eastAsia="Times New Roman" w:hAnsi="Times New Roman" w:cs="Times New Roman"/>
          <w:b w:val="0"/>
          <w:sz w:val="24"/>
        </w:rPr>
        <w:t xml:space="preserve"> </w:t>
      </w:r>
    </w:p>
    <w:p w:rsidR="00025683" w:rsidRDefault="007C2AAB">
      <w:pPr>
        <w:spacing w:after="12"/>
        <w:ind w:left="0" w:right="197"/>
      </w:pPr>
      <w:r>
        <w:rPr>
          <w:b/>
        </w:rPr>
        <w:t>Capítulo I. Régimen general de</w:t>
      </w:r>
      <w:r>
        <w:rPr>
          <w:b/>
        </w:rPr>
        <w:t xml:space="preserve"> los residuos municipales</w:t>
      </w:r>
      <w:r>
        <w:rPr>
          <w:rFonts w:ascii="Times New Roman" w:eastAsia="Times New Roman" w:hAnsi="Times New Roman" w:cs="Times New Roman"/>
          <w:sz w:val="24"/>
        </w:rPr>
        <w:t xml:space="preserve"> </w:t>
      </w:r>
    </w:p>
    <w:p w:rsidR="00025683" w:rsidRDefault="007C2AAB">
      <w:pPr>
        <w:spacing w:after="112" w:line="259" w:lineRule="auto"/>
        <w:ind w:left="0" w:firstLine="0"/>
        <w:jc w:val="left"/>
      </w:pPr>
      <w:r>
        <w:rPr>
          <w:b/>
        </w:rPr>
        <w:t xml:space="preserve"> </w:t>
      </w:r>
    </w:p>
    <w:p w:rsidR="00025683" w:rsidRDefault="007C2AAB">
      <w:pPr>
        <w:pStyle w:val="Ttulo2"/>
        <w:spacing w:after="170"/>
        <w:ind w:left="0" w:right="197"/>
      </w:pPr>
      <w:r>
        <w:t>Artículo.18.  Titularidad de  los  residuos.</w:t>
      </w:r>
      <w:r>
        <w:rPr>
          <w:rFonts w:ascii="Times New Roman" w:eastAsia="Times New Roman" w:hAnsi="Times New Roman" w:cs="Times New Roman"/>
          <w:b w:val="0"/>
          <w:sz w:val="24"/>
        </w:rPr>
        <w:t xml:space="preserve"> </w:t>
      </w:r>
    </w:p>
    <w:p w:rsidR="00025683" w:rsidRDefault="007C2AAB">
      <w:pPr>
        <w:numPr>
          <w:ilvl w:val="0"/>
          <w:numId w:val="85"/>
        </w:numPr>
        <w:spacing w:after="167" w:line="355" w:lineRule="auto"/>
        <w:ind w:right="326"/>
      </w:pPr>
      <w:r>
        <w:t>A todos los efectos, los residuos tendrán siempre la parte titular responsable, cualidad que corresponderá a la producción, parte poseedora o gestoría de los residuos</w:t>
      </w:r>
      <w:r>
        <w:rPr>
          <w:rFonts w:ascii="Times New Roman" w:eastAsia="Times New Roman" w:hAnsi="Times New Roman" w:cs="Times New Roman"/>
          <w:sz w:val="24"/>
        </w:rPr>
        <w:t xml:space="preserve"> </w:t>
      </w:r>
    </w:p>
    <w:p w:rsidR="00025683" w:rsidRDefault="007C2AAB">
      <w:pPr>
        <w:numPr>
          <w:ilvl w:val="0"/>
          <w:numId w:val="85"/>
        </w:numPr>
        <w:spacing w:after="84" w:line="368" w:lineRule="auto"/>
        <w:ind w:right="326"/>
      </w:pPr>
      <w:r>
        <w:t>Solo quedarán</w:t>
      </w:r>
      <w:r>
        <w:t xml:space="preserve"> exentas de responsabilidad administrativa quienes entreguen al Ayuntamiento los residuos para su gestión de conformidad con las prescripciones contenidas en esta ordenanza y demás normativa en materia de residuos, adquiriendo el Ayuntamiento en ese moment</w:t>
      </w:r>
      <w:r>
        <w:t>o la responsabilidad de la gestión de dichos residuos.</w:t>
      </w:r>
      <w:r>
        <w:rPr>
          <w:rFonts w:ascii="Times New Roman" w:eastAsia="Times New Roman" w:hAnsi="Times New Roman" w:cs="Times New Roman"/>
          <w:sz w:val="24"/>
        </w:rPr>
        <w:t xml:space="preserve"> </w:t>
      </w:r>
    </w:p>
    <w:p w:rsidR="00025683" w:rsidRDefault="007C2AAB">
      <w:pPr>
        <w:spacing w:after="253" w:line="358" w:lineRule="auto"/>
        <w:ind w:left="14" w:right="267"/>
      </w:pPr>
      <w:r>
        <w:t xml:space="preserve">Se exceptúan también de dicha responsabilidad quienes entreguen tales residuos a una persona física o jurídica que ostente la condición de gestor de </w:t>
      </w:r>
      <w:r>
        <w:t xml:space="preserve">residuos autorizado o registrado, el cual pasará a ostentar la responsabilidad de la gestión. </w:t>
      </w:r>
    </w:p>
    <w:p w:rsidR="00025683" w:rsidRDefault="007C2AAB">
      <w:pPr>
        <w:numPr>
          <w:ilvl w:val="0"/>
          <w:numId w:val="85"/>
        </w:numPr>
        <w:spacing w:after="144" w:line="358" w:lineRule="auto"/>
        <w:ind w:right="326"/>
      </w:pPr>
      <w:r>
        <w:t>Quienes entreguen y reciban residuos incumpliendo lo previsto en el párrafo anterior, responderán solidariamente por los perjuicios que pudieran producirse, inde</w:t>
      </w:r>
      <w:r>
        <w:t>pendientemente de las sanciones a que hubiese lugar.</w:t>
      </w:r>
      <w:r>
        <w:rPr>
          <w:rFonts w:ascii="Times New Roman" w:eastAsia="Times New Roman" w:hAnsi="Times New Roman" w:cs="Times New Roman"/>
          <w:sz w:val="24"/>
        </w:rPr>
        <w:t xml:space="preserve"> </w:t>
      </w:r>
    </w:p>
    <w:p w:rsidR="00025683" w:rsidRDefault="007C2AAB">
      <w:pPr>
        <w:pStyle w:val="Ttulo2"/>
        <w:spacing w:after="90"/>
        <w:ind w:left="0" w:right="197"/>
      </w:pPr>
      <w:r>
        <w:t>Artículo. 19.  Jerarquía de gestión de residuos.</w:t>
      </w:r>
      <w:r>
        <w:rPr>
          <w:rFonts w:ascii="Times New Roman" w:eastAsia="Times New Roman" w:hAnsi="Times New Roman" w:cs="Times New Roman"/>
          <w:b w:val="0"/>
          <w:sz w:val="24"/>
        </w:rPr>
        <w:t xml:space="preserve"> </w:t>
      </w:r>
    </w:p>
    <w:p w:rsidR="00025683" w:rsidRDefault="007C2AAB">
      <w:pPr>
        <w:spacing w:after="180" w:line="358" w:lineRule="auto"/>
        <w:ind w:left="14" w:right="320"/>
      </w:pPr>
      <w:r>
        <w:t>La política del Ayuntamiento en materia de gestión de residuos se establece a partir de la jerarquía en la gestión de residuos, conforme a la legislació</w:t>
      </w:r>
      <w:r>
        <w:t xml:space="preserve">n en materia de residuos, donde se establece el siguiente orden de prioridad: </w:t>
      </w:r>
    </w:p>
    <w:p w:rsidR="00025683" w:rsidRDefault="007C2AAB">
      <w:pPr>
        <w:numPr>
          <w:ilvl w:val="0"/>
          <w:numId w:val="86"/>
        </w:numPr>
        <w:ind w:right="200" w:hanging="182"/>
      </w:pPr>
      <w:r>
        <w:t>º La prevención.</w:t>
      </w:r>
      <w:r>
        <w:rPr>
          <w:rFonts w:ascii="Times New Roman" w:eastAsia="Times New Roman" w:hAnsi="Times New Roman" w:cs="Times New Roman"/>
          <w:sz w:val="24"/>
        </w:rPr>
        <w:t xml:space="preserve"> </w:t>
      </w:r>
    </w:p>
    <w:p w:rsidR="00025683" w:rsidRDefault="007C2AAB">
      <w:pPr>
        <w:spacing w:after="115" w:line="259" w:lineRule="auto"/>
        <w:ind w:left="0" w:firstLine="0"/>
        <w:jc w:val="left"/>
      </w:pPr>
      <w:r>
        <w:t xml:space="preserve"> </w:t>
      </w:r>
    </w:p>
    <w:p w:rsidR="00025683" w:rsidRDefault="007C2AAB">
      <w:pPr>
        <w:numPr>
          <w:ilvl w:val="0"/>
          <w:numId w:val="86"/>
        </w:numPr>
        <w:ind w:right="200" w:hanging="182"/>
      </w:pPr>
      <w:r>
        <w:t>º La preparación para la reutilización.</w:t>
      </w:r>
      <w:r>
        <w:rPr>
          <w:rFonts w:ascii="Times New Roman" w:eastAsia="Times New Roman" w:hAnsi="Times New Roman" w:cs="Times New Roman"/>
          <w:sz w:val="24"/>
        </w:rPr>
        <w:t xml:space="preserve"> </w:t>
      </w:r>
    </w:p>
    <w:p w:rsidR="00025683" w:rsidRDefault="007C2AAB">
      <w:pPr>
        <w:spacing w:after="117" w:line="259" w:lineRule="auto"/>
        <w:ind w:left="0" w:firstLine="0"/>
        <w:jc w:val="left"/>
      </w:pPr>
      <w:r>
        <w:t xml:space="preserve"> </w:t>
      </w:r>
    </w:p>
    <w:p w:rsidR="00025683" w:rsidRDefault="007C2AAB">
      <w:pPr>
        <w:numPr>
          <w:ilvl w:val="0"/>
          <w:numId w:val="86"/>
        </w:numPr>
        <w:ind w:right="200" w:hanging="182"/>
      </w:pPr>
      <w:r>
        <w:t>º El reciclado.</w:t>
      </w:r>
      <w:r>
        <w:rPr>
          <w:rFonts w:ascii="Times New Roman" w:eastAsia="Times New Roman" w:hAnsi="Times New Roman" w:cs="Times New Roman"/>
          <w:sz w:val="24"/>
        </w:rPr>
        <w:t xml:space="preserve"> </w:t>
      </w:r>
    </w:p>
    <w:p w:rsidR="00025683" w:rsidRDefault="007C2AAB">
      <w:pPr>
        <w:spacing w:after="115" w:line="259" w:lineRule="auto"/>
        <w:ind w:left="0" w:firstLine="0"/>
        <w:jc w:val="left"/>
      </w:pPr>
      <w:r>
        <w:rPr>
          <w:rFonts w:ascii="Calibri" w:eastAsia="Calibri" w:hAnsi="Calibri" w:cs="Calibri"/>
          <w:noProof/>
        </w:rPr>
        <mc:AlternateContent>
          <mc:Choice Requires="wpg">
            <w:drawing>
              <wp:anchor distT="0" distB="0" distL="114300" distR="114300" simplePos="0" relativeHeight="25193062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7503" name="Group 41750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156" name="Rectangle 3315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3157" name="Rectangle 3315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158" name="Rectangle 3315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252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7503" style="width:18.7031pt;height:264.21pt;position:absolute;mso-position-horizontal-relative:page;mso-position-horizontal:absolute;margin-left:662.928pt;mso-position-vertical-relative:page;margin-top:507.75pt;" coordsize="2375,33554">
                <v:rect id="Rectangle 3315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315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15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252 de 350 </w:t>
                        </w:r>
                      </w:p>
                    </w:txbxContent>
                  </v:textbox>
                </v:rect>
                <w10:wrap type="square"/>
              </v:group>
            </w:pict>
          </mc:Fallback>
        </mc:AlternateContent>
      </w:r>
      <w:r>
        <w:t xml:space="preserve"> </w:t>
      </w:r>
    </w:p>
    <w:p w:rsidR="00025683" w:rsidRDefault="007C2AAB">
      <w:pPr>
        <w:numPr>
          <w:ilvl w:val="0"/>
          <w:numId w:val="86"/>
        </w:numPr>
        <w:ind w:right="200" w:hanging="182"/>
      </w:pPr>
      <w:r>
        <w:t>º Otro tipo de valorización, incluida la valorización energética.</w:t>
      </w:r>
      <w:r>
        <w:rPr>
          <w:rFonts w:ascii="Times New Roman" w:eastAsia="Times New Roman" w:hAnsi="Times New Roman" w:cs="Times New Roman"/>
          <w:sz w:val="24"/>
        </w:rPr>
        <w:t xml:space="preserve"> </w:t>
      </w:r>
    </w:p>
    <w:p w:rsidR="00025683" w:rsidRDefault="007C2AAB">
      <w:pPr>
        <w:spacing w:after="117" w:line="259" w:lineRule="auto"/>
        <w:ind w:left="0" w:firstLine="0"/>
        <w:jc w:val="left"/>
      </w:pPr>
      <w:r>
        <w:t xml:space="preserve"> </w:t>
      </w:r>
    </w:p>
    <w:p w:rsidR="00025683" w:rsidRDefault="007C2AAB">
      <w:pPr>
        <w:numPr>
          <w:ilvl w:val="0"/>
          <w:numId w:val="86"/>
        </w:numPr>
        <w:ind w:right="200" w:hanging="182"/>
      </w:pPr>
      <w:r>
        <w:t>º La eliminación.</w:t>
      </w:r>
      <w:r>
        <w:rPr>
          <w:rFonts w:ascii="Times New Roman" w:eastAsia="Times New Roman" w:hAnsi="Times New Roman" w:cs="Times New Roman"/>
          <w:sz w:val="24"/>
        </w:rPr>
        <w:t xml:space="preserve"> </w:t>
      </w:r>
    </w:p>
    <w:p w:rsidR="00025683" w:rsidRDefault="007C2AAB">
      <w:pPr>
        <w:spacing w:after="112" w:line="259" w:lineRule="auto"/>
        <w:ind w:left="0" w:firstLine="0"/>
        <w:jc w:val="left"/>
      </w:pPr>
      <w:r>
        <w:t xml:space="preserve"> </w:t>
      </w:r>
    </w:p>
    <w:p w:rsidR="00025683" w:rsidRDefault="007C2AAB">
      <w:pPr>
        <w:spacing w:after="88"/>
        <w:ind w:left="14" w:right="200"/>
      </w:pPr>
      <w:r>
        <w:t xml:space="preserve">Los objetivos </w:t>
      </w:r>
      <w:r>
        <w:t>de cada fase se podrán establecer en la planificación de residuos municipal.</w:t>
      </w:r>
      <w:r>
        <w:rPr>
          <w:rFonts w:ascii="Times New Roman" w:eastAsia="Times New Roman" w:hAnsi="Times New Roman" w:cs="Times New Roman"/>
          <w:sz w:val="24"/>
        </w:rPr>
        <w:t xml:space="preserve"> </w:t>
      </w:r>
    </w:p>
    <w:p w:rsidR="00025683" w:rsidRDefault="007C2AAB">
      <w:pPr>
        <w:spacing w:after="101" w:line="259" w:lineRule="auto"/>
        <w:ind w:left="0" w:firstLine="0"/>
        <w:jc w:val="left"/>
      </w:pPr>
      <w:r>
        <w:t xml:space="preserve"> </w:t>
      </w:r>
    </w:p>
    <w:p w:rsidR="00025683" w:rsidRDefault="007C2AAB">
      <w:pPr>
        <w:spacing w:after="141" w:line="349" w:lineRule="auto"/>
        <w:ind w:left="14" w:right="326"/>
      </w:pPr>
      <w:r>
        <w:t xml:space="preserve">La ciudadanía, en su ámbito de actuación a nivel doméstico o comercial, deberá implantar las actuaciones adecuadas para prevenir, en lo posible, la generación de residuos </w:t>
      </w:r>
      <w:r>
        <w:t>innecesarios, o reducir su cantidad.</w:t>
      </w:r>
      <w:r>
        <w:rPr>
          <w:rFonts w:ascii="Times New Roman" w:eastAsia="Times New Roman" w:hAnsi="Times New Roman" w:cs="Times New Roman"/>
          <w:sz w:val="24"/>
        </w:rPr>
        <w:t xml:space="preserve"> </w:t>
      </w:r>
    </w:p>
    <w:p w:rsidR="00025683" w:rsidRDefault="007C2AAB">
      <w:pPr>
        <w:spacing w:after="155" w:line="259" w:lineRule="auto"/>
        <w:ind w:left="0" w:firstLine="0"/>
        <w:jc w:val="left"/>
      </w:pPr>
      <w:r>
        <w:rPr>
          <w:b/>
        </w:rPr>
        <w:t xml:space="preserve"> </w:t>
      </w:r>
    </w:p>
    <w:p w:rsidR="00025683" w:rsidRDefault="007C2AAB">
      <w:pPr>
        <w:pStyle w:val="Ttulo2"/>
        <w:spacing w:after="92"/>
        <w:ind w:left="0" w:right="197"/>
      </w:pPr>
      <w:r>
        <w:t>Artículo. 20. Gestión</w:t>
      </w:r>
      <w:r>
        <w:rPr>
          <w:rFonts w:ascii="Times New Roman" w:eastAsia="Times New Roman" w:hAnsi="Times New Roman" w:cs="Times New Roman"/>
          <w:b w:val="0"/>
          <w:sz w:val="24"/>
        </w:rPr>
        <w:t xml:space="preserve"> </w:t>
      </w:r>
    </w:p>
    <w:p w:rsidR="00025683" w:rsidRDefault="007C2AAB">
      <w:pPr>
        <w:spacing w:after="97" w:line="352" w:lineRule="auto"/>
        <w:ind w:left="14" w:right="323"/>
      </w:pPr>
      <w:r>
        <w:t xml:space="preserve">El Ayuntamiento, en el ámbito de sus competencias, elaborará y aprobará su programa municipal de gestión de residuos, en conformidad con la Ley 7/2022, de 8 de abril, de residuos y suelos </w:t>
      </w:r>
      <w:r>
        <w:t>contaminados para una economía circular, así como con el Plan Integral de Residuos de Canarias (PIRCAN) y los planes estatales.</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t xml:space="preserve"> </w:t>
      </w:r>
    </w:p>
    <w:p w:rsidR="00025683" w:rsidRDefault="007C2AAB">
      <w:pPr>
        <w:spacing w:after="170"/>
        <w:ind w:left="0" w:right="197"/>
      </w:pPr>
      <w:r>
        <w:rPr>
          <w:b/>
        </w:rPr>
        <w:t>Artículo. 21.  Prevención.</w:t>
      </w:r>
      <w:r>
        <w:rPr>
          <w:rFonts w:ascii="Times New Roman" w:eastAsia="Times New Roman" w:hAnsi="Times New Roman" w:cs="Times New Roman"/>
          <w:sz w:val="24"/>
        </w:rPr>
        <w:t xml:space="preserve"> </w:t>
      </w:r>
    </w:p>
    <w:p w:rsidR="00025683" w:rsidRDefault="007C2AAB">
      <w:pPr>
        <w:numPr>
          <w:ilvl w:val="0"/>
          <w:numId w:val="87"/>
        </w:numPr>
        <w:spacing w:after="185" w:line="354" w:lineRule="auto"/>
        <w:ind w:right="329"/>
      </w:pPr>
      <w:r>
        <w:t>El Ayuntamiento promoverá en el ámbito de sus competencias los modelos de producción y de consumo</w:t>
      </w:r>
      <w:r>
        <w:t xml:space="preserve"> sostenibles y circulares</w:t>
      </w:r>
      <w:r>
        <w:rPr>
          <w:rFonts w:ascii="Times New Roman" w:eastAsia="Times New Roman" w:hAnsi="Times New Roman" w:cs="Times New Roman"/>
          <w:sz w:val="24"/>
        </w:rPr>
        <w:t xml:space="preserve"> </w:t>
      </w:r>
    </w:p>
    <w:p w:rsidR="00025683" w:rsidRDefault="007C2AAB">
      <w:pPr>
        <w:spacing w:after="102" w:line="350" w:lineRule="auto"/>
        <w:ind w:left="14" w:right="329"/>
      </w:pPr>
      <w:r>
        <w:t>También promoverá en el ámbito de sus competencias la reducción de la generación de los residuos alimentarios en la venta minorista, restaurantes y servicios de comidas, así como en los hogares.</w:t>
      </w:r>
      <w:r>
        <w:rPr>
          <w:rFonts w:ascii="Times New Roman" w:eastAsia="Times New Roman" w:hAnsi="Times New Roman" w:cs="Times New Roman"/>
          <w:sz w:val="24"/>
        </w:rPr>
        <w:t xml:space="preserve"> </w:t>
      </w:r>
    </w:p>
    <w:p w:rsidR="00025683" w:rsidRDefault="007C2AAB">
      <w:pPr>
        <w:spacing w:after="200" w:line="358" w:lineRule="auto"/>
        <w:ind w:left="14" w:right="200"/>
      </w:pPr>
      <w:r>
        <w:t>El Ayuntamiento desarrollará camp</w:t>
      </w:r>
      <w:r>
        <w:t xml:space="preserve">añas informativas de sensibilización sobre la prevención del abandono de basura y otros residuos" </w:t>
      </w:r>
    </w:p>
    <w:p w:rsidR="00025683" w:rsidRDefault="007C2AAB">
      <w:pPr>
        <w:numPr>
          <w:ilvl w:val="0"/>
          <w:numId w:val="87"/>
        </w:numPr>
        <w:spacing w:after="168" w:line="357" w:lineRule="auto"/>
        <w:ind w:right="329"/>
      </w:pPr>
      <w:r>
        <w:t>Los establecimientos de alimentación que vendan productos frescos y bebidas, así como alimentos cocinados, deberán aceptar el uso de recipientes reutilizable</w:t>
      </w:r>
      <w:r>
        <w:t>s adecuados a la naturaleza del producto, siendo los consumidores los responsables de su acondicionamiento.</w:t>
      </w:r>
      <w:r>
        <w:rPr>
          <w:rFonts w:ascii="Times New Roman" w:eastAsia="Times New Roman" w:hAnsi="Times New Roman" w:cs="Times New Roman"/>
          <w:sz w:val="24"/>
        </w:rPr>
        <w:t xml:space="preserve"> </w:t>
      </w:r>
    </w:p>
    <w:p w:rsidR="00025683" w:rsidRDefault="007C2AAB">
      <w:pPr>
        <w:numPr>
          <w:ilvl w:val="0"/>
          <w:numId w:val="87"/>
        </w:numPr>
        <w:spacing w:after="171" w:line="357" w:lineRule="auto"/>
        <w:ind w:right="329"/>
      </w:pPr>
      <w:r>
        <w:t>Los establecimientos de hostelería y restauración deberán ofrecer a las personas usuarias la posibilidad de consumo de agua no envasada de forma gr</w:t>
      </w:r>
      <w:r>
        <w:t>atuita y complementaria a la oferta del servicio, de conformidad con lo previsto en la Ley 7/2022, de 8 de abril.</w:t>
      </w:r>
      <w:r>
        <w:rPr>
          <w:rFonts w:ascii="Times New Roman" w:eastAsia="Times New Roman" w:hAnsi="Times New Roman" w:cs="Times New Roman"/>
          <w:sz w:val="24"/>
        </w:rPr>
        <w:t xml:space="preserve"> </w:t>
      </w:r>
    </w:p>
    <w:p w:rsidR="00025683" w:rsidRDefault="007C2AAB">
      <w:pPr>
        <w:numPr>
          <w:ilvl w:val="0"/>
          <w:numId w:val="87"/>
        </w:numPr>
        <w:spacing w:after="130" w:line="358" w:lineRule="auto"/>
        <w:ind w:right="329"/>
      </w:pPr>
      <w:r>
        <w:rPr>
          <w:rFonts w:ascii="Calibri" w:eastAsia="Calibri" w:hAnsi="Calibri" w:cs="Calibri"/>
          <w:noProof/>
        </w:rPr>
        <mc:AlternateContent>
          <mc:Choice Requires="wpg">
            <w:drawing>
              <wp:anchor distT="0" distB="0" distL="114300" distR="114300" simplePos="0" relativeHeight="25193164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6723" name="Group 4167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439" name="Rectangle 3343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3440" name="Rectangle 3344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441" name="Rectangle 3344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253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6723" style="width:18.7031pt;height:264.21pt;position:absolute;mso-position-horizontal-relative:page;mso-position-horizontal:absolute;margin-left:662.928pt;mso-position-vertical-relative:page;margin-top:507.75pt;" coordsize="2375,33554">
                <v:rect id="Rectangle 3343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344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44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253 de 350 </w:t>
                        </w:r>
                      </w:p>
                    </w:txbxContent>
                  </v:textbox>
                </v:rect>
                <w10:wrap type="square"/>
              </v:group>
            </w:pict>
          </mc:Fallback>
        </mc:AlternateContent>
      </w:r>
      <w:r>
        <w:t>Los comercios minoristas de alimentación deberán habilitar, en los términos y plazos que establezca la normativa sectorial vigente, áreas de venta destinadas a p</w:t>
      </w:r>
      <w:r>
        <w:t>roductos sin embalaje primario, incluyendo la venta a granel y mediante envases reutilizables.</w:t>
      </w:r>
      <w:r>
        <w:rPr>
          <w:rFonts w:ascii="Times New Roman" w:eastAsia="Times New Roman" w:hAnsi="Times New Roman" w:cs="Times New Roman"/>
          <w:sz w:val="24"/>
        </w:rPr>
        <w:t xml:space="preserve"> </w:t>
      </w:r>
    </w:p>
    <w:p w:rsidR="00025683" w:rsidRDefault="007C2AAB">
      <w:pPr>
        <w:spacing w:after="155" w:line="259" w:lineRule="auto"/>
        <w:ind w:left="0" w:firstLine="0"/>
        <w:jc w:val="left"/>
      </w:pPr>
      <w:r>
        <w:rPr>
          <w:b/>
        </w:rPr>
        <w:t xml:space="preserve"> </w:t>
      </w:r>
    </w:p>
    <w:p w:rsidR="00025683" w:rsidRDefault="007C2AAB">
      <w:pPr>
        <w:pStyle w:val="Ttulo2"/>
        <w:spacing w:after="131"/>
        <w:ind w:left="0" w:right="197"/>
      </w:pPr>
      <w:r>
        <w:t>Artículo. 22.  Reutilización.</w:t>
      </w:r>
      <w:r>
        <w:rPr>
          <w:rFonts w:ascii="Times New Roman" w:eastAsia="Times New Roman" w:hAnsi="Times New Roman" w:cs="Times New Roman"/>
          <w:b w:val="0"/>
          <w:sz w:val="24"/>
        </w:rPr>
        <w:t xml:space="preserve"> </w:t>
      </w:r>
    </w:p>
    <w:p w:rsidR="00025683" w:rsidRDefault="007C2AAB">
      <w:pPr>
        <w:spacing w:after="96" w:line="353" w:lineRule="auto"/>
        <w:ind w:left="14" w:right="331"/>
      </w:pPr>
      <w:r>
        <w:t>El Ayuntamiento fomentará la reutilización de los residuos en el ámbito de sus competencias, dotando a la ciudadanía de los med</w:t>
      </w:r>
      <w:r>
        <w:t>ios e infraestructuras necesarias para el depósito y posterior gestión de los residuos susceptibles de ser reutilizados, de cara a su preparación previa</w:t>
      </w:r>
      <w:r>
        <w:rPr>
          <w:rFonts w:ascii="Times New Roman" w:eastAsia="Times New Roman" w:hAnsi="Times New Roman" w:cs="Times New Roman"/>
          <w:sz w:val="24"/>
        </w:rPr>
        <w:t xml:space="preserve"> </w:t>
      </w:r>
    </w:p>
    <w:p w:rsidR="00025683" w:rsidRDefault="007C2AAB">
      <w:pPr>
        <w:spacing w:after="146" w:line="349" w:lineRule="auto"/>
        <w:ind w:left="14" w:right="327"/>
      </w:pPr>
      <w:r>
        <w:t>Se potenciará el uso de este modelo de gestión de residuos sobre el resto, en la medida de las posibil</w:t>
      </w:r>
      <w:r>
        <w:t>idades y atendiendo a la mejor tecnología disponible, de tal forma que la ciudadanía pueda anteponer este modelo al resto de procesos.</w:t>
      </w:r>
      <w:r>
        <w:rPr>
          <w:rFonts w:ascii="Times New Roman" w:eastAsia="Times New Roman" w:hAnsi="Times New Roman" w:cs="Times New Roman"/>
          <w:sz w:val="24"/>
        </w:rPr>
        <w:t xml:space="preserve"> </w:t>
      </w:r>
    </w:p>
    <w:p w:rsidR="00025683" w:rsidRDefault="007C2AAB">
      <w:pPr>
        <w:spacing w:after="262" w:line="359" w:lineRule="auto"/>
        <w:ind w:left="14" w:right="323"/>
      </w:pPr>
      <w:r>
        <w:t>Para ello, el Ayuntamiento podrá disponer de infraestructuras capaces de gestionar estos residuos, así como establecer a</w:t>
      </w:r>
      <w:r>
        <w:t>cuerdos y convenios con entidades gestoras autorizadas para facilitar la reutilización de determinados residuos, todo ello en base a la legislación en materia de residuos y en coordinación con los planes autonómicos, estatales y el Plan Integral de Residuo</w:t>
      </w:r>
      <w:r>
        <w:t>s de Canarias (PIRCAN).</w:t>
      </w:r>
      <w:r>
        <w:rPr>
          <w:rFonts w:ascii="Times New Roman" w:eastAsia="Times New Roman" w:hAnsi="Times New Roman" w:cs="Times New Roman"/>
          <w:sz w:val="24"/>
        </w:rPr>
        <w:t xml:space="preserve"> </w:t>
      </w:r>
    </w:p>
    <w:p w:rsidR="00025683" w:rsidRDefault="007C2AAB">
      <w:pPr>
        <w:spacing w:after="259" w:line="259" w:lineRule="auto"/>
        <w:ind w:left="0" w:firstLine="0"/>
        <w:jc w:val="left"/>
      </w:pPr>
      <w:r>
        <w:rPr>
          <w:rFonts w:ascii="Times New Roman" w:eastAsia="Times New Roman" w:hAnsi="Times New Roman" w:cs="Times New Roman"/>
          <w:sz w:val="24"/>
        </w:rPr>
        <w:t xml:space="preserve"> </w:t>
      </w:r>
    </w:p>
    <w:p w:rsidR="00025683" w:rsidRDefault="007C2AAB">
      <w:pPr>
        <w:pStyle w:val="Ttulo2"/>
        <w:spacing w:after="160" w:line="339" w:lineRule="auto"/>
        <w:ind w:left="0" w:right="197"/>
      </w:pPr>
      <w:r>
        <w:t>Artículo. 23. Coordinación con otros organismos públicos y privados en materia de residuos.</w:t>
      </w:r>
      <w:r>
        <w:rPr>
          <w:b w:val="0"/>
        </w:rPr>
        <w:t xml:space="preserve">           </w:t>
      </w:r>
      <w:r>
        <w:rPr>
          <w:rFonts w:ascii="Times New Roman" w:eastAsia="Times New Roman" w:hAnsi="Times New Roman" w:cs="Times New Roman"/>
          <w:b w:val="0"/>
          <w:sz w:val="24"/>
        </w:rPr>
        <w:t xml:space="preserve"> </w:t>
      </w:r>
    </w:p>
    <w:p w:rsidR="00025683" w:rsidRDefault="007C2AAB">
      <w:pPr>
        <w:spacing w:after="155" w:line="349" w:lineRule="auto"/>
        <w:ind w:left="14" w:right="329"/>
      </w:pPr>
      <w:r>
        <w:t xml:space="preserve"> El Ayuntamiento colaborará con otros organismos públicos y privados en materia de </w:t>
      </w:r>
      <w:r>
        <w:t>residuos, fomentando una mayor participación de la ciudadanía y de las entidades generadoras de residuos.</w:t>
      </w:r>
      <w:r>
        <w:rPr>
          <w:rFonts w:ascii="Times New Roman" w:eastAsia="Times New Roman" w:hAnsi="Times New Roman" w:cs="Times New Roman"/>
          <w:sz w:val="24"/>
        </w:rPr>
        <w:t xml:space="preserve"> </w:t>
      </w:r>
    </w:p>
    <w:p w:rsidR="00025683" w:rsidRDefault="007C2AAB">
      <w:pPr>
        <w:spacing w:after="129"/>
        <w:ind w:left="0" w:right="197"/>
      </w:pPr>
      <w:r>
        <w:rPr>
          <w:b/>
        </w:rPr>
        <w:t>Artículo. 24.  Actuaciones urbanísticas.</w:t>
      </w:r>
      <w:r>
        <w:rPr>
          <w:rFonts w:ascii="Times New Roman" w:eastAsia="Times New Roman" w:hAnsi="Times New Roman" w:cs="Times New Roman"/>
          <w:sz w:val="24"/>
        </w:rPr>
        <w:t xml:space="preserve"> </w:t>
      </w:r>
    </w:p>
    <w:p w:rsidR="00025683" w:rsidRDefault="007C2AAB">
      <w:pPr>
        <w:spacing w:after="174" w:line="359" w:lineRule="auto"/>
        <w:ind w:left="14" w:right="329"/>
      </w:pPr>
      <w:r>
        <w:t>Cualquier actuación urbanística sujeta a título jurídico habilitante relacionada con la gestión de residuos</w:t>
      </w:r>
      <w:r>
        <w:t xml:space="preserve"> requerirá informe preceptivo emitido por la concejalía o área municipal competente en materia de medio ambiente. Dicho informe también será necesario para la instalación de nuevas plantas de tratamiento de titularidad no municipales </w:t>
      </w:r>
    </w:p>
    <w:p w:rsidR="00025683" w:rsidRDefault="007C2AAB">
      <w:pPr>
        <w:spacing w:after="170"/>
        <w:ind w:left="0" w:right="197"/>
      </w:pPr>
      <w:r>
        <w:rPr>
          <w:b/>
        </w:rPr>
        <w:t xml:space="preserve">Artículo. 25.  </w:t>
      </w:r>
      <w:r>
        <w:rPr>
          <w:b/>
        </w:rPr>
        <w:t>Clasificación de residuos. Residuos generales.</w:t>
      </w:r>
      <w:r>
        <w:rPr>
          <w:rFonts w:ascii="Times New Roman" w:eastAsia="Times New Roman" w:hAnsi="Times New Roman" w:cs="Times New Roman"/>
          <w:sz w:val="24"/>
        </w:rPr>
        <w:t xml:space="preserve"> </w:t>
      </w:r>
    </w:p>
    <w:p w:rsidR="00025683" w:rsidRDefault="007C2AAB">
      <w:pPr>
        <w:numPr>
          <w:ilvl w:val="0"/>
          <w:numId w:val="88"/>
        </w:numPr>
        <w:spacing w:after="152" w:line="367" w:lineRule="auto"/>
        <w:ind w:right="329"/>
      </w:pPr>
      <w:r>
        <w:rPr>
          <w:rFonts w:ascii="Calibri" w:eastAsia="Calibri" w:hAnsi="Calibri" w:cs="Calibri"/>
          <w:noProof/>
        </w:rPr>
        <mc:AlternateContent>
          <mc:Choice Requires="wpg">
            <w:drawing>
              <wp:anchor distT="0" distB="0" distL="114300" distR="114300" simplePos="0" relativeHeight="25193267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7581" name="Group 41758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658" name="Rectangle 3365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3659" name="Rectangle 3365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660" name="Rectangle 3366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254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7581" style="width:18.7031pt;height:264.21pt;position:absolute;mso-position-horizontal-relative:page;mso-position-horizontal:absolute;margin-left:662.928pt;mso-position-vertical-relative:page;margin-top:507.75pt;" coordsize="2375,33554">
                <v:rect id="Rectangle 3365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365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66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254 de 350 </w:t>
                        </w:r>
                      </w:p>
                    </w:txbxContent>
                  </v:textbox>
                </v:rect>
                <w10:wrap type="square"/>
              </v:group>
            </w:pict>
          </mc:Fallback>
        </mc:AlternateContent>
      </w:r>
      <w:r>
        <w:t>A efectos</w:t>
      </w:r>
      <w:r>
        <w:t xml:space="preserve"> de la presente ordenanza, y de conformidad con la Ley 7/2022, de 8 de abril, de residuos y suelos contaminados para una economía circular, los residuos de competencia municipal se clasifican en la categoría de "Residuos Municipales" o "Residuos Domésticos</w:t>
      </w:r>
      <w:r>
        <w:t xml:space="preserve">". </w:t>
      </w:r>
    </w:p>
    <w:p w:rsidR="00025683" w:rsidRDefault="007C2AAB">
      <w:pPr>
        <w:spacing w:after="174" w:line="353" w:lineRule="auto"/>
        <w:ind w:left="14" w:right="336"/>
      </w:pPr>
      <w:r>
        <w:t>Dicha categoría incluye los residuos generados en los hogares como consecuencia de las actividades domésticas, así como los residuos similares generados en el comercio, oficinas y servicios. Se incluyen, por tanto, todos los residuos peligrosos y no pe</w:t>
      </w:r>
      <w:r>
        <w:t>ligrosos gestionados por la entidad local, y los residuos voluminosos (muebles y enseres).</w:t>
      </w:r>
      <w:r>
        <w:rPr>
          <w:rFonts w:ascii="Times New Roman" w:eastAsia="Times New Roman" w:hAnsi="Times New Roman" w:cs="Times New Roman"/>
          <w:sz w:val="24"/>
        </w:rPr>
        <w:t xml:space="preserve"> </w:t>
      </w:r>
    </w:p>
    <w:p w:rsidR="00025683" w:rsidRDefault="007C2AAB">
      <w:pPr>
        <w:numPr>
          <w:ilvl w:val="0"/>
          <w:numId w:val="88"/>
        </w:numPr>
        <w:spacing w:line="358" w:lineRule="auto"/>
        <w:ind w:right="329"/>
      </w:pPr>
      <w:r>
        <w:t>El Ayuntamiento está obligado a implantar y garantizar la recogida separada de las fracciones mínimas previstas en la Ley 7/2022, de 8 de abril, de residuos y suelo</w:t>
      </w:r>
      <w:r>
        <w:t>s contaminados para una economía circular, y el Real Decreto 1055/2022, de 27 de diciembre, de envases y residuos de envases, así como aquellas otras que se determinen por la Administración local conforme a sus competencias en cada momento.</w:t>
      </w:r>
      <w:r>
        <w:rPr>
          <w:rFonts w:ascii="Times New Roman" w:eastAsia="Times New Roman" w:hAnsi="Times New Roman" w:cs="Times New Roman"/>
          <w:sz w:val="24"/>
        </w:rPr>
        <w:t xml:space="preserve"> </w:t>
      </w:r>
    </w:p>
    <w:p w:rsidR="00025683" w:rsidRDefault="007C2AAB">
      <w:pPr>
        <w:spacing w:after="234" w:line="349" w:lineRule="auto"/>
        <w:ind w:left="14" w:right="338"/>
      </w:pPr>
      <w:r>
        <w:t>La recogida se</w:t>
      </w:r>
      <w:r>
        <w:t xml:space="preserve"> efectuará por los servicios ordinarios municipales según las condiciones, turnos, días y horarios que se establezcan en cada momento haciendo uso del parque de recipientes normalizados instalados al efecto.</w:t>
      </w:r>
      <w:r>
        <w:rPr>
          <w:rFonts w:ascii="Times New Roman" w:eastAsia="Times New Roman" w:hAnsi="Times New Roman" w:cs="Times New Roman"/>
          <w:sz w:val="24"/>
        </w:rPr>
        <w:t xml:space="preserve"> </w:t>
      </w:r>
    </w:p>
    <w:p w:rsidR="00025683" w:rsidRDefault="007C2AAB">
      <w:pPr>
        <w:numPr>
          <w:ilvl w:val="0"/>
          <w:numId w:val="88"/>
        </w:numPr>
        <w:spacing w:after="192" w:line="375" w:lineRule="auto"/>
        <w:ind w:right="329"/>
      </w:pPr>
      <w:r>
        <w:t>Al objeto de favorecer la recogida separada, lo</w:t>
      </w:r>
      <w:r>
        <w:t>s residuos de competencia municipal deberán presentarse separados desde su origen en las fracciones que se especifican a continuación, conforme a las obligaciones de la Ley 7/2022, de 8 de abril, y el Real Decreto 1055/2022, de 27 de diciembre, de envases:</w:t>
      </w:r>
      <w:r>
        <w:rPr>
          <w:rFonts w:ascii="Times New Roman" w:eastAsia="Times New Roman" w:hAnsi="Times New Roman" w:cs="Times New Roman"/>
          <w:sz w:val="24"/>
        </w:rPr>
        <w:t xml:space="preserve"> </w:t>
      </w:r>
    </w:p>
    <w:p w:rsidR="00025683" w:rsidRDefault="007C2AAB">
      <w:pPr>
        <w:numPr>
          <w:ilvl w:val="0"/>
          <w:numId w:val="89"/>
        </w:numPr>
        <w:ind w:right="200"/>
      </w:pPr>
      <w:r>
        <w:t>Biorresiduo o materia orgánica.</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t xml:space="preserve"> </w:t>
      </w:r>
    </w:p>
    <w:p w:rsidR="00025683" w:rsidRDefault="007C2AAB">
      <w:pPr>
        <w:numPr>
          <w:ilvl w:val="0"/>
          <w:numId w:val="89"/>
        </w:numPr>
        <w:spacing w:after="188" w:line="368" w:lineRule="auto"/>
        <w:ind w:right="200"/>
      </w:pPr>
      <w:r>
        <w:t xml:space="preserve">Envases Ligeros: Residuos de envases de plástico, metales (incluido el aluminio) y briks. Quedan excluidos de esta vía los residuos voluminosos y los que deban ser gestionados en Puntos Limpios. </w:t>
      </w:r>
    </w:p>
    <w:p w:rsidR="00025683" w:rsidRDefault="007C2AAB">
      <w:pPr>
        <w:numPr>
          <w:ilvl w:val="0"/>
          <w:numId w:val="89"/>
        </w:numPr>
        <w:ind w:right="200"/>
      </w:pPr>
      <w:r>
        <w:t>Papel-cartón.</w:t>
      </w:r>
      <w:r>
        <w:rPr>
          <w:rFonts w:ascii="Times New Roman" w:eastAsia="Times New Roman" w:hAnsi="Times New Roman" w:cs="Times New Roman"/>
          <w:sz w:val="24"/>
        </w:rPr>
        <w:t xml:space="preserve"> </w:t>
      </w:r>
    </w:p>
    <w:p w:rsidR="00025683" w:rsidRDefault="007C2AAB">
      <w:pPr>
        <w:spacing w:after="138" w:line="259" w:lineRule="auto"/>
        <w:ind w:left="0" w:firstLine="0"/>
        <w:jc w:val="left"/>
      </w:pPr>
      <w:r>
        <w:t xml:space="preserve"> </w:t>
      </w:r>
    </w:p>
    <w:p w:rsidR="00025683" w:rsidRDefault="007C2AAB">
      <w:pPr>
        <w:numPr>
          <w:ilvl w:val="0"/>
          <w:numId w:val="89"/>
        </w:numPr>
        <w:ind w:right="200"/>
      </w:pPr>
      <w:r>
        <w:t>Residu</w:t>
      </w:r>
      <w:r>
        <w:t>os Textiles.</w:t>
      </w:r>
      <w:r>
        <w:rPr>
          <w:rFonts w:ascii="Times New Roman" w:eastAsia="Times New Roman" w:hAnsi="Times New Roman" w:cs="Times New Roman"/>
          <w:sz w:val="24"/>
        </w:rPr>
        <w:t xml:space="preserve"> </w:t>
      </w:r>
    </w:p>
    <w:p w:rsidR="00025683" w:rsidRDefault="007C2AAB">
      <w:pPr>
        <w:spacing w:after="138" w:line="259" w:lineRule="auto"/>
        <w:ind w:left="0" w:firstLine="0"/>
        <w:jc w:val="left"/>
      </w:pPr>
      <w:r>
        <w:t xml:space="preserve"> </w:t>
      </w:r>
    </w:p>
    <w:p w:rsidR="00025683" w:rsidRDefault="007C2AAB">
      <w:pPr>
        <w:numPr>
          <w:ilvl w:val="0"/>
          <w:numId w:val="89"/>
        </w:numPr>
        <w:ind w:right="200"/>
      </w:pPr>
      <w:r>
        <w:t>Envases de vidrio.</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0"/>
          <w:numId w:val="89"/>
        </w:numPr>
        <w:spacing w:after="191" w:line="367" w:lineRule="auto"/>
        <w:ind w:right="200"/>
      </w:pPr>
      <w:r>
        <w:t xml:space="preserve">Residuos de Gestión Específica: Residuos que, por su peligrosidad o características especiales, requieren un depósito diferente a la recogida ordinaria en contenedores. Esta fracción incluye: </w:t>
      </w:r>
    </w:p>
    <w:p w:rsidR="00025683" w:rsidRDefault="007C2AAB">
      <w:pPr>
        <w:numPr>
          <w:ilvl w:val="0"/>
          <w:numId w:val="90"/>
        </w:numPr>
        <w:ind w:right="200" w:hanging="175"/>
      </w:pPr>
      <w:r>
        <w:rPr>
          <w:rFonts w:ascii="Calibri" w:eastAsia="Calibri" w:hAnsi="Calibri" w:cs="Calibri"/>
          <w:noProof/>
        </w:rPr>
        <mc:AlternateContent>
          <mc:Choice Requires="wpg">
            <w:drawing>
              <wp:anchor distT="0" distB="0" distL="114300" distR="114300" simplePos="0" relativeHeight="25193369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7744" name="Group 4177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819" name="Rectangle 3381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3820" name="Rectangle 3382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3821" name="Rectangle 3382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255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7744" style="width:18.7031pt;height:264.21pt;position:absolute;mso-position-horizontal-relative:page;mso-position-horizontal:absolute;margin-left:662.928pt;mso-position-vertical-relative:page;margin-top:507.75pt;" coordsize="2375,33554">
                <v:rect id="Rectangle 3381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382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382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255 de 350 </w:t>
                        </w:r>
                      </w:p>
                    </w:txbxContent>
                  </v:textbox>
                </v:rect>
                <w10:wrap type="square"/>
              </v:group>
            </w:pict>
          </mc:Fallback>
        </mc:AlternateContent>
      </w:r>
      <w:r>
        <w:t>Aceite de cocina usado de procedencia doméstica.</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t xml:space="preserve"> </w:t>
      </w:r>
    </w:p>
    <w:p w:rsidR="00025683" w:rsidRDefault="007C2AAB">
      <w:pPr>
        <w:numPr>
          <w:ilvl w:val="0"/>
          <w:numId w:val="90"/>
        </w:numPr>
        <w:ind w:right="200" w:hanging="175"/>
      </w:pPr>
      <w:r>
        <w:t>Residuos</w:t>
      </w:r>
      <w:r>
        <w:t xml:space="preserve"> Domésticos Peligrosos (pilas, pinturas, disolventes, etc.).</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t xml:space="preserve"> </w:t>
      </w:r>
    </w:p>
    <w:p w:rsidR="00025683" w:rsidRDefault="007C2AAB">
      <w:pPr>
        <w:numPr>
          <w:ilvl w:val="0"/>
          <w:numId w:val="90"/>
        </w:numPr>
        <w:ind w:right="200" w:hanging="175"/>
      </w:pPr>
      <w:r>
        <w:t>Pequeños Residuos de Aparatos Eléctricos y Electrónicos (RAEE).</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t xml:space="preserve"> </w:t>
      </w:r>
    </w:p>
    <w:p w:rsidR="00025683" w:rsidRDefault="007C2AAB">
      <w:pPr>
        <w:spacing w:after="182" w:line="376" w:lineRule="auto"/>
        <w:ind w:left="14" w:right="200"/>
      </w:pPr>
      <w:r>
        <w:rPr>
          <w:rFonts w:ascii="Calibri" w:eastAsia="Calibri" w:hAnsi="Calibri" w:cs="Calibri"/>
          <w:sz w:val="24"/>
        </w:rPr>
        <w:t>g)</w:t>
      </w:r>
      <w:r>
        <w:rPr>
          <w:sz w:val="24"/>
        </w:rPr>
        <w:t xml:space="preserve"> </w:t>
      </w:r>
      <w:r>
        <w:t xml:space="preserve">Fracción Resto (o Residuos No Reciclables): Residuos municipales que no hayan sido separados en ninguna de las fracciones anteriores. </w:t>
      </w:r>
    </w:p>
    <w:p w:rsidR="00025683" w:rsidRDefault="007C2AAB">
      <w:pPr>
        <w:numPr>
          <w:ilvl w:val="0"/>
          <w:numId w:val="91"/>
        </w:numPr>
        <w:spacing w:after="201" w:line="368" w:lineRule="auto"/>
        <w:ind w:right="266"/>
      </w:pPr>
      <w:r>
        <w:t>Será obligatorio depositar los residuos separados en el interior de los contenedores específicos suministrados por el Ayu</w:t>
      </w:r>
      <w:r>
        <w:t xml:space="preserve">ntamiento, en la forma y en el horario establecido en la presente ordenanza. </w:t>
      </w:r>
    </w:p>
    <w:p w:rsidR="00025683" w:rsidRDefault="007C2AAB">
      <w:pPr>
        <w:spacing w:after="199" w:line="360" w:lineRule="auto"/>
        <w:ind w:left="14" w:right="333"/>
      </w:pPr>
      <w:r>
        <w:t xml:space="preserve">En particular, queda expresamente prohibido depositar residuos o materiales distintos a los correspondientes en cada fracción de recogida separada (impropios), para facilitar el </w:t>
      </w:r>
      <w:r>
        <w:t xml:space="preserve">cumplimiento de los objetivos de valorización y reciclado establecidos. </w:t>
      </w:r>
    </w:p>
    <w:p w:rsidR="00025683" w:rsidRDefault="007C2AAB">
      <w:pPr>
        <w:numPr>
          <w:ilvl w:val="0"/>
          <w:numId w:val="91"/>
        </w:numPr>
        <w:spacing w:line="375" w:lineRule="auto"/>
        <w:ind w:right="266"/>
      </w:pPr>
      <w:r>
        <w:t xml:space="preserve">El Ayuntamiento puede disponer de otros sistemas complementarios de recogida de residuos contemplados en la presente ordenanza. </w:t>
      </w:r>
    </w:p>
    <w:p w:rsidR="00025683" w:rsidRDefault="007C2AAB">
      <w:pPr>
        <w:spacing w:after="120" w:line="358" w:lineRule="auto"/>
        <w:ind w:left="14" w:right="200"/>
      </w:pPr>
      <w:r>
        <w:t>No obstante, el Ayuntamiento, a través del órgano municipal competente en materia de gestión de residuos, podrá plantear una mayor segregación de alguna de las fracciones anteriores, así como determinar los posibles sistemas alternativos de recogida de las</w:t>
      </w:r>
      <w:r>
        <w:t xml:space="preserve"> fracciones resultantes. </w:t>
      </w:r>
    </w:p>
    <w:p w:rsidR="00025683" w:rsidRDefault="007C2AAB">
      <w:pPr>
        <w:spacing w:after="161" w:line="358" w:lineRule="auto"/>
        <w:ind w:left="14" w:right="200"/>
      </w:pPr>
      <w:r>
        <w:t xml:space="preserve">La recogida de estos residuos se efectuará generalmente a través de servicios municipales o mediante la entrega a gestores autorizados. </w:t>
      </w:r>
    </w:p>
    <w:p w:rsidR="00025683" w:rsidRDefault="007C2AAB">
      <w:pPr>
        <w:spacing w:after="153" w:line="259" w:lineRule="auto"/>
        <w:ind w:left="0" w:firstLine="0"/>
        <w:jc w:val="left"/>
      </w:pPr>
      <w:r>
        <w:rPr>
          <w:b/>
        </w:rPr>
        <w:t xml:space="preserve"> </w:t>
      </w:r>
    </w:p>
    <w:p w:rsidR="00025683" w:rsidRDefault="007C2AAB">
      <w:pPr>
        <w:spacing w:after="145"/>
        <w:ind w:left="0" w:right="197"/>
      </w:pPr>
      <w:r>
        <w:rPr>
          <w:b/>
        </w:rPr>
        <w:t>Artículo. 26.Clasificación de residuos. R. esiduos especiales.</w:t>
      </w:r>
      <w:r>
        <w:rPr>
          <w:rFonts w:ascii="Times New Roman" w:eastAsia="Times New Roman" w:hAnsi="Times New Roman" w:cs="Times New Roman"/>
          <w:sz w:val="24"/>
        </w:rPr>
        <w:t xml:space="preserve"> </w:t>
      </w:r>
    </w:p>
    <w:p w:rsidR="00025683" w:rsidRDefault="007C2AAB">
      <w:pPr>
        <w:spacing w:after="90"/>
        <w:ind w:left="14" w:right="200"/>
      </w:pPr>
      <w:r>
        <w:t>Se consideran residuos espe</w:t>
      </w:r>
      <w:r>
        <w:t>ciales los siguientes:</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t xml:space="preserve"> </w:t>
      </w:r>
    </w:p>
    <w:p w:rsidR="00025683" w:rsidRDefault="007C2AAB">
      <w:pPr>
        <w:numPr>
          <w:ilvl w:val="0"/>
          <w:numId w:val="92"/>
        </w:numPr>
        <w:spacing w:line="375" w:lineRule="auto"/>
        <w:ind w:right="200"/>
      </w:pPr>
      <w:r>
        <w:t xml:space="preserve">Residuos de Construcción y Demolición (RCD) generados en las obras menores de construcción, reparación y reforma de viviendas.  </w:t>
      </w:r>
    </w:p>
    <w:p w:rsidR="00025683" w:rsidRDefault="007C2AAB">
      <w:pPr>
        <w:numPr>
          <w:ilvl w:val="0"/>
          <w:numId w:val="92"/>
        </w:numPr>
        <w:spacing w:after="284"/>
        <w:ind w:right="200"/>
      </w:pPr>
      <w:r>
        <w:t>Residuos de aparatos eléctricos y electrónicos.</w:t>
      </w:r>
      <w:r>
        <w:rPr>
          <w:rFonts w:ascii="Times New Roman" w:eastAsia="Times New Roman" w:hAnsi="Times New Roman" w:cs="Times New Roman"/>
          <w:sz w:val="24"/>
        </w:rPr>
        <w:t xml:space="preserve"> </w:t>
      </w:r>
    </w:p>
    <w:p w:rsidR="00025683" w:rsidRDefault="007C2AAB">
      <w:pPr>
        <w:numPr>
          <w:ilvl w:val="0"/>
          <w:numId w:val="92"/>
        </w:numPr>
        <w:ind w:right="200"/>
      </w:pPr>
      <w:r>
        <w:t>Muebles, colchones y enseres.</w:t>
      </w:r>
      <w:r>
        <w:rPr>
          <w:rFonts w:ascii="Times New Roman" w:eastAsia="Times New Roman" w:hAnsi="Times New Roman" w:cs="Times New Roman"/>
          <w:sz w:val="24"/>
        </w:rPr>
        <w:t xml:space="preserve"> </w:t>
      </w:r>
    </w:p>
    <w:p w:rsidR="00025683" w:rsidRDefault="007C2AAB">
      <w:pPr>
        <w:spacing w:after="138" w:line="259" w:lineRule="auto"/>
        <w:ind w:left="0" w:firstLine="0"/>
        <w:jc w:val="left"/>
      </w:pPr>
      <w:r>
        <w:t xml:space="preserve"> </w:t>
      </w:r>
    </w:p>
    <w:p w:rsidR="00025683" w:rsidRDefault="007C2AAB">
      <w:pPr>
        <w:numPr>
          <w:ilvl w:val="0"/>
          <w:numId w:val="92"/>
        </w:numPr>
        <w:ind w:right="200"/>
      </w:pPr>
      <w:r>
        <w:t>Animales muertos.</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rPr>
          <w:rFonts w:ascii="Calibri" w:eastAsia="Calibri" w:hAnsi="Calibri" w:cs="Calibri"/>
          <w:noProof/>
        </w:rPr>
        <mc:AlternateContent>
          <mc:Choice Requires="wpg">
            <w:drawing>
              <wp:anchor distT="0" distB="0" distL="114300" distR="114300" simplePos="0" relativeHeight="25193472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7871" name="Group 4178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010" name="Rectangle 3401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4011" name="Rectangle 3401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012" name="Rectangle 3401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256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7871" style="width:18.7031pt;height:264.21pt;position:absolute;mso-position-horizontal-relative:page;mso-position-horizontal:absolute;margin-left:662.928pt;mso-position-vertical-relative:page;margin-top:507.75pt;" coordsize="2375,33554">
                <v:rect id="Rectangle 3401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401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01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256 de 350 </w:t>
                        </w:r>
                      </w:p>
                    </w:txbxContent>
                  </v:textbox>
                </v:rect>
                <w10:wrap type="square"/>
              </v:group>
            </w:pict>
          </mc:Fallback>
        </mc:AlternateContent>
      </w:r>
      <w:r>
        <w:t xml:space="preserve"> </w:t>
      </w:r>
    </w:p>
    <w:p w:rsidR="00025683" w:rsidRDefault="007C2AAB">
      <w:pPr>
        <w:numPr>
          <w:ilvl w:val="0"/>
          <w:numId w:val="92"/>
        </w:numPr>
        <w:ind w:right="200"/>
      </w:pPr>
      <w:r>
        <w:t>Residuos biosanitarios de las Clases I y II.</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0"/>
          <w:numId w:val="92"/>
        </w:numPr>
        <w:ind w:right="200"/>
      </w:pPr>
      <w:r>
        <w:t>Pilas y</w:t>
      </w:r>
      <w:r>
        <w:t xml:space="preserve"> baterías.</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t xml:space="preserve"> </w:t>
      </w:r>
    </w:p>
    <w:p w:rsidR="00025683" w:rsidRDefault="007C2AAB">
      <w:pPr>
        <w:numPr>
          <w:ilvl w:val="0"/>
          <w:numId w:val="92"/>
        </w:numPr>
        <w:spacing w:after="191" w:line="367" w:lineRule="auto"/>
        <w:ind w:right="200"/>
      </w:pPr>
      <w:r>
        <w:t xml:space="preserve">Residuos domésticos, peligrosos o no peligrosos, de pequeño volumen o características especiales, que por su naturaleza no se encuadran en las fracciones de recogida ordinaria ni en el servicio de voluminosos. </w:t>
      </w:r>
    </w:p>
    <w:p w:rsidR="00025683" w:rsidRDefault="007C2AAB">
      <w:pPr>
        <w:numPr>
          <w:ilvl w:val="0"/>
          <w:numId w:val="92"/>
        </w:numPr>
        <w:spacing w:after="194" w:line="375" w:lineRule="auto"/>
        <w:ind w:right="200"/>
      </w:pPr>
      <w:r>
        <w:t>Cualquier otro que establezca l</w:t>
      </w:r>
      <w:r>
        <w:t xml:space="preserve">a legislación en materia de residuos, o que el órgano municipal competente en materia de gestión de residuos determine. </w:t>
      </w:r>
    </w:p>
    <w:p w:rsidR="00025683" w:rsidRDefault="007C2AAB">
      <w:pPr>
        <w:spacing w:after="227" w:line="353" w:lineRule="auto"/>
        <w:ind w:left="14" w:right="332"/>
      </w:pPr>
      <w:r>
        <w:t xml:space="preserve">La recogida de estos </w:t>
      </w:r>
      <w:r>
        <w:t>residuos se efectuará generalmente a través de servicios específicos, fuera de los habituales anteriormente mencionados, como pueden ser la red de puntos limpios, la petición del servicio a demanda de la ciudadanía, la recogida comercial por sistema puerta</w:t>
      </w:r>
      <w:r>
        <w:t xml:space="preserve"> a puerta o la entrega al personal gestor autorizado.</w:t>
      </w:r>
      <w:r>
        <w:rPr>
          <w:rFonts w:ascii="Times New Roman" w:eastAsia="Times New Roman" w:hAnsi="Times New Roman" w:cs="Times New Roman"/>
          <w:sz w:val="24"/>
        </w:rPr>
        <w:t xml:space="preserve"> </w:t>
      </w:r>
    </w:p>
    <w:p w:rsidR="00025683" w:rsidRDefault="007C2AAB">
      <w:pPr>
        <w:spacing w:after="101" w:line="238" w:lineRule="auto"/>
        <w:ind w:left="21" w:right="49"/>
      </w:pPr>
      <w:r>
        <w:rPr>
          <w:i/>
        </w:rPr>
        <w:t>Capítulo II. Competencia del servicio y obligaciones de las personas usuarias y productoras</w:t>
      </w:r>
      <w:r>
        <w:rPr>
          <w:rFonts w:ascii="Times New Roman" w:eastAsia="Times New Roman" w:hAnsi="Times New Roman" w:cs="Times New Roman"/>
          <w:sz w:val="24"/>
        </w:rPr>
        <w:t xml:space="preserve"> </w:t>
      </w:r>
      <w:r>
        <w:rPr>
          <w:b/>
        </w:rPr>
        <w:t>Artículo. 27.  Competencia del servicio de gestión de residuos.</w:t>
      </w:r>
      <w:r>
        <w:rPr>
          <w:rFonts w:ascii="Times New Roman" w:eastAsia="Times New Roman" w:hAnsi="Times New Roman" w:cs="Times New Roman"/>
          <w:sz w:val="24"/>
        </w:rPr>
        <w:t xml:space="preserve"> </w:t>
      </w:r>
    </w:p>
    <w:p w:rsidR="00025683" w:rsidRDefault="007C2AAB">
      <w:pPr>
        <w:spacing w:after="135" w:line="358" w:lineRule="auto"/>
        <w:ind w:left="14" w:right="328"/>
      </w:pPr>
      <w:r>
        <w:t>1. La prestación del servicio de contenerización recogida y transporte de residuos de competencia municipal generados en hogares, comercios y servicios corresponde al Ayuntamiento y será prestado según las condiciones que se establezcan en cada momento, da</w:t>
      </w:r>
      <w:r>
        <w:t xml:space="preserve">ndo la publicidad necesaria para conocimiento de la vecindad. </w:t>
      </w:r>
    </w:p>
    <w:p w:rsidR="00025683" w:rsidRDefault="007C2AAB">
      <w:pPr>
        <w:spacing w:after="90"/>
        <w:ind w:left="14" w:right="200"/>
      </w:pPr>
      <w:r>
        <w:t>Los residuos generales deberán separarse en las fracciones que establece el presente título.</w:t>
      </w:r>
      <w:r>
        <w:rPr>
          <w:rFonts w:ascii="Times New Roman" w:eastAsia="Times New Roman" w:hAnsi="Times New Roman" w:cs="Times New Roman"/>
          <w:sz w:val="24"/>
        </w:rPr>
        <w:t xml:space="preserve"> </w:t>
      </w:r>
    </w:p>
    <w:p w:rsidR="00025683" w:rsidRDefault="007C2AAB">
      <w:pPr>
        <w:spacing w:after="98" w:line="259" w:lineRule="auto"/>
        <w:ind w:left="0" w:firstLine="0"/>
        <w:jc w:val="left"/>
      </w:pPr>
      <w:r>
        <w:t xml:space="preserve"> </w:t>
      </w:r>
    </w:p>
    <w:p w:rsidR="00025683" w:rsidRDefault="007C2AAB">
      <w:pPr>
        <w:spacing w:after="100" w:line="349" w:lineRule="auto"/>
        <w:ind w:left="14" w:right="336"/>
      </w:pPr>
      <w:r>
        <w:t xml:space="preserve">La recogida se efectuará por los servicios ordinarios municipales según las condiciones, turnos, </w:t>
      </w:r>
      <w:r>
        <w:t>días y horarios que se establezcan en cada momento, haciendo uso de los contenedores normalizados instalados al efecto.</w:t>
      </w:r>
      <w:r>
        <w:rPr>
          <w:rFonts w:ascii="Times New Roman" w:eastAsia="Times New Roman" w:hAnsi="Times New Roman" w:cs="Times New Roman"/>
          <w:sz w:val="24"/>
        </w:rPr>
        <w:t xml:space="preserve"> </w:t>
      </w:r>
    </w:p>
    <w:p w:rsidR="00025683" w:rsidRDefault="007C2AAB">
      <w:pPr>
        <w:spacing w:after="119" w:line="359" w:lineRule="auto"/>
        <w:ind w:left="14" w:right="333"/>
      </w:pPr>
      <w:r>
        <w:rPr>
          <w:rFonts w:ascii="Calibri" w:eastAsia="Calibri" w:hAnsi="Calibri" w:cs="Calibri"/>
          <w:noProof/>
        </w:rPr>
        <mc:AlternateContent>
          <mc:Choice Requires="wpg">
            <w:drawing>
              <wp:anchor distT="0" distB="0" distL="114300" distR="114300" simplePos="0" relativeHeight="25193574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8567" name="Group 4185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300" name="Rectangle 3430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4301" name="Rectangle 3430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302" name="Rectangle 3430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257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8567" style="width:18.7031pt;height:264.21pt;position:absolute;mso-position-horizontal-relative:page;mso-position-horizontal:absolute;margin-left:662.928pt;mso-position-vertical-relative:page;margin-top:507.75pt;" coordsize="2375,33554">
                <v:rect id="Rectangle 3430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430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30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257 de 350 </w:t>
                        </w:r>
                      </w:p>
                    </w:txbxContent>
                  </v:textbox>
                </v:rect>
                <w10:wrap type="square"/>
              </v:group>
            </w:pict>
          </mc:Fallback>
        </mc:AlternateContent>
      </w:r>
      <w:r>
        <w:t>El Ayuntamiento es el competente en las decisiones que pudieran afectar a las personas usuarias en lo relativo a gestión de los residuos, los sistemas de recogid</w:t>
      </w:r>
      <w:r>
        <w:t xml:space="preserve">a, las frecuencias de recogida de las distintas fracciones de residuos, horarios, turnos, ubicaciones de recipientes en el espacio público, horarios de depósito de los residuos, y dotaciones e infraestructuras destinadas al depósito de residuos. </w:t>
      </w:r>
    </w:p>
    <w:p w:rsidR="00025683" w:rsidRDefault="007C2AAB">
      <w:pPr>
        <w:spacing w:after="200" w:line="358" w:lineRule="auto"/>
        <w:ind w:left="14" w:right="329"/>
      </w:pPr>
      <w:r>
        <w:t>Ninguna p</w:t>
      </w:r>
      <w:r>
        <w:t xml:space="preserve">ersona podrá dedicarse a la gestión de residuos sin la preceptiva autorización o inscripción en el registro de la Comunidad Autónoma de Canarias, Administración pública competente en materia de gestión de residuos. </w:t>
      </w:r>
    </w:p>
    <w:p w:rsidR="00025683" w:rsidRDefault="007C2AAB">
      <w:pPr>
        <w:numPr>
          <w:ilvl w:val="0"/>
          <w:numId w:val="93"/>
        </w:numPr>
        <w:spacing w:after="169" w:line="358" w:lineRule="auto"/>
        <w:ind w:right="333"/>
      </w:pPr>
      <w:r>
        <w:t>En situaciones de emergencia, fuerza may</w:t>
      </w:r>
      <w:r>
        <w:t>or o ejercicio de derechos constitucionalmente reconocidos en las que no sea posible prestar el servicio en la forma habitual, se podrá alterar o suspender temporalmente el mismo, previa comunicación a la vecindad a través de los medios oportunos. No obsta</w:t>
      </w:r>
      <w:r>
        <w:t>nte, el Ayuntamiento deberá garantizar la continuidad de un servicio mínimo esencial de recogida para asegurar la salubridad pública y evitar la generación de riesgos sanitarios. En estos casos, las personas usuarias del servicio deberán abstenerse de depo</w:t>
      </w:r>
      <w:r>
        <w:t>sitar sus residuos en el espacio público hasta el momento en que se normalice el servicio o hasta que el Ayuntamiento dicte las instrucciones oportunas.</w:t>
      </w:r>
      <w:r>
        <w:rPr>
          <w:rFonts w:ascii="Times New Roman" w:eastAsia="Times New Roman" w:hAnsi="Times New Roman" w:cs="Times New Roman"/>
          <w:sz w:val="24"/>
        </w:rPr>
        <w:t xml:space="preserve"> </w:t>
      </w:r>
    </w:p>
    <w:p w:rsidR="00025683" w:rsidRDefault="007C2AAB">
      <w:pPr>
        <w:numPr>
          <w:ilvl w:val="0"/>
          <w:numId w:val="93"/>
        </w:numPr>
        <w:spacing w:line="367" w:lineRule="auto"/>
        <w:ind w:right="333"/>
      </w:pPr>
      <w:r>
        <w:t>La gestión del servicio de recogida, es de recepción municipal obligatoria respecto de los que se gene</w:t>
      </w:r>
      <w:r>
        <w:t xml:space="preserve">ren o puedan generarse en domicilios particulares, por lo tanto, el residuo de procedencia doméstica debe ser entregado al Ayuntamiento en todos los casos. </w:t>
      </w:r>
    </w:p>
    <w:p w:rsidR="00025683" w:rsidRDefault="007C2AAB">
      <w:pPr>
        <w:spacing w:after="130" w:line="358" w:lineRule="auto"/>
        <w:ind w:left="14" w:right="200"/>
      </w:pPr>
      <w:r>
        <w:t>Los residuos generados por la actividad propia del comercio al por mayor y al por menor, de los ser</w:t>
      </w:r>
      <w:r>
        <w:t>vicios de restauración y bares, de las oficinas y de los mercados, así como del resto del sector servicios, pueden ser entregados al Ayuntamiento si la persona que genera o posea así optasen; en caso contrario están obligadas a gestionarlos a través de ges</w:t>
      </w:r>
      <w:r>
        <w:t>tores autorizados por la autoridad autonómica competente. En ese caso se deberá acreditar la valorización o eliminación de los residuos, siendo necesario que aporten los documentos emitidos por responsables de la gestión de encargos, que determinen de form</w:t>
      </w:r>
      <w:r>
        <w:t>a clara e inequívoca su total trazabilidad.</w:t>
      </w:r>
      <w:r>
        <w:rPr>
          <w:rFonts w:ascii="Times New Roman" w:eastAsia="Times New Roman" w:hAnsi="Times New Roman" w:cs="Times New Roman"/>
          <w:sz w:val="24"/>
        </w:rPr>
        <w:t xml:space="preserve"> </w:t>
      </w:r>
    </w:p>
    <w:p w:rsidR="00025683" w:rsidRDefault="007C2AAB">
      <w:pPr>
        <w:spacing w:after="99" w:line="350" w:lineRule="auto"/>
        <w:ind w:left="14" w:right="330"/>
      </w:pPr>
      <w:r>
        <w:t>El contenido de los mencionados documentos, así como su periodicidad de presentación, serán definidos en cada momento por el órgano municipal competente en materia de gestión de residuos.</w:t>
      </w:r>
      <w:r>
        <w:rPr>
          <w:rFonts w:ascii="Times New Roman" w:eastAsia="Times New Roman" w:hAnsi="Times New Roman" w:cs="Times New Roman"/>
          <w:sz w:val="24"/>
        </w:rPr>
        <w:t xml:space="preserve"> </w:t>
      </w:r>
    </w:p>
    <w:p w:rsidR="00025683" w:rsidRDefault="007C2AAB">
      <w:pPr>
        <w:spacing w:after="153" w:line="338" w:lineRule="auto"/>
        <w:ind w:left="14" w:right="200"/>
      </w:pPr>
      <w:r>
        <w:t>En este caso la gestor</w:t>
      </w:r>
      <w:r>
        <w:t>ía privada será la responsable de la gestión del residuo en todas sus fases.</w:t>
      </w:r>
      <w:r>
        <w:rPr>
          <w:rFonts w:ascii="Times New Roman" w:eastAsia="Times New Roman" w:hAnsi="Times New Roman" w:cs="Times New Roman"/>
          <w:sz w:val="24"/>
        </w:rPr>
        <w:t xml:space="preserve"> </w:t>
      </w:r>
    </w:p>
    <w:p w:rsidR="00025683" w:rsidRDefault="007C2AAB">
      <w:pPr>
        <w:spacing w:after="101" w:line="349" w:lineRule="auto"/>
        <w:ind w:left="14" w:right="323"/>
      </w:pPr>
      <w:r>
        <w:t>Ni los residuos ni los contendores que albergan los residuos que son gestionados a través de entes privados podrán permanecer en el espacio público bajo ningún concepto, efectuán</w:t>
      </w:r>
      <w:r>
        <w:t>dose la recogida desde el interior de las entidades que generan el residuo.</w:t>
      </w:r>
      <w:r>
        <w:rPr>
          <w:rFonts w:ascii="Times New Roman" w:eastAsia="Times New Roman" w:hAnsi="Times New Roman" w:cs="Times New Roman"/>
          <w:sz w:val="24"/>
        </w:rPr>
        <w:t xml:space="preserve"> </w:t>
      </w:r>
    </w:p>
    <w:p w:rsidR="00025683" w:rsidRDefault="007C2AAB">
      <w:pPr>
        <w:spacing w:after="99" w:line="350" w:lineRule="auto"/>
        <w:ind w:left="14" w:right="335"/>
      </w:pPr>
      <w:r>
        <w:rPr>
          <w:rFonts w:ascii="Calibri" w:eastAsia="Calibri" w:hAnsi="Calibri" w:cs="Calibri"/>
          <w:noProof/>
        </w:rPr>
        <mc:AlternateContent>
          <mc:Choice Requires="wpg">
            <w:drawing>
              <wp:anchor distT="0" distB="0" distL="114300" distR="114300" simplePos="0" relativeHeight="25193676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8379" name="Group 4183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604" name="Rectangle 3460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4605" name="Rectangle 3460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606" name="Rectangle 3460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258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8379" style="width:18.7031pt;height:264.21pt;position:absolute;mso-position-horizontal-relative:page;mso-position-horizontal:absolute;margin-left:662.928pt;mso-position-vertical-relative:page;margin-top:507.75pt;" coordsize="2375,33554">
                <v:rect id="Rectangle 3460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460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60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258 de 350 </w:t>
                        </w:r>
                      </w:p>
                    </w:txbxContent>
                  </v:textbox>
                </v:rect>
                <w10:wrap type="square"/>
              </v:group>
            </w:pict>
          </mc:Fallback>
        </mc:AlternateContent>
      </w:r>
      <w:r>
        <w:t xml:space="preserve">La gestión privada del residuo no exime de las obligaciones de separación en origen, recogida y tratamiento selectivo del residuo determinadas en esta ordenanza </w:t>
      </w:r>
      <w:r>
        <w:t>y que deberá quedar debidamente acreditado en la documentación a facilitar a los servicios municipales.</w:t>
      </w:r>
      <w:r>
        <w:rPr>
          <w:rFonts w:ascii="Times New Roman" w:eastAsia="Times New Roman" w:hAnsi="Times New Roman" w:cs="Times New Roman"/>
          <w:sz w:val="24"/>
        </w:rPr>
        <w:t xml:space="preserve"> </w:t>
      </w:r>
    </w:p>
    <w:p w:rsidR="00025683" w:rsidRDefault="007C2AAB">
      <w:pPr>
        <w:spacing w:after="172" w:line="354" w:lineRule="auto"/>
        <w:ind w:left="14" w:right="332"/>
      </w:pPr>
      <w:r>
        <w:t>En caso de incumplimiento de las obligaciones de gestión de residuos comerciales no peligrosos por la persona a cargo de producir u otra persona poseed</w:t>
      </w:r>
      <w:r>
        <w:t>ora, la entidad local asumirá subsidiariamente la gestión y podrá repercutir al obligado a realizarla el coste real de la misma. Todo ello sin perjuicio de las responsabilidades en que debiendo cumplir con la obligación hubiera podido incurrir.</w:t>
      </w:r>
      <w:r>
        <w:rPr>
          <w:rFonts w:ascii="Times New Roman" w:eastAsia="Times New Roman" w:hAnsi="Times New Roman" w:cs="Times New Roman"/>
          <w:sz w:val="24"/>
        </w:rPr>
        <w:t xml:space="preserve"> </w:t>
      </w:r>
    </w:p>
    <w:p w:rsidR="00025683" w:rsidRDefault="007C2AAB">
      <w:pPr>
        <w:numPr>
          <w:ilvl w:val="0"/>
          <w:numId w:val="94"/>
        </w:numPr>
        <w:spacing w:line="358" w:lineRule="auto"/>
        <w:ind w:right="328"/>
      </w:pPr>
      <w:r>
        <w:t>Las entida</w:t>
      </w:r>
      <w:r>
        <w:t>des que optasen por la gestión externa de los residuos, ajena al servicio municipal, están obligadas a comunicar con la periodicidad que se establezca, y al menos anualmente, las cantidades en peso de cada una de las fracciones de los residuos gestionados.</w:t>
      </w:r>
      <w:r>
        <w:t xml:space="preserve"> Dicha comunicación deberá estar avalada por la documentación correspondiente de la persona cuya gestión de residuos sea la encargada de su tratamiento final.</w:t>
      </w:r>
      <w:r>
        <w:rPr>
          <w:rFonts w:ascii="Times New Roman" w:eastAsia="Times New Roman" w:hAnsi="Times New Roman" w:cs="Times New Roman"/>
          <w:sz w:val="24"/>
        </w:rPr>
        <w:t xml:space="preserve"> </w:t>
      </w:r>
    </w:p>
    <w:p w:rsidR="00025683" w:rsidRDefault="007C2AAB">
      <w:pPr>
        <w:spacing w:after="114" w:line="339" w:lineRule="auto"/>
        <w:ind w:left="14" w:right="200"/>
      </w:pPr>
      <w:r>
        <w:t>Dicha comunicación deberá hacerse a la concejalía encargada de la gestión de los residuos, y den</w:t>
      </w:r>
      <w:r>
        <w:t>tro del primer trimestre del año posterior al de su generación.</w:t>
      </w:r>
      <w:r>
        <w:rPr>
          <w:rFonts w:ascii="Times New Roman" w:eastAsia="Times New Roman" w:hAnsi="Times New Roman" w:cs="Times New Roman"/>
          <w:sz w:val="24"/>
        </w:rPr>
        <w:t xml:space="preserve"> </w:t>
      </w:r>
    </w:p>
    <w:p w:rsidR="00025683" w:rsidRDefault="007C2AAB">
      <w:pPr>
        <w:spacing w:line="358" w:lineRule="auto"/>
        <w:ind w:left="14" w:right="200"/>
      </w:pPr>
      <w:r>
        <w:t xml:space="preserve">El Ayuntamiento podrá establecer el formato de presentación de dicha información y dictar instrucciones para su confección. </w:t>
      </w:r>
    </w:p>
    <w:p w:rsidR="00025683" w:rsidRDefault="007C2AAB">
      <w:pPr>
        <w:numPr>
          <w:ilvl w:val="0"/>
          <w:numId w:val="94"/>
        </w:numPr>
        <w:spacing w:after="158" w:line="362" w:lineRule="auto"/>
        <w:ind w:right="328"/>
      </w:pPr>
      <w:r>
        <w:t>El Ayuntamiento podrá imponer, de manera motivada y basándose en c</w:t>
      </w:r>
      <w:r>
        <w:t>riterios de mayor eficiencia y eficacia en la gestión de los residuos, la incorporación obligatoria al sistema municipal de gestión de los productores de residuos comerciales no peligrosos y residuos industriales no peligrosos. Dicha incorporación se reali</w:t>
      </w:r>
      <w:r>
        <w:t>zará en aquellos supuestos en los que los residuos generados sean asimilables a domésticos por su naturaleza y composición, de acuerdo con lo establecido en el artículo 12.5 de la Ley 7/2022, de 8 de abril, de residuos y suelos contaminados para una econom</w:t>
      </w:r>
      <w:r>
        <w:t xml:space="preserve">ía circular. </w:t>
      </w:r>
    </w:p>
    <w:p w:rsidR="00025683" w:rsidRDefault="007C2AAB">
      <w:pPr>
        <w:spacing w:after="155" w:line="259" w:lineRule="auto"/>
        <w:ind w:left="0" w:firstLine="0"/>
        <w:jc w:val="left"/>
      </w:pPr>
      <w:r>
        <w:rPr>
          <w:b/>
        </w:rPr>
        <w:t xml:space="preserve"> </w:t>
      </w:r>
    </w:p>
    <w:p w:rsidR="00025683" w:rsidRDefault="007C2AAB">
      <w:pPr>
        <w:spacing w:after="106"/>
        <w:ind w:left="0" w:right="197"/>
      </w:pPr>
      <w:r>
        <w:rPr>
          <w:b/>
        </w:rPr>
        <w:t>Artículo. 28.   Obligaciones  de las personas usuarias del servicio.</w:t>
      </w:r>
      <w:r>
        <w:rPr>
          <w:rFonts w:ascii="Times New Roman" w:eastAsia="Times New Roman" w:hAnsi="Times New Roman" w:cs="Times New Roman"/>
          <w:sz w:val="24"/>
        </w:rPr>
        <w:t xml:space="preserve"> </w:t>
      </w:r>
    </w:p>
    <w:p w:rsidR="00025683" w:rsidRDefault="007C2AAB">
      <w:pPr>
        <w:spacing w:after="88"/>
        <w:ind w:left="14" w:right="200"/>
      </w:pPr>
      <w:r>
        <w:t>Son obligaciones de las personas usuarias del servicio municipal de recogida:</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0"/>
          <w:numId w:val="95"/>
        </w:numPr>
        <w:spacing w:after="180" w:line="359" w:lineRule="auto"/>
        <w:ind w:right="263"/>
      </w:pPr>
      <w:r>
        <w:t>Poner a disposición del Ayuntamiento los residuos generados separados en origen en las fracciones y en las condiciones exigidas en la presente ordenanza, o bien entregarlos, en su caso, a un gestor autorizado por la autoridad autonómica competente en mater</w:t>
      </w:r>
      <w:r>
        <w:t>ia de residuos, siempre contemplando la jerarquía para la gestión de residuos establecida en la normativa</w:t>
      </w:r>
      <w:r>
        <w:rPr>
          <w:rFonts w:ascii="Times New Roman" w:eastAsia="Times New Roman" w:hAnsi="Times New Roman" w:cs="Times New Roman"/>
          <w:sz w:val="24"/>
        </w:rPr>
        <w:t xml:space="preserve"> </w:t>
      </w:r>
    </w:p>
    <w:p w:rsidR="00025683" w:rsidRDefault="007C2AAB">
      <w:pPr>
        <w:spacing w:after="190" w:line="341" w:lineRule="auto"/>
        <w:ind w:left="14" w:right="200"/>
      </w:pPr>
      <w:r>
        <w:rPr>
          <w:rFonts w:ascii="Calibri" w:eastAsia="Calibri" w:hAnsi="Calibri" w:cs="Calibri"/>
          <w:noProof/>
        </w:rPr>
        <mc:AlternateContent>
          <mc:Choice Requires="wpg">
            <w:drawing>
              <wp:anchor distT="0" distB="0" distL="114300" distR="114300" simplePos="0" relativeHeight="25193779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8148" name="Group 4181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821" name="Rectangle 3482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4822" name="Rectangle 3482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4823" name="Rectangle 3482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259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8148" style="width:18.7031pt;height:264.21pt;position:absolute;mso-position-horizontal-relative:page;mso-position-horizontal:absolute;margin-left:662.928pt;mso-position-vertical-relative:page;margin-top:507.75pt;" coordsize="2375,33554">
                <v:rect id="Rectangle 3482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482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482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259 de 350 </w:t>
                        </w:r>
                      </w:p>
                    </w:txbxContent>
                  </v:textbox>
                </v:rect>
                <w10:wrap type="square"/>
              </v:group>
            </w:pict>
          </mc:Fallback>
        </mc:AlternateContent>
      </w:r>
      <w:r>
        <w:t>vigente, y de acuerdo con la separación establecida en las fracciones fijadas por el Ayuntamiento.</w:t>
      </w:r>
      <w:r>
        <w:rPr>
          <w:rFonts w:ascii="Times New Roman" w:eastAsia="Times New Roman" w:hAnsi="Times New Roman" w:cs="Times New Roman"/>
          <w:sz w:val="24"/>
        </w:rPr>
        <w:t xml:space="preserve"> </w:t>
      </w:r>
    </w:p>
    <w:p w:rsidR="00025683" w:rsidRDefault="007C2AAB">
      <w:pPr>
        <w:numPr>
          <w:ilvl w:val="0"/>
          <w:numId w:val="95"/>
        </w:numPr>
        <w:spacing w:after="180" w:line="375" w:lineRule="auto"/>
        <w:ind w:right="263"/>
      </w:pPr>
      <w:r>
        <w:t>Los residuos generados se presentarán de tal forma que se apr</w:t>
      </w:r>
      <w:r>
        <w:t xml:space="preserve">oveche al máximo la capacidad de bolsas y contenedores. </w:t>
      </w:r>
    </w:p>
    <w:p w:rsidR="00025683" w:rsidRDefault="007C2AAB">
      <w:pPr>
        <w:numPr>
          <w:ilvl w:val="0"/>
          <w:numId w:val="95"/>
        </w:numPr>
        <w:spacing w:after="193" w:line="367" w:lineRule="auto"/>
        <w:ind w:right="263"/>
      </w:pPr>
      <w:r>
        <w:t>Conservar y mantener en adecuadas condiciones de higiene, seguridad y limpieza los recipientes normalizados o contenedores entregados y asignados por el Ayuntamiento a las personas generadoras de res</w:t>
      </w:r>
      <w:r>
        <w:t xml:space="preserve">iduos, para su depósito. </w:t>
      </w:r>
    </w:p>
    <w:p w:rsidR="00025683" w:rsidRDefault="007C2AAB">
      <w:pPr>
        <w:numPr>
          <w:ilvl w:val="0"/>
          <w:numId w:val="95"/>
        </w:numPr>
        <w:spacing w:line="355" w:lineRule="auto"/>
        <w:ind w:right="263"/>
      </w:pPr>
      <w:r>
        <w:t>Sacar al espacio público los recipientes asignados para su recogida por el servicio municipal, cumpliendo el horario y lugar establecidos por el Ayuntamiento.</w:t>
      </w:r>
      <w:r>
        <w:rPr>
          <w:rFonts w:ascii="Times New Roman" w:eastAsia="Times New Roman" w:hAnsi="Times New Roman" w:cs="Times New Roman"/>
          <w:sz w:val="24"/>
        </w:rPr>
        <w:t xml:space="preserve"> </w:t>
      </w:r>
    </w:p>
    <w:p w:rsidR="00025683" w:rsidRDefault="007C2AAB">
      <w:pPr>
        <w:spacing w:after="153" w:line="339" w:lineRule="auto"/>
        <w:ind w:left="14" w:right="200"/>
      </w:pPr>
      <w:r>
        <w:t xml:space="preserve">Las autorizaciones del servicio municipal de tratamiento de residuos </w:t>
      </w:r>
      <w:r>
        <w:t>serán las recogidas en los artículos siguientes.</w:t>
      </w:r>
      <w:r>
        <w:rPr>
          <w:rFonts w:ascii="Times New Roman" w:eastAsia="Times New Roman" w:hAnsi="Times New Roman" w:cs="Times New Roman"/>
          <w:sz w:val="24"/>
        </w:rPr>
        <w:t xml:space="preserve"> </w:t>
      </w:r>
    </w:p>
    <w:p w:rsidR="00025683" w:rsidRDefault="007C2AAB">
      <w:pPr>
        <w:spacing w:after="143" w:line="259" w:lineRule="auto"/>
        <w:ind w:left="0" w:firstLine="0"/>
        <w:jc w:val="left"/>
      </w:pPr>
      <w:r>
        <w:rPr>
          <w:b/>
        </w:rPr>
        <w:t xml:space="preserve"> </w:t>
      </w:r>
    </w:p>
    <w:p w:rsidR="00025683" w:rsidRDefault="007C2AAB">
      <w:pPr>
        <w:spacing w:after="141" w:line="259" w:lineRule="auto"/>
        <w:ind w:left="0" w:firstLine="0"/>
        <w:jc w:val="left"/>
      </w:pPr>
      <w:r>
        <w:rPr>
          <w:b/>
        </w:rPr>
        <w:t xml:space="preserve"> </w:t>
      </w:r>
    </w:p>
    <w:p w:rsidR="00025683" w:rsidRDefault="007C2AAB">
      <w:pPr>
        <w:spacing w:after="143" w:line="259" w:lineRule="auto"/>
        <w:ind w:left="0" w:firstLine="0"/>
        <w:jc w:val="left"/>
      </w:pPr>
      <w:r>
        <w:rPr>
          <w:b/>
        </w:rPr>
        <w:t xml:space="preserve"> </w:t>
      </w:r>
    </w:p>
    <w:p w:rsidR="00025683" w:rsidRDefault="007C2AAB">
      <w:pPr>
        <w:spacing w:after="143" w:line="259" w:lineRule="auto"/>
        <w:ind w:left="0" w:firstLine="0"/>
        <w:jc w:val="left"/>
      </w:pPr>
      <w:r>
        <w:rPr>
          <w:b/>
        </w:rPr>
        <w:t xml:space="preserve"> </w:t>
      </w:r>
    </w:p>
    <w:p w:rsidR="00025683" w:rsidRDefault="007C2AAB">
      <w:pPr>
        <w:spacing w:after="0" w:line="259" w:lineRule="auto"/>
        <w:ind w:left="0" w:firstLine="0"/>
        <w:jc w:val="left"/>
      </w:pPr>
      <w:r>
        <w:rPr>
          <w:b/>
        </w:rPr>
        <w:t xml:space="preserve"> </w:t>
      </w:r>
    </w:p>
    <w:p w:rsidR="00025683" w:rsidRDefault="007C2AAB">
      <w:pPr>
        <w:spacing w:after="155" w:line="259" w:lineRule="auto"/>
        <w:ind w:left="0" w:firstLine="0"/>
        <w:jc w:val="left"/>
      </w:pPr>
      <w:r>
        <w:rPr>
          <w:b/>
        </w:rPr>
        <w:t xml:space="preserve"> </w:t>
      </w:r>
    </w:p>
    <w:p w:rsidR="00025683" w:rsidRDefault="007C2AAB">
      <w:pPr>
        <w:spacing w:after="106"/>
        <w:ind w:left="0" w:right="197"/>
      </w:pPr>
      <w:r>
        <w:rPr>
          <w:b/>
        </w:rPr>
        <w:t>Artículo. 29.  Prohibición de actuaciones en materia de residuos</w:t>
      </w:r>
      <w:r>
        <w:t>.</w:t>
      </w:r>
      <w:r>
        <w:rPr>
          <w:rFonts w:ascii="Times New Roman" w:eastAsia="Times New Roman" w:hAnsi="Times New Roman" w:cs="Times New Roman"/>
          <w:sz w:val="24"/>
        </w:rPr>
        <w:t xml:space="preserve"> </w:t>
      </w:r>
    </w:p>
    <w:p w:rsidR="00025683" w:rsidRDefault="007C2AAB">
      <w:pPr>
        <w:spacing w:after="90"/>
        <w:ind w:left="14" w:right="200"/>
      </w:pPr>
      <w:r>
        <w:t>Quedan prohibidas las siguientes actuaciones en materia de residuos:</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0"/>
          <w:numId w:val="96"/>
        </w:numPr>
        <w:spacing w:after="167" w:line="358" w:lineRule="auto"/>
        <w:ind w:right="325"/>
      </w:pPr>
      <w:r>
        <w:t>Someter los residuos generados a tratamientos que obsta</w:t>
      </w:r>
      <w:r>
        <w:t xml:space="preserve">culicen o impidan su posterior valorización y reciclaje, como por ejemplo la trituración o compactación de las fracciones envases, vidrio y cartón. Así mismo, queda expresamente prohibida la mezcla de residuos de distinta naturaleza en los contenedores de </w:t>
      </w:r>
      <w:r>
        <w:t>recogida separada, con el fin de facilitar y asegurar la valorización óptima de los materiales recuperados.</w:t>
      </w:r>
      <w:r>
        <w:rPr>
          <w:rFonts w:ascii="Times New Roman" w:eastAsia="Times New Roman" w:hAnsi="Times New Roman" w:cs="Times New Roman"/>
          <w:sz w:val="24"/>
        </w:rPr>
        <w:t xml:space="preserve"> </w:t>
      </w:r>
    </w:p>
    <w:p w:rsidR="00025683" w:rsidRDefault="007C2AAB">
      <w:pPr>
        <w:numPr>
          <w:ilvl w:val="0"/>
          <w:numId w:val="96"/>
        </w:numPr>
        <w:spacing w:after="169" w:line="358" w:lineRule="auto"/>
        <w:ind w:right="325"/>
      </w:pPr>
      <w:r>
        <w:t xml:space="preserve">Abandonar, depositar, verter o eliminar cualquier tipo de residuos en espacios públicos </w:t>
      </w:r>
      <w:r>
        <w:t xml:space="preserve">sin utilizar las papeleras o contenedores destinados al efecto. Así mismo, queda prohibido el depósito de residuos en puntos de recogida no habilitados, o abandonar junto a los contenedores cajas, enseres, colchones, embalajes, o cualquier tipo de residuo </w:t>
      </w:r>
      <w:r>
        <w:t>domiciliario.</w:t>
      </w:r>
      <w:r>
        <w:rPr>
          <w:rFonts w:ascii="Times New Roman" w:eastAsia="Times New Roman" w:hAnsi="Times New Roman" w:cs="Times New Roman"/>
          <w:sz w:val="24"/>
        </w:rPr>
        <w:t xml:space="preserve"> </w:t>
      </w:r>
    </w:p>
    <w:p w:rsidR="00025683" w:rsidRDefault="007C2AAB">
      <w:pPr>
        <w:numPr>
          <w:ilvl w:val="0"/>
          <w:numId w:val="96"/>
        </w:numPr>
        <w:spacing w:after="223" w:line="357" w:lineRule="auto"/>
        <w:ind w:right="325"/>
      </w:pPr>
      <w:r>
        <w:rPr>
          <w:rFonts w:ascii="Calibri" w:eastAsia="Calibri" w:hAnsi="Calibri" w:cs="Calibri"/>
          <w:noProof/>
        </w:rPr>
        <mc:AlternateContent>
          <mc:Choice Requires="wpg">
            <w:drawing>
              <wp:anchor distT="0" distB="0" distL="114300" distR="114300" simplePos="0" relativeHeight="25193881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8284" name="Group 4182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108" name="Rectangle 3510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5109" name="Rectangle 3510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110" name="Rectangle 3511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260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8284" style="width:18.7031pt;height:264.21pt;position:absolute;mso-position-horizontal-relative:page;mso-position-horizontal:absolute;margin-left:662.928pt;mso-position-vertical-relative:page;margin-top:507.75pt;" coordsize="2375,33554">
                <v:rect id="Rectangle 3510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510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11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260 de 350 </w:t>
                        </w:r>
                      </w:p>
                    </w:txbxContent>
                  </v:textbox>
                </v:rect>
                <w10:wrap type="square"/>
              </v:group>
            </w:pict>
          </mc:Fallback>
        </mc:AlternateContent>
      </w:r>
      <w:r>
        <w:t>La realización de cualquier tipo de activi</w:t>
      </w:r>
      <w:r>
        <w:t>dades que pudieran afectar al servicio de recogida, especialmente, el desplazamiento de las ubicaciones determinadas por el Ayuntamiento para los recipientes.</w:t>
      </w:r>
      <w:r>
        <w:rPr>
          <w:rFonts w:ascii="Times New Roman" w:eastAsia="Times New Roman" w:hAnsi="Times New Roman" w:cs="Times New Roman"/>
          <w:sz w:val="24"/>
        </w:rPr>
        <w:t xml:space="preserve"> </w:t>
      </w:r>
    </w:p>
    <w:p w:rsidR="00025683" w:rsidRDefault="007C2AAB">
      <w:pPr>
        <w:numPr>
          <w:ilvl w:val="0"/>
          <w:numId w:val="96"/>
        </w:numPr>
        <w:spacing w:after="174" w:line="354" w:lineRule="auto"/>
        <w:ind w:right="325"/>
      </w:pPr>
      <w:r>
        <w:t>El abandono de residuos derivados del consumo de bebidas y comidas en concentraciones de carácte</w:t>
      </w:r>
      <w:r>
        <w:t>r lúdico o botellones.</w:t>
      </w:r>
      <w:r>
        <w:rPr>
          <w:rFonts w:ascii="Times New Roman" w:eastAsia="Times New Roman" w:hAnsi="Times New Roman" w:cs="Times New Roman"/>
          <w:sz w:val="24"/>
        </w:rPr>
        <w:t xml:space="preserve"> </w:t>
      </w:r>
    </w:p>
    <w:p w:rsidR="00025683" w:rsidRDefault="007C2AAB">
      <w:pPr>
        <w:numPr>
          <w:ilvl w:val="0"/>
          <w:numId w:val="96"/>
        </w:numPr>
        <w:spacing w:after="192" w:line="367" w:lineRule="auto"/>
        <w:ind w:right="325"/>
      </w:pPr>
      <w:r>
        <w:t>El abandono de Residuos de Construcción y Demolición (RCD), contenerizados o no. Se considera abandono la presentación de estos sin respetar las condiciones exigidas en la sección 1. del capítulo V del título II de la presente orden</w:t>
      </w:r>
      <w:r>
        <w:t xml:space="preserve">anza. </w:t>
      </w:r>
    </w:p>
    <w:p w:rsidR="00025683" w:rsidRDefault="007C2AAB">
      <w:pPr>
        <w:numPr>
          <w:ilvl w:val="0"/>
          <w:numId w:val="96"/>
        </w:numPr>
        <w:spacing w:after="169" w:line="358" w:lineRule="auto"/>
        <w:ind w:right="325"/>
      </w:pPr>
      <w:r>
        <w:t xml:space="preserve">Depositar los restos vegetales derivados de operaciones de desbroce de hierbas, siegas, podas y talas en los cubos de uso individual para vecindades o contenedores ubicados en el espacio público destinados a cualquiera de las fracciones de residuos </w:t>
      </w:r>
      <w:r>
        <w:t>que se recogen separadamente, salvo lo exceptuado en el Artículo 67 ni ser abandonados en el espacio público.</w:t>
      </w:r>
      <w:r>
        <w:rPr>
          <w:rFonts w:ascii="Times New Roman" w:eastAsia="Times New Roman" w:hAnsi="Times New Roman" w:cs="Times New Roman"/>
          <w:sz w:val="24"/>
        </w:rPr>
        <w:t xml:space="preserve"> </w:t>
      </w:r>
    </w:p>
    <w:p w:rsidR="00025683" w:rsidRDefault="007C2AAB">
      <w:pPr>
        <w:numPr>
          <w:ilvl w:val="0"/>
          <w:numId w:val="96"/>
        </w:numPr>
        <w:spacing w:after="168" w:line="358" w:lineRule="auto"/>
        <w:ind w:right="325"/>
      </w:pPr>
      <w:r>
        <w:t>La quema de residuos de poda y jardinería en espacios públicos y privados, salvo que se obtenga una autorización expresa y motivada de la autorid</w:t>
      </w:r>
      <w:r>
        <w:t>ad competente y se realice en cumplimiento estricto de la normativa sectorial aplicable, incluyendo la legislación en materia de residuos, incendios forestales y calidad del aire.</w:t>
      </w:r>
      <w:r>
        <w:rPr>
          <w:rFonts w:ascii="Times New Roman" w:eastAsia="Times New Roman" w:hAnsi="Times New Roman" w:cs="Times New Roman"/>
          <w:sz w:val="24"/>
        </w:rPr>
        <w:t xml:space="preserve"> </w:t>
      </w:r>
    </w:p>
    <w:p w:rsidR="00025683" w:rsidRDefault="007C2AAB">
      <w:pPr>
        <w:numPr>
          <w:ilvl w:val="0"/>
          <w:numId w:val="96"/>
        </w:numPr>
        <w:ind w:right="325"/>
      </w:pPr>
      <w:r>
        <w:t>Depositar basuras domésticas en los contenedores, recipientes o sacos de RC</w:t>
      </w:r>
      <w:r>
        <w:t>D.</w:t>
      </w:r>
      <w:r>
        <w:rPr>
          <w:rFonts w:ascii="Times New Roman" w:eastAsia="Times New Roman" w:hAnsi="Times New Roman" w:cs="Times New Roman"/>
          <w:sz w:val="24"/>
        </w:rPr>
        <w:t xml:space="preserve"> </w:t>
      </w:r>
    </w:p>
    <w:p w:rsidR="00025683" w:rsidRDefault="007C2AAB">
      <w:pPr>
        <w:spacing w:after="0" w:line="259" w:lineRule="auto"/>
        <w:ind w:left="0" w:firstLine="0"/>
        <w:jc w:val="left"/>
      </w:pPr>
      <w:r>
        <w:t xml:space="preserve"> </w:t>
      </w:r>
    </w:p>
    <w:p w:rsidR="00025683" w:rsidRDefault="007C2AAB">
      <w:pPr>
        <w:spacing w:after="237" w:line="259" w:lineRule="auto"/>
        <w:ind w:left="0" w:firstLine="0"/>
        <w:jc w:val="left"/>
      </w:pPr>
      <w:r>
        <w:rPr>
          <w:b/>
        </w:rPr>
        <w:t xml:space="preserve"> </w:t>
      </w:r>
    </w:p>
    <w:p w:rsidR="00025683" w:rsidRDefault="007C2AAB">
      <w:pPr>
        <w:spacing w:after="151" w:line="352" w:lineRule="auto"/>
        <w:ind w:left="0"/>
      </w:pPr>
      <w:r>
        <w:rPr>
          <w:b/>
        </w:rPr>
        <w:t>Artículo. 30.  Obligaciones de las personas productoras o las personas poseedoras de residuos peligrosos o de características extraordinarias.</w:t>
      </w:r>
      <w:r>
        <w:rPr>
          <w:rFonts w:ascii="Times New Roman" w:eastAsia="Times New Roman" w:hAnsi="Times New Roman" w:cs="Times New Roman"/>
          <w:sz w:val="24"/>
        </w:rPr>
        <w:t xml:space="preserve"> </w:t>
      </w:r>
    </w:p>
    <w:p w:rsidR="00025683" w:rsidRDefault="007C2AAB">
      <w:pPr>
        <w:numPr>
          <w:ilvl w:val="0"/>
          <w:numId w:val="97"/>
        </w:numPr>
        <w:spacing w:after="222" w:line="359" w:lineRule="auto"/>
        <w:ind w:right="320"/>
      </w:pPr>
      <w:r>
        <w:t>Las personas poseedoras de residuos domésticos o comerciales que, por su composición, cantidad, volumen, o cualquier otro elemento que pueda generar una incidencia operativa, mecánica o de seguridad en el transporte, recogida, almacenamiento o tratamiento,</w:t>
      </w:r>
      <w:r>
        <w:t xml:space="preserve"> tendrán la obligatoriedad de proporcionar a los servicios municipales información detallada sobre su origen, cantidad y especificaciones.</w:t>
      </w:r>
      <w:r>
        <w:rPr>
          <w:rFonts w:ascii="Times New Roman" w:eastAsia="Times New Roman" w:hAnsi="Times New Roman" w:cs="Times New Roman"/>
          <w:sz w:val="24"/>
        </w:rPr>
        <w:t xml:space="preserve"> </w:t>
      </w:r>
    </w:p>
    <w:p w:rsidR="00025683" w:rsidRDefault="007C2AAB">
      <w:pPr>
        <w:numPr>
          <w:ilvl w:val="0"/>
          <w:numId w:val="97"/>
        </w:numPr>
        <w:spacing w:after="223" w:line="358" w:lineRule="auto"/>
        <w:ind w:right="320"/>
      </w:pPr>
      <w:r>
        <w:t>Las personas productoras o las personas titulares de residuos peligrosos domésticos o de residuos cuyas característi</w:t>
      </w:r>
      <w:r>
        <w:t>cas dificultan su gestión adoptará las medidas necesarias para eliminar o reducir dichas características. Si no fuera posible, los depositará en la forma y lugar designados por el Ayuntamiento.</w:t>
      </w:r>
      <w:r>
        <w:rPr>
          <w:rFonts w:ascii="Times New Roman" w:eastAsia="Times New Roman" w:hAnsi="Times New Roman" w:cs="Times New Roman"/>
          <w:sz w:val="24"/>
        </w:rPr>
        <w:t xml:space="preserve"> </w:t>
      </w:r>
    </w:p>
    <w:p w:rsidR="00025683" w:rsidRDefault="007C2AAB">
      <w:pPr>
        <w:numPr>
          <w:ilvl w:val="0"/>
          <w:numId w:val="97"/>
        </w:numPr>
        <w:spacing w:after="169" w:line="358" w:lineRule="auto"/>
        <w:ind w:right="320"/>
      </w:pPr>
      <w:r>
        <w:rPr>
          <w:rFonts w:ascii="Calibri" w:eastAsia="Calibri" w:hAnsi="Calibri" w:cs="Calibri"/>
          <w:noProof/>
        </w:rPr>
        <mc:AlternateContent>
          <mc:Choice Requires="wpg">
            <w:drawing>
              <wp:anchor distT="0" distB="0" distL="114300" distR="114300" simplePos="0" relativeHeight="25193984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8433" name="Group 4184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311" name="Rectangle 3531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5312" name="Rectangle 3531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w:t>
                              </w:r>
                              <w:r>
                                <w:rPr>
                                  <w:sz w:val="12"/>
                                </w:rPr>
                                <w:t xml:space="preserve">: https://candelaria.sedelectronica.es/ </w:t>
                              </w:r>
                            </w:p>
                          </w:txbxContent>
                        </wps:txbx>
                        <wps:bodyPr horzOverflow="overflow" vert="horz" lIns="0" tIns="0" rIns="0" bIns="0" rtlCol="0">
                          <a:noAutofit/>
                        </wps:bodyPr>
                      </wps:wsp>
                      <wps:wsp>
                        <wps:cNvPr id="35313" name="Rectangle 3531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261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8433" style="width:18.7031pt;height:264.21pt;position:absolute;mso-position-horizontal-relative:page;mso-position-horizontal:absolute;margin-left:662.928pt;mso-position-vertical-relative:page;margin-top:507.75pt;" coordsize="2375,33554">
                <v:rect id="Rectangle 3531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531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31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261 de 350 </w:t>
                        </w:r>
                      </w:p>
                    </w:txbxContent>
                  </v:textbox>
                </v:rect>
                <w10:wrap type="square"/>
              </v:group>
            </w:pict>
          </mc:Fallback>
        </mc:AlternateContent>
      </w:r>
      <w:r>
        <w:t>Cuando se trate de residuos distintos a los generados en los domicilios particulares o comercios y, en especial, resid</w:t>
      </w:r>
      <w:r>
        <w:t>uos de origen industrial no peligroso, el Ayuntamiento podrá obligar a la persona en virtud de su rol como poseedora o productora a entregarlo a gestores autorizados.</w:t>
      </w:r>
      <w:r>
        <w:rPr>
          <w:rFonts w:ascii="Times New Roman" w:eastAsia="Times New Roman" w:hAnsi="Times New Roman" w:cs="Times New Roman"/>
          <w:sz w:val="24"/>
        </w:rPr>
        <w:t xml:space="preserve"> </w:t>
      </w:r>
    </w:p>
    <w:p w:rsidR="00025683" w:rsidRDefault="007C2AAB">
      <w:pPr>
        <w:numPr>
          <w:ilvl w:val="0"/>
          <w:numId w:val="97"/>
        </w:numPr>
        <w:spacing w:after="167" w:line="358" w:lineRule="auto"/>
        <w:ind w:right="320"/>
      </w:pPr>
      <w:r>
        <w:t xml:space="preserve">El tratamiento de residuos deberá ser encargado a un gestor autorizado. Solo en aquellos supuestos en que las personas productoras o poseedoras estén legalmente autorizadas para la autogestión de residuos, deberán presentar una declaración anual, o con la </w:t>
      </w:r>
      <w:r>
        <w:t>frecuencia que establezca el Ayuntamiento, sobre el sistema de gestión utilizado, el tratamiento dado, su destino final y la identificación del gestor o gestores autorizados que se hagan cargo hasta su destino final. El Ayuntamiento podrá efectuar las insp</w:t>
      </w:r>
      <w:r>
        <w:t>ecciones oportunas para comprobar la correcta gestión.</w:t>
      </w:r>
      <w:r>
        <w:rPr>
          <w:rFonts w:ascii="Times New Roman" w:eastAsia="Times New Roman" w:hAnsi="Times New Roman" w:cs="Times New Roman"/>
          <w:sz w:val="24"/>
        </w:rPr>
        <w:t xml:space="preserve"> </w:t>
      </w:r>
    </w:p>
    <w:p w:rsidR="00025683" w:rsidRDefault="007C2AAB">
      <w:pPr>
        <w:numPr>
          <w:ilvl w:val="0"/>
          <w:numId w:val="97"/>
        </w:numPr>
        <w:spacing w:after="3" w:line="368" w:lineRule="auto"/>
        <w:ind w:right="320"/>
      </w:pPr>
      <w:r>
        <w:t>Todas las personas sujetas a las que se ha hecho mención en el presente Artículo estarán obligadas a presentar en origen los residuos de forma separada para su recogida separada y tratamiento posterio</w:t>
      </w:r>
      <w:r>
        <w:t xml:space="preserve">r en los términos regulados en el capítulo IV del título II. </w:t>
      </w:r>
    </w:p>
    <w:p w:rsidR="00025683" w:rsidRDefault="007C2AAB">
      <w:pPr>
        <w:spacing w:after="157" w:line="359" w:lineRule="auto"/>
        <w:ind w:left="14" w:right="330"/>
      </w:pPr>
      <w:r>
        <w:t>El sistema de gestión incluirá todas las fases: contenerización, recogida, transporte y tratamiento. En estos casos ni los residuos ni los recipientes que los contengan podrán permanecer en el e</w:t>
      </w:r>
      <w:r>
        <w:t xml:space="preserve">spacio público, efectuándose la recogida desde el interior de las actividades que generan el residuo. </w:t>
      </w:r>
    </w:p>
    <w:p w:rsidR="00025683" w:rsidRDefault="007C2AAB">
      <w:pPr>
        <w:spacing w:after="0" w:line="259" w:lineRule="auto"/>
        <w:ind w:left="0" w:firstLine="0"/>
        <w:jc w:val="left"/>
      </w:pPr>
      <w:r>
        <w:t xml:space="preserve"> </w:t>
      </w:r>
    </w:p>
    <w:p w:rsidR="00025683" w:rsidRDefault="007C2AAB">
      <w:pPr>
        <w:spacing w:after="263" w:line="259" w:lineRule="auto"/>
        <w:ind w:left="0" w:firstLine="0"/>
        <w:jc w:val="left"/>
      </w:pPr>
      <w:r>
        <w:t xml:space="preserve"> </w:t>
      </w:r>
    </w:p>
    <w:p w:rsidR="00025683" w:rsidRDefault="007C2AAB">
      <w:pPr>
        <w:spacing w:after="174" w:line="359" w:lineRule="auto"/>
        <w:ind w:left="14" w:right="335"/>
      </w:pPr>
      <w:r>
        <w:t>Excepcionalmente, el Ayuntamiento podrá conceder una autorización temporal de depósito en el espacio público por razones operativas o logísticas debi</w:t>
      </w:r>
      <w:r>
        <w:t xml:space="preserve">damente justificadas por el servicio municipal, estableciendo las condiciones, horarios y ubicación específica del contenedor o recipiente. </w:t>
      </w:r>
    </w:p>
    <w:p w:rsidR="00025683" w:rsidRDefault="007C2AAB">
      <w:pPr>
        <w:spacing w:after="168"/>
        <w:ind w:left="0" w:right="197"/>
      </w:pPr>
      <w:r>
        <w:rPr>
          <w:b/>
        </w:rPr>
        <w:t>Artículo. 31.  Sobre el uso y ubicación de contenedores de residuos.</w:t>
      </w:r>
      <w:r>
        <w:rPr>
          <w:rFonts w:ascii="Times New Roman" w:eastAsia="Times New Roman" w:hAnsi="Times New Roman" w:cs="Times New Roman"/>
          <w:sz w:val="24"/>
        </w:rPr>
        <w:t xml:space="preserve"> </w:t>
      </w:r>
    </w:p>
    <w:p w:rsidR="00025683" w:rsidRDefault="007C2AAB">
      <w:pPr>
        <w:numPr>
          <w:ilvl w:val="0"/>
          <w:numId w:val="98"/>
        </w:numPr>
        <w:spacing w:after="172" w:line="358" w:lineRule="auto"/>
        <w:ind w:right="320"/>
      </w:pPr>
      <w:r>
        <w:t>Carácter de la ubicación. La ubicación de los</w:t>
      </w:r>
      <w:r>
        <w:t xml:space="preserve"> contenedores de residuos en la vía pública (tanto para la fracción resto como para la recogida selectiva) es competencia exclusiva de los servicios técnicos municipales. La ubicación elegida se establece con carácter fijo, atendiendo a criterios de salubr</w:t>
      </w:r>
      <w:r>
        <w:t>idad, accesibilidad para los ciudadanos, seguridad vial y eficiencia del servicio de recogida según las zonas.</w:t>
      </w:r>
      <w:r>
        <w:rPr>
          <w:rFonts w:ascii="Times New Roman" w:eastAsia="Times New Roman" w:hAnsi="Times New Roman" w:cs="Times New Roman"/>
          <w:sz w:val="24"/>
        </w:rPr>
        <w:t xml:space="preserve"> </w:t>
      </w:r>
    </w:p>
    <w:p w:rsidR="00025683" w:rsidRDefault="007C2AAB">
      <w:pPr>
        <w:numPr>
          <w:ilvl w:val="0"/>
          <w:numId w:val="98"/>
        </w:numPr>
        <w:spacing w:after="170" w:line="358" w:lineRule="auto"/>
        <w:ind w:right="320"/>
      </w:pPr>
      <w:r>
        <w:t>Prohibición de traslado no autorizado. Queda prohibido a particulares (o entidades privadas no autorizadas) trasladar, mover o alterar en cualqu</w:t>
      </w:r>
      <w:r>
        <w:t>ier modo la posición de los contenedores fuera del emplazamiento asignado de forma permanente. La manipulación indebida de los contenedores podrá sancionarse conforme a esta Ordenanza.</w:t>
      </w:r>
      <w:r>
        <w:rPr>
          <w:rFonts w:ascii="Times New Roman" w:eastAsia="Times New Roman" w:hAnsi="Times New Roman" w:cs="Times New Roman"/>
          <w:sz w:val="24"/>
        </w:rPr>
        <w:t xml:space="preserve"> </w:t>
      </w:r>
    </w:p>
    <w:p w:rsidR="00025683" w:rsidRDefault="007C2AAB">
      <w:pPr>
        <w:numPr>
          <w:ilvl w:val="0"/>
          <w:numId w:val="98"/>
        </w:numPr>
        <w:spacing w:after="145" w:line="358" w:lineRule="auto"/>
        <w:ind w:right="320"/>
      </w:pPr>
      <w:r>
        <w:rPr>
          <w:rFonts w:ascii="Calibri" w:eastAsia="Calibri" w:hAnsi="Calibri" w:cs="Calibri"/>
          <w:noProof/>
        </w:rPr>
        <mc:AlternateContent>
          <mc:Choice Requires="wpg">
            <w:drawing>
              <wp:anchor distT="0" distB="0" distL="114300" distR="114300" simplePos="0" relativeHeight="25194086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8679" name="Group 4186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586" name="Rectangle 3558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5587" name="Rectangle 3558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5588" name="Rectangle 3558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262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8679" style="width:18.7031pt;height:264.21pt;position:absolute;mso-position-horizontal-relative:page;mso-position-horizontal:absolute;margin-left:662.928pt;mso-position-vertical-relative:page;margin-top:507.75pt;" coordsize="2375,33554">
                <v:rect id="Rectangle 3558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558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58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262 de 350 </w:t>
                        </w:r>
                      </w:p>
                    </w:txbxContent>
                  </v:textbox>
                </v:rect>
                <w10:wrap type="square"/>
              </v:group>
            </w:pict>
          </mc:Fallback>
        </mc:AlternateContent>
      </w:r>
      <w:r>
        <w:t>Procedimiento de alegaciones. Los ciudadanos o propietarios de inmuebles que estén en desacuerdo con el em</w:t>
      </w:r>
      <w:r>
        <w:t>plazamiento de un contenedor o zona de contenedores concreta o deseen solicitar su reubicación deberán presentar una instancia (en forma de alegación o solicitud) en el Ayuntamiento y ante la concejalía competente, justificando la necesidad de la modificac</w:t>
      </w:r>
      <w:r>
        <w:t>ión que consideren oportuna. Los servicios técnicos municipales evaluarán la solicitud antes de tomar cualquier decisión de cambio y se comunicará al solicitante.</w:t>
      </w:r>
      <w:r>
        <w:rPr>
          <w:rFonts w:ascii="Times New Roman" w:eastAsia="Times New Roman" w:hAnsi="Times New Roman" w:cs="Times New Roman"/>
          <w:sz w:val="24"/>
        </w:rPr>
        <w:t xml:space="preserve"> </w:t>
      </w:r>
    </w:p>
    <w:p w:rsidR="00025683" w:rsidRDefault="007C2AAB">
      <w:pPr>
        <w:spacing w:after="170"/>
        <w:ind w:left="0" w:right="197"/>
      </w:pPr>
      <w:r>
        <w:rPr>
          <w:b/>
        </w:rPr>
        <w:t>Artículo. 32.  Obligación del cierre de los contenedores</w:t>
      </w:r>
      <w:r>
        <w:rPr>
          <w:rFonts w:ascii="Times New Roman" w:eastAsia="Times New Roman" w:hAnsi="Times New Roman" w:cs="Times New Roman"/>
          <w:sz w:val="24"/>
        </w:rPr>
        <w:t xml:space="preserve"> </w:t>
      </w:r>
    </w:p>
    <w:p w:rsidR="00025683" w:rsidRDefault="007C2AAB">
      <w:pPr>
        <w:numPr>
          <w:ilvl w:val="0"/>
          <w:numId w:val="99"/>
        </w:numPr>
        <w:spacing w:after="169" w:line="358" w:lineRule="auto"/>
        <w:ind w:right="325"/>
      </w:pPr>
      <w:r>
        <w:t>Deber de cierre por el usuario. To</w:t>
      </w:r>
      <w:r>
        <w:t>dos los usuarios están obligados, tras depositar los residuos en los contenedores instalados en la vía pública, a asegurarse de que la tapa del contenedor correspondiente quede correctamente cerrada para evitar que sobresalgan residuos, que no se propaguen</w:t>
      </w:r>
      <w:r>
        <w:t xml:space="preserve"> olores molestos, impedir el acceso de animales como insectos y roedores y garantizar las condiciones de higiene y salubridad del entorno.</w:t>
      </w:r>
      <w:r>
        <w:rPr>
          <w:rFonts w:ascii="Times New Roman" w:eastAsia="Times New Roman" w:hAnsi="Times New Roman" w:cs="Times New Roman"/>
          <w:sz w:val="24"/>
        </w:rPr>
        <w:t xml:space="preserve"> </w:t>
      </w:r>
    </w:p>
    <w:p w:rsidR="00025683" w:rsidRDefault="007C2AAB">
      <w:pPr>
        <w:numPr>
          <w:ilvl w:val="0"/>
          <w:numId w:val="99"/>
        </w:numPr>
        <w:spacing w:after="171" w:line="357" w:lineRule="auto"/>
        <w:ind w:right="325"/>
      </w:pPr>
      <w:r>
        <w:t xml:space="preserve">Depósito correcto. En ningún caso se deberá depositar residuos fuera del contenedor, ni se permitirá que el volumen </w:t>
      </w:r>
      <w:r>
        <w:t>del residuo impida el cierre de la tapa. En estos casos, el usuario deberá utilizar otro contenedor con capacidad.</w:t>
      </w:r>
      <w:r>
        <w:rPr>
          <w:rFonts w:ascii="Times New Roman" w:eastAsia="Times New Roman" w:hAnsi="Times New Roman" w:cs="Times New Roman"/>
          <w:sz w:val="24"/>
        </w:rPr>
        <w:t xml:space="preserve"> </w:t>
      </w:r>
    </w:p>
    <w:p w:rsidR="00025683" w:rsidRDefault="007C2AAB">
      <w:pPr>
        <w:numPr>
          <w:ilvl w:val="0"/>
          <w:numId w:val="99"/>
        </w:numPr>
        <w:spacing w:after="141" w:line="349" w:lineRule="auto"/>
        <w:ind w:right="325"/>
      </w:pPr>
      <w:r>
        <w:t>Cierre por el servicio de recogida. El personal de la empresa concesionaria o de los servicios municipales encargado de la recogida y vaciad</w:t>
      </w:r>
      <w:r>
        <w:t>o de los contenedores tiene la obligación de asegurarse de que, una vez finalizada la tarea de vaciado, las tapas queden correctamente cerradas antes de abandonar el lugar de recogida.</w:t>
      </w:r>
      <w:r>
        <w:rPr>
          <w:rFonts w:ascii="Times New Roman" w:eastAsia="Times New Roman" w:hAnsi="Times New Roman" w:cs="Times New Roman"/>
          <w:sz w:val="24"/>
        </w:rPr>
        <w:t xml:space="preserve"> </w:t>
      </w:r>
    </w:p>
    <w:p w:rsidR="00025683" w:rsidRDefault="007C2AAB">
      <w:pPr>
        <w:spacing w:after="200" w:line="341" w:lineRule="auto"/>
        <w:ind w:left="14" w:right="200"/>
      </w:pPr>
      <w:r>
        <w:t>5. Régimen de incumplimiento. El incumplimiento de las obligaciones es</w:t>
      </w:r>
      <w:r>
        <w:t>tablecidas en los puntos 1 y 2 de este artículo por los usuarios será considerado una infracción en esta</w:t>
      </w:r>
      <w:r>
        <w:rPr>
          <w:rFonts w:ascii="Times New Roman" w:eastAsia="Times New Roman" w:hAnsi="Times New Roman" w:cs="Times New Roman"/>
          <w:sz w:val="24"/>
        </w:rPr>
        <w:t xml:space="preserve"> </w:t>
      </w:r>
    </w:p>
    <w:p w:rsidR="00025683" w:rsidRDefault="007C2AAB">
      <w:pPr>
        <w:spacing w:after="159" w:line="360" w:lineRule="auto"/>
        <w:ind w:left="14" w:right="332"/>
      </w:pPr>
      <w:r>
        <w:t>Ordenanza. El incumplimiento del punto 3 por parte del personal del servicio de limpieza se considerará un defecto en la prestación del servicio a efe</w:t>
      </w:r>
      <w:r>
        <w:t xml:space="preserve">ctos de control y seguimiento del contrato existente. </w:t>
      </w:r>
    </w:p>
    <w:p w:rsidR="00025683" w:rsidRDefault="007C2AAB">
      <w:pPr>
        <w:spacing w:after="155" w:line="259" w:lineRule="auto"/>
        <w:ind w:left="0" w:firstLine="0"/>
        <w:jc w:val="left"/>
      </w:pPr>
      <w:r>
        <w:rPr>
          <w:b/>
        </w:rPr>
        <w:t xml:space="preserve"> </w:t>
      </w:r>
    </w:p>
    <w:p w:rsidR="00025683" w:rsidRDefault="007C2AAB">
      <w:pPr>
        <w:spacing w:after="173"/>
        <w:ind w:left="0"/>
      </w:pPr>
      <w:r>
        <w:rPr>
          <w:b/>
        </w:rPr>
        <w:t>Artículo. 33.Obligaciones del personal encargado de gestionar los actos públicos o eventos</w:t>
      </w:r>
      <w:r>
        <w:t>.</w:t>
      </w:r>
      <w:r>
        <w:rPr>
          <w:rFonts w:ascii="Times New Roman" w:eastAsia="Times New Roman" w:hAnsi="Times New Roman" w:cs="Times New Roman"/>
          <w:sz w:val="24"/>
        </w:rPr>
        <w:t xml:space="preserve"> </w:t>
      </w:r>
    </w:p>
    <w:p w:rsidR="00025683" w:rsidRDefault="007C2AAB">
      <w:pPr>
        <w:numPr>
          <w:ilvl w:val="0"/>
          <w:numId w:val="100"/>
        </w:numPr>
        <w:spacing w:after="171" w:line="357" w:lineRule="auto"/>
        <w:ind w:right="330"/>
      </w:pPr>
      <w:r>
        <w:t xml:space="preserve">En los actos públicos o eventos en los que se prevea concentración de público, tanto en </w:t>
      </w:r>
      <w:r>
        <w:t>los espacios públicos como en zonas privadas, las personas o entidades organizadoras quedan obligadas a contemplar la gestión de los residuos que en ellos pudieran generarse.</w:t>
      </w:r>
      <w:r>
        <w:rPr>
          <w:rFonts w:ascii="Times New Roman" w:eastAsia="Times New Roman" w:hAnsi="Times New Roman" w:cs="Times New Roman"/>
          <w:sz w:val="24"/>
        </w:rPr>
        <w:t xml:space="preserve"> </w:t>
      </w:r>
    </w:p>
    <w:p w:rsidR="00025683" w:rsidRDefault="007C2AAB">
      <w:pPr>
        <w:numPr>
          <w:ilvl w:val="0"/>
          <w:numId w:val="100"/>
        </w:numPr>
        <w:spacing w:after="195" w:line="362" w:lineRule="auto"/>
        <w:ind w:right="330"/>
      </w:pPr>
      <w:r>
        <w:rPr>
          <w:rFonts w:ascii="Calibri" w:eastAsia="Calibri" w:hAnsi="Calibri" w:cs="Calibri"/>
          <w:noProof/>
        </w:rPr>
        <mc:AlternateContent>
          <mc:Choice Requires="wpg">
            <w:drawing>
              <wp:anchor distT="0" distB="0" distL="114300" distR="114300" simplePos="0" relativeHeight="25194188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8926" name="Group 4189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877" name="Rectangle 3587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5878" name="Rectangle 3587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w:t>
                              </w:r>
                              <w:r>
                                <w:rPr>
                                  <w:sz w:val="12"/>
                                </w:rPr>
                                <w:t xml:space="preserve">a.sedelectronica.es/ </w:t>
                              </w:r>
                            </w:p>
                          </w:txbxContent>
                        </wps:txbx>
                        <wps:bodyPr horzOverflow="overflow" vert="horz" lIns="0" tIns="0" rIns="0" bIns="0" rtlCol="0">
                          <a:noAutofit/>
                        </wps:bodyPr>
                      </wps:wsp>
                      <wps:wsp>
                        <wps:cNvPr id="35879" name="Rectangle 3587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263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8926" style="width:18.7031pt;height:264.21pt;position:absolute;mso-position-horizontal-relative:page;mso-position-horizontal:absolute;margin-left:662.928pt;mso-position-vertical-relative:page;margin-top:507.75pt;" coordsize="2375,33554">
                <v:rect id="Rectangle 3587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587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587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263 de 350 </w:t>
                        </w:r>
                      </w:p>
                    </w:txbxContent>
                  </v:textbox>
                </v:rect>
                <w10:wrap type="square"/>
              </v:group>
            </w:pict>
          </mc:Fallback>
        </mc:AlternateContent>
      </w:r>
      <w:r>
        <w:t>En el caso de espacio público, el personal de la organización deberá solicitar al Ayuntamiento los servicios correspondientes de contener</w:t>
      </w:r>
      <w:r>
        <w:t>ización y recogida de residuos, a través de las vías establecidas al efecto, con una antelación mínima de 15 días antes de su inicio. Sobre la petición formulada, el Ayuntamiento podrá efectuar las modificaciones que considere necesarias para lograr el men</w:t>
      </w:r>
      <w:r>
        <w:t xml:space="preserve">or impacto posible. Se deberá contemplar la separación de residuos que se señala en la presente ordenanza, atendiendo a las fracciones que pudieran generarse de forma significativa. </w:t>
      </w:r>
    </w:p>
    <w:p w:rsidR="00025683" w:rsidRDefault="007C2AAB">
      <w:pPr>
        <w:numPr>
          <w:ilvl w:val="0"/>
          <w:numId w:val="100"/>
        </w:numPr>
        <w:spacing w:after="171" w:line="357" w:lineRule="auto"/>
        <w:ind w:right="330"/>
      </w:pPr>
      <w:r>
        <w:t>En el caso de eventos en zonas privadas de naturaleza no doméstica, la or</w:t>
      </w:r>
      <w:r>
        <w:t>ganización podrá gestionar los residuos generados por sí mismas o a través de gestores de residuos autorizados para ello, o bien entregarlos al Ayuntamiento, en cuyo caso se aplicaría el apartado anterior.</w:t>
      </w:r>
      <w:r>
        <w:rPr>
          <w:rFonts w:ascii="Times New Roman" w:eastAsia="Times New Roman" w:hAnsi="Times New Roman" w:cs="Times New Roman"/>
          <w:sz w:val="24"/>
        </w:rPr>
        <w:t xml:space="preserve"> </w:t>
      </w:r>
    </w:p>
    <w:p w:rsidR="00025683" w:rsidRDefault="007C2AAB">
      <w:pPr>
        <w:numPr>
          <w:ilvl w:val="0"/>
          <w:numId w:val="100"/>
        </w:numPr>
        <w:spacing w:after="170" w:line="358" w:lineRule="auto"/>
        <w:ind w:right="330"/>
      </w:pPr>
      <w:r>
        <w:t>Para el caso en que se prevea una afluencia de pú</w:t>
      </w:r>
      <w:r>
        <w:t>blico al acto de más de 5.000 personas en el espacio público, la organización nombrará a una persona responsable de la gestión de los residuos que responderá ante el Ayuntamiento sobre la gestión de aquellos.</w:t>
      </w:r>
      <w:r>
        <w:rPr>
          <w:rFonts w:ascii="Times New Roman" w:eastAsia="Times New Roman" w:hAnsi="Times New Roman" w:cs="Times New Roman"/>
          <w:sz w:val="24"/>
        </w:rPr>
        <w:t xml:space="preserve"> </w:t>
      </w:r>
    </w:p>
    <w:p w:rsidR="00025683" w:rsidRDefault="007C2AAB">
      <w:pPr>
        <w:numPr>
          <w:ilvl w:val="0"/>
          <w:numId w:val="100"/>
        </w:numPr>
        <w:spacing w:after="171" w:line="357" w:lineRule="auto"/>
        <w:ind w:right="330"/>
      </w:pPr>
      <w:r>
        <w:t>Cuando los residuos generados se consideren ex</w:t>
      </w:r>
      <w:r>
        <w:t>cesivos en función de la naturaleza del acto, el Ayuntamiento podrá repercutir en el personal organizativo los costes derivados de la gestión de los residuos generados de los que se haga cargo.</w:t>
      </w:r>
      <w:r>
        <w:rPr>
          <w:rFonts w:ascii="Times New Roman" w:eastAsia="Times New Roman" w:hAnsi="Times New Roman" w:cs="Times New Roman"/>
          <w:sz w:val="24"/>
        </w:rPr>
        <w:t xml:space="preserve"> </w:t>
      </w:r>
    </w:p>
    <w:p w:rsidR="00025683" w:rsidRDefault="007C2AAB">
      <w:pPr>
        <w:numPr>
          <w:ilvl w:val="0"/>
          <w:numId w:val="100"/>
        </w:numPr>
        <w:ind w:right="330"/>
      </w:pPr>
      <w:r>
        <w:t>Quedan excluidos de lo establecido en los apartados anteriore</w:t>
      </w:r>
      <w:r>
        <w:t xml:space="preserve">s, aquellos actos derivados </w:t>
      </w:r>
    </w:p>
    <w:p w:rsidR="00025683" w:rsidRDefault="007C2AAB">
      <w:pPr>
        <w:spacing w:after="253" w:line="358" w:lineRule="auto"/>
        <w:ind w:left="14" w:right="200"/>
      </w:pPr>
      <w:r>
        <w:t xml:space="preserve">del ejercicio de los derechos fundamentales recogidos en los Artículos 21 y 28.2 de la Constitución Española. </w:t>
      </w:r>
    </w:p>
    <w:p w:rsidR="00025683" w:rsidRDefault="007C2AAB">
      <w:pPr>
        <w:numPr>
          <w:ilvl w:val="0"/>
          <w:numId w:val="100"/>
        </w:numPr>
        <w:spacing w:line="357" w:lineRule="auto"/>
        <w:ind w:right="330"/>
      </w:pPr>
      <w:r>
        <w:t xml:space="preserve">Para el caso en que para un acto de naturaleza no doméstica se prevea una afluencia de público de más de 100 </w:t>
      </w:r>
      <w:r>
        <w:t>personas en espacio público o privado, la organización estará obligada a priorizar el uso de vajilla reutilizable.</w:t>
      </w:r>
      <w:r>
        <w:rPr>
          <w:rFonts w:ascii="Times New Roman" w:eastAsia="Times New Roman" w:hAnsi="Times New Roman" w:cs="Times New Roman"/>
          <w:sz w:val="24"/>
        </w:rPr>
        <w:t xml:space="preserve"> </w:t>
      </w:r>
    </w:p>
    <w:p w:rsidR="00025683" w:rsidRDefault="007C2AAB">
      <w:pPr>
        <w:spacing w:after="172" w:line="354" w:lineRule="auto"/>
        <w:ind w:left="14" w:right="326"/>
      </w:pPr>
      <w:r>
        <w:t>En caso de optar por materiales de un solo uso, estos deberán ser reciclables o compostables. La organización tendrá la obligación de instal</w:t>
      </w:r>
      <w:r>
        <w:t>ar y garantizar la recogida separada de estos materiales en sus contenedores específicos (orgánico para compostable, amarillo para reciclable), quedando expresamente prohibido el depósito de plásticos de un solo uso no compostables.</w:t>
      </w:r>
      <w:r>
        <w:rPr>
          <w:rFonts w:ascii="Times New Roman" w:eastAsia="Times New Roman" w:hAnsi="Times New Roman" w:cs="Times New Roman"/>
          <w:sz w:val="24"/>
        </w:rPr>
        <w:t xml:space="preserve"> </w:t>
      </w:r>
    </w:p>
    <w:p w:rsidR="00025683" w:rsidRDefault="007C2AAB">
      <w:pPr>
        <w:numPr>
          <w:ilvl w:val="0"/>
          <w:numId w:val="100"/>
        </w:numPr>
        <w:spacing w:after="170" w:line="358" w:lineRule="auto"/>
        <w:ind w:right="330"/>
      </w:pPr>
      <w:r>
        <w:t>Para el caso en que pa</w:t>
      </w:r>
      <w:r>
        <w:t>ra un acto de naturaleza no doméstica en espacio público o privado se prevea una afluencia de público de menos de 100 personas, y que por tanto esté permitido el uso de vajilla de un solo uso, esta será de materiales no plásticos.</w:t>
      </w:r>
      <w:r>
        <w:rPr>
          <w:rFonts w:ascii="Times New Roman" w:eastAsia="Times New Roman" w:hAnsi="Times New Roman" w:cs="Times New Roman"/>
          <w:sz w:val="24"/>
        </w:rPr>
        <w:t xml:space="preserve"> </w:t>
      </w:r>
    </w:p>
    <w:p w:rsidR="00025683" w:rsidRDefault="007C2AAB">
      <w:pPr>
        <w:numPr>
          <w:ilvl w:val="0"/>
          <w:numId w:val="100"/>
        </w:numPr>
        <w:spacing w:line="367" w:lineRule="auto"/>
        <w:ind w:right="330"/>
      </w:pPr>
      <w:r>
        <w:rPr>
          <w:rFonts w:ascii="Calibri" w:eastAsia="Calibri" w:hAnsi="Calibri" w:cs="Calibri"/>
          <w:noProof/>
        </w:rPr>
        <mc:AlternateContent>
          <mc:Choice Requires="wpg">
            <w:drawing>
              <wp:anchor distT="0" distB="0" distL="114300" distR="114300" simplePos="0" relativeHeight="25194291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9034" name="Group 4190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123" name="Rectangle 3612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Validación: 3J3K</w:t>
                              </w:r>
                              <w:r>
                                <w:rPr>
                                  <w:sz w:val="12"/>
                                </w:rPr>
                                <w:t xml:space="preserve">YNW3CJM74AZ6SEHNT4KKY </w:t>
                              </w:r>
                            </w:p>
                          </w:txbxContent>
                        </wps:txbx>
                        <wps:bodyPr horzOverflow="overflow" vert="horz" lIns="0" tIns="0" rIns="0" bIns="0" rtlCol="0">
                          <a:noAutofit/>
                        </wps:bodyPr>
                      </wps:wsp>
                      <wps:wsp>
                        <wps:cNvPr id="36124" name="Rectangle 3612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125" name="Rectangle 3612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264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9034" style="width:18.7031pt;height:264.21pt;position:absolute;mso-position-horizontal-relative:page;mso-position-horizontal:absolute;margin-left:662.928pt;mso-position-vertical-relative:page;margin-top:507.75pt;" coordsize="2375,33554">
                <v:rect id="Rectangle 3612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612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12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264 de 350 </w:t>
                        </w:r>
                      </w:p>
                    </w:txbxContent>
                  </v:textbox>
                </v:rect>
                <w10:wrap type="square"/>
              </v:group>
            </w:pict>
          </mc:Fallback>
        </mc:AlternateContent>
      </w:r>
      <w:r>
        <w:t xml:space="preserve">Para el caso de actos de cualquier afluencia, queda prohibida la distribución de </w:t>
      </w:r>
      <w:r>
        <w:t xml:space="preserve">todos aquellos productos y envases de plástico de un solo uso que están sujetos a restricciones o prohibiciones por la Ley 7/2022 y el Real Decreto 1055/2022. </w:t>
      </w:r>
    </w:p>
    <w:p w:rsidR="00025683" w:rsidRDefault="007C2AAB">
      <w:pPr>
        <w:spacing w:after="161" w:line="358" w:lineRule="auto"/>
        <w:ind w:left="14" w:right="200"/>
      </w:pPr>
      <w:r>
        <w:t xml:space="preserve">En el caso de otros objetos plásticos no prohibidos, se insta a la sustitución por alternativas </w:t>
      </w:r>
      <w:r>
        <w:t xml:space="preserve">reutilizables o compostables para favorecer la reducción de residuos. </w:t>
      </w:r>
    </w:p>
    <w:p w:rsidR="00025683" w:rsidRDefault="007C2AAB">
      <w:pPr>
        <w:spacing w:after="157" w:line="259" w:lineRule="auto"/>
        <w:ind w:left="0" w:firstLine="0"/>
        <w:jc w:val="left"/>
      </w:pPr>
      <w:r>
        <w:rPr>
          <w:b/>
        </w:rPr>
        <w:t xml:space="preserve"> </w:t>
      </w:r>
    </w:p>
    <w:p w:rsidR="00025683" w:rsidRDefault="007C2AAB">
      <w:pPr>
        <w:spacing w:after="93"/>
        <w:ind w:left="0" w:right="197"/>
      </w:pPr>
      <w:r>
        <w:rPr>
          <w:b/>
        </w:rPr>
        <w:t>Artículo. 34.  Transferencia de residuos.</w:t>
      </w:r>
      <w:r>
        <w:rPr>
          <w:rFonts w:ascii="Times New Roman" w:eastAsia="Times New Roman" w:hAnsi="Times New Roman" w:cs="Times New Roman"/>
          <w:sz w:val="24"/>
        </w:rPr>
        <w:t xml:space="preserve"> </w:t>
      </w:r>
    </w:p>
    <w:p w:rsidR="00025683" w:rsidRDefault="007C2AAB">
      <w:pPr>
        <w:spacing w:after="135" w:line="354" w:lineRule="auto"/>
        <w:ind w:left="14" w:right="327"/>
      </w:pPr>
      <w:r>
        <w:t xml:space="preserve">Queda prohibida cualquier operación de transferencia de residuos en los espacios públicos </w:t>
      </w:r>
      <w:r>
        <w:t>de la ciudad, salvo los que pudieran efectuar los servicios municipales o la que se autorice expresamente y por causas justificadas debidamente motivadas por el órgano competente, en base a actuaciones excepcionales debidos a incidencias que alteren la nor</w:t>
      </w:r>
      <w:r>
        <w:t>malidad de la ciudad, y que así lo requieran.</w:t>
      </w:r>
      <w:r>
        <w:rPr>
          <w:rFonts w:ascii="Times New Roman" w:eastAsia="Times New Roman" w:hAnsi="Times New Roman" w:cs="Times New Roman"/>
          <w:sz w:val="24"/>
        </w:rPr>
        <w:t xml:space="preserve"> </w:t>
      </w:r>
    </w:p>
    <w:p w:rsidR="00025683" w:rsidRDefault="007C2AAB">
      <w:pPr>
        <w:spacing w:after="157" w:line="259" w:lineRule="auto"/>
        <w:ind w:left="0" w:firstLine="0"/>
        <w:jc w:val="left"/>
      </w:pPr>
      <w:r>
        <w:rPr>
          <w:b/>
        </w:rPr>
        <w:t xml:space="preserve"> </w:t>
      </w:r>
    </w:p>
    <w:p w:rsidR="00025683" w:rsidRDefault="007C2AAB">
      <w:pPr>
        <w:spacing w:after="223"/>
        <w:ind w:left="0" w:right="197"/>
      </w:pPr>
      <w:r>
        <w:rPr>
          <w:b/>
        </w:rPr>
        <w:t>Artículo. 35.  Producción ocasional de residuos.</w:t>
      </w:r>
      <w:r>
        <w:rPr>
          <w:rFonts w:ascii="Times New Roman" w:eastAsia="Times New Roman" w:hAnsi="Times New Roman" w:cs="Times New Roman"/>
          <w:sz w:val="24"/>
        </w:rPr>
        <w:t xml:space="preserve"> </w:t>
      </w:r>
    </w:p>
    <w:p w:rsidR="00025683" w:rsidRDefault="007C2AAB">
      <w:pPr>
        <w:numPr>
          <w:ilvl w:val="0"/>
          <w:numId w:val="101"/>
        </w:numPr>
        <w:spacing w:after="180" w:line="364" w:lineRule="auto"/>
        <w:ind w:right="336"/>
      </w:pPr>
      <w:r>
        <w:t xml:space="preserve">En el supuesto de tener que desprenderse de residuos asimilables a domésticos de forma puntual y excepcional en cantidades que superen el límite establecido </w:t>
      </w:r>
      <w:r>
        <w:t>para la recogida ordinaria (determinado en 20 litros o 3 bolsas de basura grandes por día de recogida), el exceso no se podrá presentar conjuntamente con los residuos habituales, con el fin de no alterar los sistemas y servicios ordinarios establecidos. En</w:t>
      </w:r>
      <w:r>
        <w:t xml:space="preserve"> este supuesto, el poseedor del residuo deberá gestionarlo por vías ajenas al servicio municipal ordinario, bien a través de un gestor autorizado de residuos o solicitando un servicio específico al Ayuntamiento.</w:t>
      </w:r>
      <w:r>
        <w:rPr>
          <w:rFonts w:ascii="Times New Roman" w:eastAsia="Times New Roman" w:hAnsi="Times New Roman" w:cs="Times New Roman"/>
          <w:sz w:val="24"/>
        </w:rPr>
        <w:t xml:space="preserve"> </w:t>
      </w:r>
    </w:p>
    <w:p w:rsidR="00025683" w:rsidRDefault="007C2AAB">
      <w:pPr>
        <w:numPr>
          <w:ilvl w:val="0"/>
          <w:numId w:val="101"/>
        </w:numPr>
        <w:spacing w:after="174" w:line="357" w:lineRule="auto"/>
        <w:ind w:right="336"/>
      </w:pPr>
      <w:r>
        <w:t>Para el caso de residuos de origen doméstic</w:t>
      </w:r>
      <w:r>
        <w:t>o, deberá solicitarse al Ayuntamiento su recogida, estableciendo este las fracciones admisibles y las condiciones en que debe hacerse la retirada.</w:t>
      </w:r>
      <w:r>
        <w:rPr>
          <w:rFonts w:ascii="Times New Roman" w:eastAsia="Times New Roman" w:hAnsi="Times New Roman" w:cs="Times New Roman"/>
          <w:sz w:val="24"/>
        </w:rPr>
        <w:t xml:space="preserve"> </w:t>
      </w:r>
    </w:p>
    <w:p w:rsidR="00025683" w:rsidRDefault="007C2AAB">
      <w:pPr>
        <w:numPr>
          <w:ilvl w:val="0"/>
          <w:numId w:val="101"/>
        </w:numPr>
        <w:spacing w:after="141" w:line="375" w:lineRule="auto"/>
        <w:ind w:right="336"/>
      </w:pPr>
      <w:r>
        <w:t>El Ayuntamiento repercutirá el coste correspondiente a la recogida, transporte y tratamiento de los residuos</w:t>
      </w:r>
      <w:r>
        <w:t xml:space="preserve"> en el caso de que se optase por su gestión municipal. </w:t>
      </w:r>
    </w:p>
    <w:p w:rsidR="00025683" w:rsidRDefault="007C2AAB">
      <w:pPr>
        <w:spacing w:after="152" w:line="259" w:lineRule="auto"/>
        <w:ind w:left="0" w:firstLine="0"/>
        <w:jc w:val="left"/>
      </w:pPr>
      <w:r>
        <w:rPr>
          <w:b/>
        </w:rPr>
        <w:t xml:space="preserve"> </w:t>
      </w:r>
    </w:p>
    <w:p w:rsidR="00025683" w:rsidRDefault="007C2AAB">
      <w:pPr>
        <w:spacing w:after="173"/>
        <w:ind w:left="0" w:right="197"/>
      </w:pPr>
      <w:r>
        <w:rPr>
          <w:b/>
        </w:rPr>
        <w:t>Artículo. 36.  Espacios para la recepción de los residuos.</w:t>
      </w:r>
      <w:r>
        <w:rPr>
          <w:rFonts w:ascii="Times New Roman" w:eastAsia="Times New Roman" w:hAnsi="Times New Roman" w:cs="Times New Roman"/>
          <w:sz w:val="24"/>
        </w:rPr>
        <w:t xml:space="preserve"> </w:t>
      </w:r>
    </w:p>
    <w:p w:rsidR="00025683" w:rsidRDefault="007C2AAB">
      <w:pPr>
        <w:numPr>
          <w:ilvl w:val="0"/>
          <w:numId w:val="102"/>
        </w:numPr>
        <w:spacing w:after="194" w:line="362" w:lineRule="auto"/>
        <w:ind w:right="332"/>
      </w:pPr>
      <w:r>
        <w:rPr>
          <w:rFonts w:ascii="Calibri" w:eastAsia="Calibri" w:hAnsi="Calibri" w:cs="Calibri"/>
          <w:noProof/>
        </w:rPr>
        <mc:AlternateContent>
          <mc:Choice Requires="wpg">
            <w:drawing>
              <wp:anchor distT="0" distB="0" distL="114300" distR="114300" simplePos="0" relativeHeight="25194393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9117" name="Group 4191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311" name="Rectangle 3631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6312" name="Rectangle 3631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313" name="Rectangle 3631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265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9117" style="width:18.7031pt;height:264.21pt;position:absolute;mso-position-horizontal-relative:page;mso-position-horizontal:absolute;margin-left:662.928pt;mso-position-vertical-relative:page;margin-top:507.75pt;" coordsize="2375,33554">
                <v:rect id="Rectangle 3631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631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31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265 de 350 </w:t>
                        </w:r>
                      </w:p>
                    </w:txbxContent>
                  </v:textbox>
                </v:rect>
                <w10:wrap type="square"/>
              </v:group>
            </w:pict>
          </mc:Fallback>
        </mc:AlternateContent>
      </w:r>
      <w:r>
        <w:t>Todas las actividades generadoras de residuos, tanto en el ámbito doméstico como comercial e industrial, deberán disponer de espacios adecuados en el interior de</w:t>
      </w:r>
      <w:r>
        <w:t xml:space="preserve"> sus dependencias para el almacenamiento de residuos hasta el momento de su entrega al Ayuntamiento, con la capacidad necesaria para ubicar los recipientes correspondientes a todas las fracciones generadas en la actividad. Además, deberán depositarlos de m</w:t>
      </w:r>
      <w:r>
        <w:t xml:space="preserve">anera separada en los elementos de contenerización dispuestos por el Ayuntamiento, en la forma establecida en la presente ordenanza. </w:t>
      </w:r>
    </w:p>
    <w:p w:rsidR="00025683" w:rsidRDefault="007C2AAB">
      <w:pPr>
        <w:numPr>
          <w:ilvl w:val="0"/>
          <w:numId w:val="102"/>
        </w:numPr>
        <w:spacing w:after="130" w:line="358" w:lineRule="auto"/>
        <w:ind w:right="332"/>
      </w:pPr>
      <w:r>
        <w:t>En el caso de centros sanitarios, y para los proyectos de nueva planta, rehabilitación o reestructuración que afecte a los</w:t>
      </w:r>
      <w:r>
        <w:t xml:space="preserve"> locales para la recepción de residuos de Clase I y Clase II, se garantizará el acceso directo de los vehículos recolectores al local desde el espacio público o por vías interiores del complejo sanitario, evitando la permanencia de estos recipientes en zon</w:t>
      </w:r>
      <w:r>
        <w:t>as no destinadas a ello.</w:t>
      </w:r>
      <w:r>
        <w:rPr>
          <w:rFonts w:ascii="Times New Roman" w:eastAsia="Times New Roman" w:hAnsi="Times New Roman" w:cs="Times New Roman"/>
          <w:sz w:val="24"/>
        </w:rPr>
        <w:t xml:space="preserve"> </w:t>
      </w:r>
    </w:p>
    <w:p w:rsidR="00025683" w:rsidRDefault="007C2AAB">
      <w:pPr>
        <w:spacing w:after="157" w:line="259" w:lineRule="auto"/>
        <w:ind w:left="0" w:firstLine="0"/>
        <w:jc w:val="left"/>
      </w:pPr>
      <w:r>
        <w:rPr>
          <w:b/>
        </w:rPr>
        <w:t xml:space="preserve"> </w:t>
      </w:r>
    </w:p>
    <w:p w:rsidR="00025683" w:rsidRDefault="007C2AAB">
      <w:pPr>
        <w:spacing w:after="90"/>
        <w:ind w:left="0" w:right="197"/>
      </w:pPr>
      <w:r>
        <w:rPr>
          <w:b/>
        </w:rPr>
        <w:t>Artículo. 37.  Trazabilidad.</w:t>
      </w:r>
      <w:r>
        <w:rPr>
          <w:rFonts w:ascii="Times New Roman" w:eastAsia="Times New Roman" w:hAnsi="Times New Roman" w:cs="Times New Roman"/>
          <w:sz w:val="24"/>
        </w:rPr>
        <w:t xml:space="preserve"> </w:t>
      </w:r>
    </w:p>
    <w:p w:rsidR="00025683" w:rsidRDefault="007C2AAB">
      <w:pPr>
        <w:spacing w:after="95" w:line="354" w:lineRule="auto"/>
        <w:ind w:left="14" w:right="324"/>
      </w:pPr>
      <w:r>
        <w:t>Todas las personas jurídicas, tengan o no la condición de gestores de residuos, que intervengan en cualquier proceso que implique mantener la trazabilidad del residuo que se produzca, o vaya a produ</w:t>
      </w:r>
      <w:r>
        <w:t>cirse en un futuro, están obligadas a garantizar la información y documentación de la que se derive la mencionada trazabilidad, la cual estará a disposición del Ayuntamiento en caso de ser requerida.</w:t>
      </w:r>
      <w:r>
        <w:rPr>
          <w:rFonts w:ascii="Times New Roman" w:eastAsia="Times New Roman" w:hAnsi="Times New Roman" w:cs="Times New Roman"/>
          <w:sz w:val="24"/>
        </w:rPr>
        <w:t xml:space="preserve"> </w:t>
      </w:r>
    </w:p>
    <w:p w:rsidR="00025683" w:rsidRDefault="007C2AAB">
      <w:pPr>
        <w:spacing w:after="223" w:line="259" w:lineRule="auto"/>
        <w:ind w:left="0" w:firstLine="0"/>
        <w:jc w:val="left"/>
      </w:pPr>
      <w:r>
        <w:t xml:space="preserve"> </w:t>
      </w:r>
    </w:p>
    <w:p w:rsidR="00025683" w:rsidRDefault="007C2AAB">
      <w:pPr>
        <w:spacing w:after="0" w:line="259" w:lineRule="auto"/>
        <w:ind w:left="0" w:firstLine="0"/>
        <w:jc w:val="left"/>
      </w:pPr>
      <w:r>
        <w:rPr>
          <w:b/>
        </w:rPr>
        <w:t xml:space="preserve"> </w:t>
      </w:r>
    </w:p>
    <w:p w:rsidR="00025683" w:rsidRDefault="007C2AAB">
      <w:pPr>
        <w:spacing w:after="225" w:line="259" w:lineRule="auto"/>
        <w:ind w:left="0" w:firstLine="0"/>
        <w:jc w:val="left"/>
      </w:pPr>
      <w:r>
        <w:rPr>
          <w:b/>
        </w:rPr>
        <w:t xml:space="preserve"> </w:t>
      </w:r>
    </w:p>
    <w:p w:rsidR="00025683" w:rsidRDefault="007C2AAB">
      <w:pPr>
        <w:spacing w:after="239" w:line="259" w:lineRule="auto"/>
        <w:ind w:left="0" w:firstLine="0"/>
        <w:jc w:val="left"/>
      </w:pPr>
      <w:r>
        <w:rPr>
          <w:b/>
        </w:rPr>
        <w:t xml:space="preserve"> </w:t>
      </w:r>
    </w:p>
    <w:p w:rsidR="00025683" w:rsidRDefault="007C2AAB">
      <w:pPr>
        <w:spacing w:after="215"/>
        <w:ind w:left="0" w:right="197"/>
      </w:pPr>
      <w:r>
        <w:rPr>
          <w:b/>
        </w:rPr>
        <w:t xml:space="preserve">Capítulo III. Recipientes para el depósito de </w:t>
      </w:r>
      <w:r>
        <w:rPr>
          <w:b/>
        </w:rPr>
        <w:t>residuos</w:t>
      </w:r>
      <w:r>
        <w:rPr>
          <w:rFonts w:ascii="Times New Roman" w:eastAsia="Times New Roman" w:hAnsi="Times New Roman" w:cs="Times New Roman"/>
          <w:sz w:val="24"/>
        </w:rPr>
        <w:t xml:space="preserve"> </w:t>
      </w:r>
    </w:p>
    <w:p w:rsidR="00025683" w:rsidRDefault="007C2AAB">
      <w:pPr>
        <w:spacing w:after="114" w:line="259" w:lineRule="auto"/>
        <w:ind w:left="0" w:firstLine="0"/>
        <w:jc w:val="left"/>
      </w:pPr>
      <w:r>
        <w:rPr>
          <w:b/>
        </w:rPr>
        <w:t xml:space="preserve"> </w:t>
      </w:r>
    </w:p>
    <w:p w:rsidR="00025683" w:rsidRDefault="007C2AAB">
      <w:pPr>
        <w:spacing w:after="170"/>
        <w:ind w:left="0" w:right="197"/>
      </w:pPr>
      <w:r>
        <w:rPr>
          <w:b/>
        </w:rPr>
        <w:t>Artículo. 38.Clases de recipientes.</w:t>
      </w:r>
      <w:r>
        <w:rPr>
          <w:rFonts w:ascii="Times New Roman" w:eastAsia="Times New Roman" w:hAnsi="Times New Roman" w:cs="Times New Roman"/>
          <w:sz w:val="24"/>
        </w:rPr>
        <w:t xml:space="preserve"> </w:t>
      </w:r>
    </w:p>
    <w:p w:rsidR="00025683" w:rsidRDefault="007C2AAB">
      <w:pPr>
        <w:spacing w:after="182" w:line="376" w:lineRule="auto"/>
        <w:ind w:left="14" w:right="200"/>
      </w:pPr>
      <w:r>
        <w:rPr>
          <w:rFonts w:ascii="Calibri" w:eastAsia="Calibri" w:hAnsi="Calibri" w:cs="Calibri"/>
          <w:sz w:val="24"/>
        </w:rPr>
        <w:t>1.</w:t>
      </w:r>
      <w:r>
        <w:rPr>
          <w:sz w:val="24"/>
        </w:rPr>
        <w:t xml:space="preserve"> </w:t>
      </w:r>
      <w:r>
        <w:t xml:space="preserve">A efectos de esta ordenanza los recipientes para recogida de residuos generales, se clasifican en: </w:t>
      </w:r>
    </w:p>
    <w:p w:rsidR="00025683" w:rsidRDefault="007C2AAB">
      <w:pPr>
        <w:numPr>
          <w:ilvl w:val="0"/>
          <w:numId w:val="103"/>
        </w:numPr>
        <w:spacing w:after="167" w:line="358" w:lineRule="auto"/>
        <w:ind w:right="329"/>
      </w:pPr>
      <w:r>
        <w:t xml:space="preserve">Los cubos o recipientes normalizados de pequeña capacidad son propiedad, responsabilidad y cargo de las </w:t>
      </w:r>
      <w:r>
        <w:t>personas productoras o poseedoras de residuos, quienes deberán adquirirlos, identificarlos y mantenerlos en todo momento en correctas condiciones de uso e higiene. Estos recipientes estarán asignados a los productores de residuos y dispondrán de la identif</w:t>
      </w:r>
      <w:r>
        <w:t>icación que el Ayuntamiento considere al efecto.</w:t>
      </w:r>
      <w:r>
        <w:rPr>
          <w:rFonts w:ascii="Times New Roman" w:eastAsia="Times New Roman" w:hAnsi="Times New Roman" w:cs="Times New Roman"/>
          <w:sz w:val="24"/>
        </w:rPr>
        <w:t xml:space="preserve"> </w:t>
      </w:r>
    </w:p>
    <w:p w:rsidR="00025683" w:rsidRDefault="007C2AAB">
      <w:pPr>
        <w:numPr>
          <w:ilvl w:val="0"/>
          <w:numId w:val="103"/>
        </w:numPr>
        <w:spacing w:after="169" w:line="358" w:lineRule="auto"/>
        <w:ind w:right="329"/>
      </w:pPr>
      <w:r>
        <w:rPr>
          <w:rFonts w:ascii="Calibri" w:eastAsia="Calibri" w:hAnsi="Calibri" w:cs="Calibri"/>
          <w:noProof/>
        </w:rPr>
        <mc:AlternateContent>
          <mc:Choice Requires="wpg">
            <w:drawing>
              <wp:anchor distT="0" distB="0" distL="114300" distR="114300" simplePos="0" relativeHeight="25194496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9278" name="Group 4192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600" name="Rectangle 3660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6601" name="Rectangle 3660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602" name="Rectangle 3660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266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9278" style="width:18.7031pt;height:264.21pt;position:absolute;mso-position-horizontal-relative:page;mso-position-horizontal:absolute;margin-left:662.928pt;mso-position-vertical-relative:page;margin-top:507.75pt;" coordsize="2375,33554">
                <v:rect id="Rectangle 3660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660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60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266 de 350 </w:t>
                        </w:r>
                      </w:p>
                    </w:txbxContent>
                  </v:textbox>
                </v:rect>
                <w10:wrap type="square"/>
              </v:group>
            </w:pict>
          </mc:Fallback>
        </mc:AlternateContent>
      </w:r>
      <w:r>
        <w:t xml:space="preserve">Contenedores, o recipientes normalizados u homologados de mayor capacidad que el Ayuntamiento suministra e instala en las vías públicas de forma permanente para uso de la vecindad del entorno, sin asignación directa a las personas productoras de residuos. </w:t>
      </w:r>
      <w:r>
        <w:t>Podrán suministrarse recipientes de mayor capacidad a entidades generadoras para su uso exclusivo, lo que obliga a aquellas a observar un régimen de utilización semejante a las de los recipientes de menor tamaño que se describe en este capítulo.</w:t>
      </w:r>
      <w:r>
        <w:rPr>
          <w:rFonts w:ascii="Times New Roman" w:eastAsia="Times New Roman" w:hAnsi="Times New Roman" w:cs="Times New Roman"/>
          <w:sz w:val="24"/>
        </w:rPr>
        <w:t xml:space="preserve"> </w:t>
      </w:r>
    </w:p>
    <w:p w:rsidR="00025683" w:rsidRDefault="007C2AAB">
      <w:pPr>
        <w:spacing w:after="177" w:line="355" w:lineRule="auto"/>
        <w:ind w:left="14" w:right="200"/>
      </w:pPr>
      <w:r>
        <w:rPr>
          <w:rFonts w:ascii="Calibri" w:eastAsia="Calibri" w:hAnsi="Calibri" w:cs="Calibri"/>
          <w:sz w:val="24"/>
        </w:rPr>
        <w:t>2.</w:t>
      </w:r>
      <w:r>
        <w:rPr>
          <w:sz w:val="24"/>
        </w:rPr>
        <w:t xml:space="preserve"> </w:t>
      </w:r>
      <w:r>
        <w:t>Los re</w:t>
      </w:r>
      <w:r>
        <w:t>cipientes señalados en el apartado anterior quedarán identificados en base al tipo de residuos que recepcionen separadamente de la siguiente forma:</w:t>
      </w:r>
      <w:r>
        <w:rPr>
          <w:rFonts w:ascii="Times New Roman" w:eastAsia="Times New Roman" w:hAnsi="Times New Roman" w:cs="Times New Roman"/>
          <w:sz w:val="24"/>
        </w:rPr>
        <w:t xml:space="preserve"> </w:t>
      </w:r>
    </w:p>
    <w:p w:rsidR="00025683" w:rsidRDefault="007C2AAB">
      <w:pPr>
        <w:numPr>
          <w:ilvl w:val="0"/>
          <w:numId w:val="104"/>
        </w:numPr>
        <w:ind w:right="200"/>
      </w:pPr>
      <w:r>
        <w:t>Color amarillo para el caso de la fracción envases ligeros (plásticos, metales y brik).</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0"/>
          <w:numId w:val="104"/>
        </w:numPr>
        <w:ind w:right="200"/>
      </w:pPr>
      <w:r>
        <w:t xml:space="preserve">Color azul para </w:t>
      </w:r>
      <w:r>
        <w:t>la fracción papel-cartón.</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0"/>
          <w:numId w:val="104"/>
        </w:numPr>
        <w:ind w:right="200"/>
      </w:pPr>
      <w:r>
        <w:t>Color verde para la fracción envases de vidrio.</w:t>
      </w:r>
      <w:r>
        <w:rPr>
          <w:rFonts w:ascii="Times New Roman" w:eastAsia="Times New Roman" w:hAnsi="Times New Roman" w:cs="Times New Roman"/>
          <w:sz w:val="24"/>
        </w:rPr>
        <w:t xml:space="preserve"> </w:t>
      </w:r>
    </w:p>
    <w:p w:rsidR="00025683" w:rsidRDefault="007C2AAB">
      <w:pPr>
        <w:spacing w:after="137" w:line="259" w:lineRule="auto"/>
        <w:ind w:left="0" w:firstLine="0"/>
        <w:jc w:val="left"/>
      </w:pPr>
      <w:r>
        <w:t xml:space="preserve"> </w:t>
      </w:r>
    </w:p>
    <w:p w:rsidR="00025683" w:rsidRDefault="007C2AAB">
      <w:pPr>
        <w:numPr>
          <w:ilvl w:val="0"/>
          <w:numId w:val="104"/>
        </w:numPr>
        <w:ind w:right="200"/>
      </w:pPr>
      <w:r>
        <w:t>Color marrón para la fracción orgánica o biorresiduo.</w:t>
      </w:r>
      <w:r>
        <w:rPr>
          <w:rFonts w:ascii="Times New Roman" w:eastAsia="Times New Roman" w:hAnsi="Times New Roman" w:cs="Times New Roman"/>
          <w:sz w:val="24"/>
        </w:rPr>
        <w:t xml:space="preserve"> </w:t>
      </w:r>
    </w:p>
    <w:p w:rsidR="00025683" w:rsidRDefault="007C2AAB">
      <w:pPr>
        <w:spacing w:after="140" w:line="259" w:lineRule="auto"/>
        <w:ind w:left="0" w:firstLine="0"/>
        <w:jc w:val="left"/>
      </w:pPr>
      <w:r>
        <w:t xml:space="preserve"> </w:t>
      </w:r>
    </w:p>
    <w:p w:rsidR="00025683" w:rsidRDefault="007C2AAB">
      <w:pPr>
        <w:numPr>
          <w:ilvl w:val="0"/>
          <w:numId w:val="104"/>
        </w:numPr>
        <w:ind w:right="200"/>
      </w:pPr>
      <w:r>
        <w:t>Color gris para la fracción resto no reciclable.</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t xml:space="preserve"> </w:t>
      </w:r>
    </w:p>
    <w:p w:rsidR="00025683" w:rsidRDefault="007C2AAB">
      <w:pPr>
        <w:numPr>
          <w:ilvl w:val="0"/>
          <w:numId w:val="104"/>
        </w:numPr>
        <w:spacing w:after="219"/>
        <w:ind w:right="200"/>
      </w:pPr>
      <w:r>
        <w:t>Color naranja para el aceite vegetal usado (todo el recipiente).</w:t>
      </w:r>
      <w:r>
        <w:rPr>
          <w:rFonts w:ascii="Times New Roman" w:eastAsia="Times New Roman" w:hAnsi="Times New Roman" w:cs="Times New Roman"/>
          <w:sz w:val="24"/>
        </w:rPr>
        <w:t xml:space="preserve"> </w:t>
      </w:r>
    </w:p>
    <w:p w:rsidR="00025683" w:rsidRDefault="007C2AAB">
      <w:pPr>
        <w:numPr>
          <w:ilvl w:val="0"/>
          <w:numId w:val="104"/>
        </w:numPr>
        <w:spacing w:after="95"/>
        <w:ind w:right="200"/>
      </w:pPr>
      <w:r>
        <w:t>Para la fracción de ropa usada, que no está estandarizado, se plantearán colores neutrales con serigrafías e identificación que aclaren su uso.</w:t>
      </w:r>
      <w:r>
        <w:rPr>
          <w:rFonts w:ascii="Times New Roman" w:eastAsia="Times New Roman" w:hAnsi="Times New Roman" w:cs="Times New Roman"/>
          <w:sz w:val="24"/>
        </w:rPr>
        <w:t xml:space="preserve"> </w:t>
      </w:r>
    </w:p>
    <w:p w:rsidR="00025683" w:rsidRDefault="007C2AAB">
      <w:pPr>
        <w:spacing w:after="180" w:line="349" w:lineRule="auto"/>
        <w:ind w:left="14" w:right="332"/>
      </w:pPr>
      <w:r>
        <w:t xml:space="preserve">No obstante, además de los colores descritos, los recipientes de cada fracción se identificarán también por </w:t>
      </w:r>
      <w:r>
        <w:t>parte del Ayuntamiento con las rotulaciones, pegatinas y serigrafías que faciliten la identificación de la fracción a la que están destinados.</w:t>
      </w:r>
      <w:r>
        <w:rPr>
          <w:rFonts w:ascii="Times New Roman" w:eastAsia="Times New Roman" w:hAnsi="Times New Roman" w:cs="Times New Roman"/>
          <w:sz w:val="24"/>
        </w:rPr>
        <w:t xml:space="preserve"> </w:t>
      </w:r>
    </w:p>
    <w:p w:rsidR="00025683" w:rsidRDefault="007C2AAB">
      <w:pPr>
        <w:numPr>
          <w:ilvl w:val="0"/>
          <w:numId w:val="105"/>
        </w:numPr>
        <w:spacing w:after="193" w:line="365" w:lineRule="auto"/>
        <w:ind w:right="329"/>
      </w:pPr>
      <w:r>
        <w:t xml:space="preserve">Los contenedores serán suministrados por la empresa concesionaria del servicio, atendiendo a los modelos en uso </w:t>
      </w:r>
      <w:r>
        <w:t xml:space="preserve">y según criterios municipales. En ningún caso se suministrarán recipientes normalizados para el traslado de los residuos en el interior de las edificaciones o establecimientos. </w:t>
      </w:r>
    </w:p>
    <w:p w:rsidR="00025683" w:rsidRDefault="007C2AAB">
      <w:pPr>
        <w:numPr>
          <w:ilvl w:val="0"/>
          <w:numId w:val="105"/>
        </w:numPr>
        <w:spacing w:after="191" w:line="367" w:lineRule="auto"/>
        <w:ind w:right="329"/>
      </w:pPr>
      <w:r>
        <w:t>El Ayuntamiento se reserva la facultad de disponer en los recipientes municipa</w:t>
      </w:r>
      <w:r>
        <w:t xml:space="preserve">les de sistemas que dificulten el depósito de residuos impropios o no adecuados en alguna de las fracciones existentes, así como sistemas que impidan la extracción de residuos. </w:t>
      </w:r>
    </w:p>
    <w:p w:rsidR="00025683" w:rsidRDefault="007C2AAB">
      <w:pPr>
        <w:numPr>
          <w:ilvl w:val="0"/>
          <w:numId w:val="105"/>
        </w:numPr>
        <w:spacing w:after="180" w:line="375" w:lineRule="auto"/>
        <w:ind w:right="329"/>
      </w:pPr>
      <w:r>
        <w:t>No se aceptará en el proceso de recogida de los residuos ningún recipiente que</w:t>
      </w:r>
      <w:r>
        <w:t xml:space="preserve"> no sea de los modelos normalizados por el Ayuntamiento. </w:t>
      </w:r>
    </w:p>
    <w:p w:rsidR="00025683" w:rsidRDefault="007C2AAB">
      <w:pPr>
        <w:numPr>
          <w:ilvl w:val="0"/>
          <w:numId w:val="105"/>
        </w:numPr>
        <w:spacing w:after="133" w:line="358" w:lineRule="auto"/>
        <w:ind w:right="329"/>
      </w:pPr>
      <w:r>
        <w:rPr>
          <w:rFonts w:ascii="Calibri" w:eastAsia="Calibri" w:hAnsi="Calibri" w:cs="Calibri"/>
          <w:noProof/>
        </w:rPr>
        <mc:AlternateContent>
          <mc:Choice Requires="wpg">
            <w:drawing>
              <wp:anchor distT="0" distB="0" distL="114300" distR="114300" simplePos="0" relativeHeight="25194598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9625" name="Group 41962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815" name="Rectangle 3681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6816" name="Rectangle 3681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6817" name="Rectangle 3681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267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9625" style="width:18.7031pt;height:264.21pt;position:absolute;mso-position-horizontal-relative:page;mso-position-horizontal:absolute;margin-left:662.928pt;mso-position-vertical-relative:page;margin-top:507.75pt;" coordsize="2375,33554">
                <v:rect id="Rectangle 3681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681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681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267 de 350 </w:t>
                        </w:r>
                      </w:p>
                    </w:txbxContent>
                  </v:textbox>
                </v:rect>
                <w10:wrap type="square"/>
              </v:group>
            </w:pict>
          </mc:Fallback>
        </mc:AlternateContent>
      </w:r>
      <w:r>
        <w:t>Los contenedores de recogida no municipales de residuos que se ubiquen en la vía o espacios públicos sin autorización municipal serán retirados por ejecución subsidiaria por los servicios municipales previo apercibimiento a la persona interesada y en el s</w:t>
      </w:r>
      <w:r>
        <w:t>upuesto de incumplimiento del requerimiento para su retirada en un plazo no superior a veinticuatro horas. Todo ello siempre que sea posible la identificación de la persona física o jurídica, así como la identificación del domicilio o sede legal. En caso c</w:t>
      </w:r>
      <w:r>
        <w:t>ontrario se procederá a su retirada de forma inmediata cuando comporte riesgo para el tránsito peatonal y de vehículos.</w:t>
      </w:r>
      <w:r>
        <w:rPr>
          <w:rFonts w:ascii="Times New Roman" w:eastAsia="Times New Roman" w:hAnsi="Times New Roman" w:cs="Times New Roman"/>
          <w:sz w:val="24"/>
        </w:rPr>
        <w:t xml:space="preserve"> </w:t>
      </w:r>
    </w:p>
    <w:p w:rsidR="00025683" w:rsidRDefault="007C2AAB">
      <w:pPr>
        <w:spacing w:after="158" w:line="259" w:lineRule="auto"/>
        <w:ind w:left="0" w:firstLine="0"/>
        <w:jc w:val="left"/>
      </w:pPr>
      <w:r>
        <w:rPr>
          <w:b/>
        </w:rPr>
        <w:t xml:space="preserve"> </w:t>
      </w:r>
    </w:p>
    <w:p w:rsidR="00025683" w:rsidRDefault="007C2AAB">
      <w:pPr>
        <w:spacing w:after="168"/>
        <w:ind w:left="0" w:right="197"/>
      </w:pPr>
      <w:r>
        <w:rPr>
          <w:b/>
        </w:rPr>
        <w:t>Artículo. 39.  Tipología de recipientes en cada zona de la ciudad.  Sistemas de recogida</w:t>
      </w:r>
      <w:r>
        <w:t>.</w:t>
      </w:r>
      <w:r>
        <w:rPr>
          <w:rFonts w:ascii="Times New Roman" w:eastAsia="Times New Roman" w:hAnsi="Times New Roman" w:cs="Times New Roman"/>
          <w:sz w:val="24"/>
        </w:rPr>
        <w:t xml:space="preserve"> </w:t>
      </w:r>
    </w:p>
    <w:p w:rsidR="00025683" w:rsidRDefault="007C2AAB">
      <w:pPr>
        <w:numPr>
          <w:ilvl w:val="0"/>
          <w:numId w:val="106"/>
        </w:numPr>
        <w:spacing w:after="243" w:line="368" w:lineRule="auto"/>
        <w:ind w:right="322"/>
      </w:pPr>
      <w:r>
        <w:t xml:space="preserve">El Ayuntamiento determinará en cada momento el sistema de contenerización más adecuado para cada fracción de residuos y zona de la ciudad, atendiendo a las necesidades, adecuación y eficiencia del servicio. </w:t>
      </w:r>
    </w:p>
    <w:p w:rsidR="00025683" w:rsidRDefault="007C2AAB">
      <w:pPr>
        <w:numPr>
          <w:ilvl w:val="0"/>
          <w:numId w:val="106"/>
        </w:numPr>
        <w:spacing w:line="354" w:lineRule="auto"/>
        <w:ind w:right="322"/>
      </w:pPr>
      <w:r>
        <w:t>El Ayuntamiento puede establecer el uso de cualq</w:t>
      </w:r>
      <w:r>
        <w:t>uiera de los tipos de recipientes descritos anteriormente en cualquier zona de la ciudad.</w:t>
      </w:r>
      <w:r>
        <w:rPr>
          <w:rFonts w:ascii="Times New Roman" w:eastAsia="Times New Roman" w:hAnsi="Times New Roman" w:cs="Times New Roman"/>
          <w:sz w:val="24"/>
        </w:rPr>
        <w:t xml:space="preserve"> </w:t>
      </w:r>
    </w:p>
    <w:p w:rsidR="00025683" w:rsidRDefault="007C2AAB">
      <w:pPr>
        <w:spacing w:line="353" w:lineRule="auto"/>
        <w:ind w:left="14" w:right="323"/>
      </w:pPr>
      <w:r>
        <w:t>Las ubicaciones de los recipientes que se encuentren de forma permanente en el espacio público serán determinadas por el Ayuntamiento, en base a criterios de proximi</w:t>
      </w:r>
      <w:r>
        <w:t>dad de las personas usuarias, de distribución homogénea y uniforme, así como de menor impacto en el entorno.</w:t>
      </w:r>
      <w:r>
        <w:rPr>
          <w:rFonts w:ascii="Times New Roman" w:eastAsia="Times New Roman" w:hAnsi="Times New Roman" w:cs="Times New Roman"/>
          <w:sz w:val="24"/>
        </w:rPr>
        <w:t xml:space="preserve"> </w:t>
      </w:r>
    </w:p>
    <w:p w:rsidR="00025683" w:rsidRDefault="007C2AAB">
      <w:pPr>
        <w:numPr>
          <w:ilvl w:val="0"/>
          <w:numId w:val="106"/>
        </w:numPr>
        <w:spacing w:line="367" w:lineRule="auto"/>
        <w:ind w:right="322"/>
      </w:pPr>
      <w:r>
        <w:t>Para el caso de las entidades que opten por gestionar sus residuos a través de gestores autorizados ajenos al Ayuntamiento, el sistema de contener</w:t>
      </w:r>
      <w:r>
        <w:t xml:space="preserve">ización a emplear en cualquier zona del término municipal será la que determinen ambas partes. </w:t>
      </w:r>
    </w:p>
    <w:p w:rsidR="00025683" w:rsidRDefault="007C2AAB">
      <w:pPr>
        <w:spacing w:after="134" w:line="355" w:lineRule="auto"/>
        <w:ind w:left="14" w:right="319"/>
      </w:pPr>
      <w:r>
        <w:t>En tales casos, los residuos y sus recipientes deben mantenerse almacenados en el interior de las entidades que generan el residuo, no pudiendo permanecer en el</w:t>
      </w:r>
      <w:r>
        <w:t xml:space="preserve"> espacio público de forma habitual. Se exceptúa de esta prohibición el periodo de tiempo necesario y la franja horaria establecida para la colocación y la retirada del recipiente en la vía pública con motivo de la recogida, debiendo contar con la autorizac</w:t>
      </w:r>
      <w:r>
        <w:t>ión y las condiciones expresas del Ayuntamiento para esta ocupación temporal.</w:t>
      </w:r>
      <w:r>
        <w:rPr>
          <w:rFonts w:ascii="Times New Roman" w:eastAsia="Times New Roman" w:hAnsi="Times New Roman" w:cs="Times New Roman"/>
          <w:sz w:val="24"/>
        </w:rPr>
        <w:t xml:space="preserve"> </w:t>
      </w:r>
    </w:p>
    <w:p w:rsidR="00025683" w:rsidRDefault="007C2AAB">
      <w:pPr>
        <w:spacing w:after="157" w:line="259" w:lineRule="auto"/>
        <w:ind w:left="0" w:firstLine="0"/>
        <w:jc w:val="left"/>
      </w:pPr>
      <w:r>
        <w:rPr>
          <w:b/>
        </w:rPr>
        <w:t xml:space="preserve"> </w:t>
      </w:r>
    </w:p>
    <w:p w:rsidR="00025683" w:rsidRDefault="007C2AAB">
      <w:pPr>
        <w:spacing w:after="168"/>
        <w:ind w:left="0" w:right="197"/>
      </w:pPr>
      <w:r>
        <w:rPr>
          <w:b/>
        </w:rPr>
        <w:t>Artículo. 40.   Zonas de la ciudad con sistema de recogida puerta a puerta.</w:t>
      </w:r>
      <w:r>
        <w:rPr>
          <w:rFonts w:ascii="Times New Roman" w:eastAsia="Times New Roman" w:hAnsi="Times New Roman" w:cs="Times New Roman"/>
          <w:sz w:val="24"/>
        </w:rPr>
        <w:t xml:space="preserve"> </w:t>
      </w:r>
    </w:p>
    <w:p w:rsidR="00025683" w:rsidRDefault="007C2AAB">
      <w:pPr>
        <w:numPr>
          <w:ilvl w:val="0"/>
          <w:numId w:val="107"/>
        </w:numPr>
        <w:spacing w:after="167" w:line="358" w:lineRule="auto"/>
        <w:ind w:right="326"/>
      </w:pPr>
      <w:r>
        <w:rPr>
          <w:rFonts w:ascii="Calibri" w:eastAsia="Calibri" w:hAnsi="Calibri" w:cs="Calibri"/>
          <w:noProof/>
        </w:rPr>
        <mc:AlternateContent>
          <mc:Choice Requires="wpg">
            <w:drawing>
              <wp:anchor distT="0" distB="0" distL="114300" distR="114300" simplePos="0" relativeHeight="25194700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0139" name="Group 4201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170" name="Rectangle 3717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7171" name="Rectangle 3717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172" name="Rectangle 3717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268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0139" style="width:18.7031pt;height:264.21pt;position:absolute;mso-position-horizontal-relative:page;mso-position-horizontal:absolute;margin-left:662.928pt;mso-position-vertical-relative:page;margin-top:507.75pt;" coordsize="2375,33554">
                <v:rect id="Rectangle 3717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717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17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268 de 350 </w:t>
                        </w:r>
                      </w:p>
                    </w:txbxContent>
                  </v:textbox>
                </v:rect>
                <w10:wrap type="square"/>
              </v:group>
            </w:pict>
          </mc:Fallback>
        </mc:AlternateContent>
      </w:r>
      <w:r>
        <w:t xml:space="preserve">En las zonas de la ciudad que determine el órgano competente en materia de residuos se dispondrá </w:t>
      </w:r>
      <w:r>
        <w:t>el sistema de recogida de residuos mediante cubos asignados a cada productor de residuos para las fracciones biorresiduo, envases ligeros (plástico, metal y brik), papel y cartón y resto no reciclable. No se podrá sustituir el mencionado sistema por ningún</w:t>
      </w:r>
      <w:r>
        <w:t xml:space="preserve"> otro, por lo que las personas usuarias del sistema se encuentran sometidas a los horarios de presentación a los servicios municipales de recogida de residuos, tal y como se especifica en el capítulo IV del presente título.</w:t>
      </w:r>
      <w:r>
        <w:rPr>
          <w:rFonts w:ascii="Times New Roman" w:eastAsia="Times New Roman" w:hAnsi="Times New Roman" w:cs="Times New Roman"/>
          <w:sz w:val="24"/>
        </w:rPr>
        <w:t xml:space="preserve"> </w:t>
      </w:r>
    </w:p>
    <w:p w:rsidR="00025683" w:rsidRDefault="007C2AAB">
      <w:pPr>
        <w:numPr>
          <w:ilvl w:val="0"/>
          <w:numId w:val="107"/>
        </w:numPr>
        <w:spacing w:after="184" w:line="358" w:lineRule="auto"/>
        <w:ind w:right="326"/>
      </w:pPr>
      <w:r>
        <w:t>En dichas zonas no se podrá alt</w:t>
      </w:r>
      <w:r>
        <w:t>erar, variar o modificar el sistema descrito de recogida de residuos mediante cubos individuales para las mencionadas fracciones, salvo la implantación de sistemas alternativos que no implicase la permanencia de recipientes o infraestructuras de forma perm</w:t>
      </w:r>
      <w:r>
        <w:t>anente en el espacio público.</w:t>
      </w:r>
      <w:r>
        <w:rPr>
          <w:rFonts w:ascii="Times New Roman" w:eastAsia="Times New Roman" w:hAnsi="Times New Roman" w:cs="Times New Roman"/>
          <w:sz w:val="24"/>
        </w:rPr>
        <w:t xml:space="preserve"> </w:t>
      </w:r>
    </w:p>
    <w:p w:rsidR="00025683" w:rsidRDefault="007C2AAB">
      <w:pPr>
        <w:spacing w:after="208" w:line="259" w:lineRule="auto"/>
        <w:ind w:left="0" w:firstLine="0"/>
        <w:jc w:val="left"/>
      </w:pPr>
      <w:r>
        <w:rPr>
          <w:b/>
        </w:rPr>
        <w:t xml:space="preserve"> </w:t>
      </w:r>
    </w:p>
    <w:p w:rsidR="00025683" w:rsidRDefault="007C2AAB">
      <w:pPr>
        <w:spacing w:after="173"/>
        <w:ind w:left="0" w:right="197"/>
      </w:pPr>
      <w:r>
        <w:rPr>
          <w:b/>
        </w:rPr>
        <w:t>Artículo. 41.  Normas de uso de los recipientes normalizados.</w:t>
      </w:r>
      <w:r>
        <w:rPr>
          <w:rFonts w:ascii="Times New Roman" w:eastAsia="Times New Roman" w:hAnsi="Times New Roman" w:cs="Times New Roman"/>
          <w:sz w:val="24"/>
        </w:rPr>
        <w:t xml:space="preserve"> </w:t>
      </w:r>
    </w:p>
    <w:p w:rsidR="00025683" w:rsidRDefault="007C2AAB">
      <w:pPr>
        <w:numPr>
          <w:ilvl w:val="0"/>
          <w:numId w:val="108"/>
        </w:numPr>
        <w:spacing w:line="358" w:lineRule="auto"/>
        <w:ind w:right="327"/>
      </w:pPr>
      <w:r>
        <w:t>Las personas usuarias están obligadas a presentar los residuos de las fracciones establecidas en bolsas diferentes y cerradas solo para la fracción resto, los e</w:t>
      </w:r>
      <w:r>
        <w:t>nvases ligeros y los biorresiduos (siendo estas últimas obligatoriamente compostables). Queda prohibido el uso de bolsas para el depósito de vidrio y papel/cartón, así como para otros flujos especiales como el aceite de cocina usado, la ropa y calzado, que</w:t>
      </w:r>
      <w:r>
        <w:t xml:space="preserve"> deberán depositarse sueltos o en los recipientes de transporte específicos. Las bolsas utilizadas deberán tener la suficiente resistencia para la contención y aislamiento íntegro de su contenido.</w:t>
      </w:r>
      <w:r>
        <w:rPr>
          <w:rFonts w:ascii="Times New Roman" w:eastAsia="Times New Roman" w:hAnsi="Times New Roman" w:cs="Times New Roman"/>
          <w:sz w:val="24"/>
        </w:rPr>
        <w:t xml:space="preserve"> </w:t>
      </w:r>
    </w:p>
    <w:p w:rsidR="00025683" w:rsidRDefault="007C2AAB">
      <w:pPr>
        <w:numPr>
          <w:ilvl w:val="0"/>
          <w:numId w:val="108"/>
        </w:numPr>
        <w:spacing w:after="128" w:line="358" w:lineRule="auto"/>
        <w:ind w:right="327"/>
      </w:pPr>
      <w:r>
        <w:t>Los recipientes asignados de menor capacidad, o cubos, son</w:t>
      </w:r>
      <w:r>
        <w:t xml:space="preserve"> de titularidad municipal, debiendo utilizarse exclusivamente para el depósito de dichos residuos generados en el lugar en que se ubique la actividad, y en ningún caso podrán ser trasladados del lugar al que están asignados. En caso de cese de actividad, l</w:t>
      </w:r>
      <w:r>
        <w:t>a entidad usuaria de los recipientes está obligada a comunicar dicha circunstancia al servicio municipal competente, con objeto de que se proceda a su retirada.</w:t>
      </w:r>
      <w:r>
        <w:rPr>
          <w:rFonts w:ascii="Times New Roman" w:eastAsia="Times New Roman" w:hAnsi="Times New Roman" w:cs="Times New Roman"/>
          <w:sz w:val="24"/>
        </w:rPr>
        <w:t xml:space="preserve"> </w:t>
      </w:r>
    </w:p>
    <w:p w:rsidR="00025683" w:rsidRDefault="007C2AAB">
      <w:pPr>
        <w:spacing w:after="280" w:line="259" w:lineRule="auto"/>
        <w:ind w:left="0" w:firstLine="0"/>
        <w:jc w:val="left"/>
      </w:pPr>
      <w:r>
        <w:t xml:space="preserve"> </w:t>
      </w:r>
    </w:p>
    <w:p w:rsidR="00025683" w:rsidRDefault="007C2AAB">
      <w:pPr>
        <w:spacing w:after="173"/>
        <w:ind w:left="0" w:right="197"/>
      </w:pPr>
      <w:r>
        <w:rPr>
          <w:b/>
        </w:rPr>
        <w:t>Artículo. 42. Conservación y limpieza de los cubos.</w:t>
      </w:r>
      <w:r>
        <w:rPr>
          <w:rFonts w:ascii="Times New Roman" w:eastAsia="Times New Roman" w:hAnsi="Times New Roman" w:cs="Times New Roman"/>
          <w:sz w:val="24"/>
        </w:rPr>
        <w:t xml:space="preserve"> </w:t>
      </w:r>
    </w:p>
    <w:p w:rsidR="00025683" w:rsidRDefault="007C2AAB">
      <w:pPr>
        <w:numPr>
          <w:ilvl w:val="0"/>
          <w:numId w:val="109"/>
        </w:numPr>
        <w:spacing w:after="167" w:line="358" w:lineRule="auto"/>
        <w:ind w:right="327"/>
      </w:pPr>
      <w:r>
        <w:t>Para el caso de los recipientes normali</w:t>
      </w:r>
      <w:r>
        <w:t>zados de menor capacidad, o cubos, destinados al uso por las actividades generadoras de residuos en las zonas de recogida específica, las operaciones de limpieza y desinfección de los recipientes serán por cuenta de la comunidad de propietarios o de quiene</w:t>
      </w:r>
      <w:r>
        <w:t>s habiten el inmueble cuando aquella no esté constituida, siempre que se trate de edificios destinados a vivienda. Esta limpieza deberá realizarse con la frecuencia mínima de una vez al mes y siempre que las condiciones de salubridad e higiene lo exijan.</w:t>
      </w:r>
      <w:r>
        <w:rPr>
          <w:rFonts w:ascii="Times New Roman" w:eastAsia="Times New Roman" w:hAnsi="Times New Roman" w:cs="Times New Roman"/>
          <w:sz w:val="24"/>
        </w:rPr>
        <w:t xml:space="preserve"> </w:t>
      </w:r>
    </w:p>
    <w:p w:rsidR="00025683" w:rsidRDefault="007C2AAB">
      <w:pPr>
        <w:numPr>
          <w:ilvl w:val="0"/>
          <w:numId w:val="109"/>
        </w:numPr>
        <w:spacing w:after="197" w:line="358" w:lineRule="auto"/>
        <w:ind w:right="327"/>
      </w:pPr>
      <w:r>
        <w:rPr>
          <w:rFonts w:ascii="Calibri" w:eastAsia="Calibri" w:hAnsi="Calibri" w:cs="Calibri"/>
          <w:noProof/>
        </w:rPr>
        <mc:AlternateContent>
          <mc:Choice Requires="wpg">
            <w:drawing>
              <wp:anchor distT="0" distB="0" distL="114300" distR="114300" simplePos="0" relativeHeight="25194803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9698" name="Group 41969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466" name="Rectangle 3746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7467" name="Rectangle 3746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468" name="Rectangle 3746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269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9698" style="width:18.7031pt;height:264.21pt;position:absolute;mso-position-horizontal-relative:page;mso-position-horizontal:absolute;margin-left:662.928pt;mso-position-vertical-relative:page;margin-top:507.75pt;" coordsize="2375,33554">
                <v:rect id="Rectangle 3746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746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46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269 de 350 </w:t>
                        </w:r>
                      </w:p>
                    </w:txbxContent>
                  </v:textbox>
                </v:rect>
                <w10:wrap type="square"/>
              </v:group>
            </w:pict>
          </mc:Fallback>
        </mc:AlternateContent>
      </w:r>
      <w:r>
        <w:t>En el caso de tratarse de edificios o establecimientos comerciales o de servicios, será responsabilidad de la persona beneficiaria del servicio municipal de recogida, realizar tal cometido.</w:t>
      </w:r>
      <w:r>
        <w:rPr>
          <w:rFonts w:ascii="Times New Roman" w:eastAsia="Times New Roman" w:hAnsi="Times New Roman" w:cs="Times New Roman"/>
          <w:sz w:val="24"/>
        </w:rPr>
        <w:t xml:space="preserve"> </w:t>
      </w:r>
    </w:p>
    <w:p w:rsidR="00025683" w:rsidRDefault="007C2AAB">
      <w:pPr>
        <w:spacing w:after="90"/>
        <w:ind w:left="0" w:right="197"/>
      </w:pPr>
      <w:r>
        <w:rPr>
          <w:b/>
        </w:rPr>
        <w:t>Artículo. 43.  Necesidades y desperfectos de  los  recipientes</w:t>
      </w:r>
      <w:r>
        <w:t>.</w:t>
      </w:r>
      <w:r>
        <w:rPr>
          <w:rFonts w:ascii="Times New Roman" w:eastAsia="Times New Roman" w:hAnsi="Times New Roman" w:cs="Times New Roman"/>
          <w:sz w:val="24"/>
        </w:rPr>
        <w:t xml:space="preserve"> </w:t>
      </w:r>
    </w:p>
    <w:p w:rsidR="00025683" w:rsidRDefault="007C2AAB">
      <w:pPr>
        <w:spacing w:after="131" w:line="355" w:lineRule="auto"/>
        <w:ind w:left="14" w:right="322"/>
      </w:pPr>
      <w:r>
        <w:t>Las anomalías, desperfectos o necesidades de reparación de recipientes serán responsabilidad de las personas productoras o poseedoras de residuos. El Ayuntamiento solo procederá al suministro o reparación de recipientes en los supuestos de grandes generado</w:t>
      </w:r>
      <w:r>
        <w:t>res que cuenten con autorización o convenio expreso con el servicio municipal. En estos casos, la persona interesada deberá solicitar la dotación de recipientes, procediendo el Ayuntamiento a su suministro previa comprobación de su necesidad.</w:t>
      </w:r>
      <w:r>
        <w:rPr>
          <w:rFonts w:ascii="Times New Roman" w:eastAsia="Times New Roman" w:hAnsi="Times New Roman" w:cs="Times New Roman"/>
          <w:sz w:val="24"/>
        </w:rPr>
        <w:t xml:space="preserve"> </w:t>
      </w:r>
    </w:p>
    <w:p w:rsidR="00025683" w:rsidRDefault="007C2AAB">
      <w:pPr>
        <w:spacing w:after="143" w:line="352" w:lineRule="auto"/>
        <w:ind w:left="14" w:right="319"/>
      </w:pPr>
      <w:r>
        <w:t>En el caso d</w:t>
      </w:r>
      <w:r>
        <w:t>e que los desperfectos o necesidades de recipientes sean causadas por negligencia en el uso y conservación de las personas usuarias, el Ayuntamiento podrá repercutir sobre ellas los costes de reparación o dotación, sin perjuicio de la apertura, en su caso,</w:t>
      </w:r>
      <w:r>
        <w:t xml:space="preserve"> de los procedimientos administrativos sancionadores.</w:t>
      </w:r>
      <w:r>
        <w:rPr>
          <w:rFonts w:ascii="Times New Roman" w:eastAsia="Times New Roman" w:hAnsi="Times New Roman" w:cs="Times New Roman"/>
          <w:sz w:val="24"/>
        </w:rPr>
        <w:t xml:space="preserve"> </w:t>
      </w:r>
    </w:p>
    <w:p w:rsidR="00025683" w:rsidRDefault="007C2AAB">
      <w:pPr>
        <w:spacing w:after="143" w:line="259" w:lineRule="auto"/>
        <w:ind w:left="0" w:firstLine="0"/>
        <w:jc w:val="left"/>
      </w:pPr>
      <w:r>
        <w:rPr>
          <w:b/>
        </w:rPr>
        <w:t xml:space="preserve"> </w:t>
      </w:r>
    </w:p>
    <w:p w:rsidR="00025683" w:rsidRDefault="007C2AAB">
      <w:pPr>
        <w:spacing w:after="143" w:line="259" w:lineRule="auto"/>
        <w:ind w:left="0" w:firstLine="0"/>
        <w:jc w:val="left"/>
      </w:pPr>
      <w:r>
        <w:rPr>
          <w:b/>
        </w:rPr>
        <w:t xml:space="preserve"> </w:t>
      </w:r>
    </w:p>
    <w:p w:rsidR="00025683" w:rsidRDefault="007C2AAB">
      <w:pPr>
        <w:spacing w:after="0" w:line="259" w:lineRule="auto"/>
        <w:ind w:left="0" w:firstLine="0"/>
        <w:jc w:val="left"/>
      </w:pPr>
      <w:r>
        <w:rPr>
          <w:b/>
        </w:rPr>
        <w:t xml:space="preserve"> </w:t>
      </w:r>
    </w:p>
    <w:p w:rsidR="00025683" w:rsidRDefault="007C2AAB">
      <w:pPr>
        <w:spacing w:after="143" w:line="259" w:lineRule="auto"/>
        <w:ind w:left="0" w:firstLine="0"/>
        <w:jc w:val="left"/>
      </w:pPr>
      <w:r>
        <w:rPr>
          <w:b/>
        </w:rPr>
        <w:t xml:space="preserve"> </w:t>
      </w:r>
    </w:p>
    <w:p w:rsidR="00025683" w:rsidRDefault="007C2AAB">
      <w:pPr>
        <w:spacing w:after="160" w:line="259" w:lineRule="auto"/>
        <w:ind w:left="0" w:firstLine="0"/>
        <w:jc w:val="left"/>
      </w:pPr>
      <w:r>
        <w:rPr>
          <w:b/>
        </w:rPr>
        <w:t xml:space="preserve"> </w:t>
      </w:r>
    </w:p>
    <w:p w:rsidR="00025683" w:rsidRDefault="007C2AAB">
      <w:pPr>
        <w:spacing w:after="126"/>
        <w:ind w:left="0" w:right="197"/>
      </w:pPr>
      <w:r>
        <w:rPr>
          <w:b/>
        </w:rPr>
        <w:t>Artículo. 44. de agentes del ámbito privado.</w:t>
      </w:r>
      <w:r>
        <w:rPr>
          <w:rFonts w:ascii="Times New Roman" w:eastAsia="Times New Roman" w:hAnsi="Times New Roman" w:cs="Times New Roman"/>
          <w:sz w:val="24"/>
        </w:rPr>
        <w:t xml:space="preserve"> </w:t>
      </w:r>
    </w:p>
    <w:p w:rsidR="00025683" w:rsidRDefault="007C2AAB">
      <w:pPr>
        <w:spacing w:after="177" w:line="359" w:lineRule="auto"/>
        <w:ind w:left="14" w:right="325"/>
      </w:pPr>
      <w:r>
        <w:t>Los modelos de recipientes que empleen los gestores autorizados de residuos en el término municipal de la ciudad serán determinados por estos, debiendo cumplir los criterios de normalización que garanticen su correcto funcionamiento. Además, deberán garant</w:t>
      </w:r>
      <w:r>
        <w:t>izar la identificación clara de la fracción de residuos que contienen y del gestor autorizado responsable. En todo caso, la ubicación de estos recipientes no podrá afectar al espacio público sin la autorización expresa del Ayuntamiento, limitándose su perm</w:t>
      </w:r>
      <w:r>
        <w:t xml:space="preserve">anencia al tiempo estricto de la recogida. </w:t>
      </w:r>
    </w:p>
    <w:p w:rsidR="00025683" w:rsidRDefault="007C2AAB">
      <w:pPr>
        <w:spacing w:after="131"/>
        <w:ind w:left="0" w:right="197"/>
      </w:pPr>
      <w:r>
        <w:rPr>
          <w:b/>
        </w:rPr>
        <w:t>Artículo. 45. Otros tipos de recipientes.</w:t>
      </w:r>
      <w:r>
        <w:rPr>
          <w:rFonts w:ascii="Times New Roman" w:eastAsia="Times New Roman" w:hAnsi="Times New Roman" w:cs="Times New Roman"/>
          <w:sz w:val="24"/>
        </w:rPr>
        <w:t xml:space="preserve"> </w:t>
      </w:r>
    </w:p>
    <w:p w:rsidR="00025683" w:rsidRDefault="007C2AAB">
      <w:pPr>
        <w:spacing w:after="185" w:line="352" w:lineRule="auto"/>
        <w:ind w:left="14" w:right="330"/>
      </w:pPr>
      <w:r>
        <w:t>El Ayuntamiento, a través del órgano competente en materia de residuos, podrá determinar o aprobar cualquier otro tipo de recipiente para la recogida o segregación de al</w:t>
      </w:r>
      <w:r>
        <w:t>guna de las fracciones, así como su funcionamiento, con el objetivo de lograr los objetivos de separación que determine la normativa.</w:t>
      </w:r>
      <w:r>
        <w:rPr>
          <w:rFonts w:ascii="Times New Roman" w:eastAsia="Times New Roman" w:hAnsi="Times New Roman" w:cs="Times New Roman"/>
          <w:sz w:val="24"/>
        </w:rPr>
        <w:t xml:space="preserve"> </w:t>
      </w:r>
    </w:p>
    <w:p w:rsidR="00025683" w:rsidRDefault="007C2AAB">
      <w:pPr>
        <w:spacing w:after="200" w:line="259" w:lineRule="auto"/>
        <w:ind w:left="0" w:firstLine="0"/>
        <w:jc w:val="left"/>
      </w:pPr>
      <w:r>
        <w:rPr>
          <w:rFonts w:ascii="Calibri" w:eastAsia="Calibri" w:hAnsi="Calibri" w:cs="Calibri"/>
          <w:noProof/>
        </w:rPr>
        <mc:AlternateContent>
          <mc:Choice Requires="wpg">
            <w:drawing>
              <wp:anchor distT="0" distB="0" distL="114300" distR="114300" simplePos="0" relativeHeight="25194905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9565" name="Group 4195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680" name="Rectangle 3768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7681" name="Rectangle 3768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682" name="Rectangle 3768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w:t>
                              </w:r>
                              <w:r>
                                <w:rPr>
                                  <w:sz w:val="12"/>
                                </w:rPr>
                                <w:t xml:space="preserve"> electrónicamente desde la plataforma esPublico Gestiona | Página 270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9565" style="width:18.7031pt;height:264.21pt;position:absolute;mso-position-horizontal-relative:page;mso-position-horizontal:absolute;margin-left:662.928pt;mso-position-vertical-relative:page;margin-top:507.75pt;" coordsize="2375,33554">
                <v:rect id="Rectangle 3768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768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68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270 de 350 </w:t>
                        </w:r>
                      </w:p>
                    </w:txbxContent>
                  </v:textbox>
                </v:rect>
                <w10:wrap type="square"/>
              </v:group>
            </w:pict>
          </mc:Fallback>
        </mc:AlternateContent>
      </w:r>
      <w:r>
        <w:rPr>
          <w:b/>
        </w:rPr>
        <w:t xml:space="preserve"> </w:t>
      </w:r>
    </w:p>
    <w:p w:rsidR="00025683" w:rsidRDefault="007C2AAB">
      <w:pPr>
        <w:spacing w:after="69"/>
        <w:ind w:left="0" w:right="197"/>
      </w:pPr>
      <w:r>
        <w:rPr>
          <w:b/>
        </w:rPr>
        <w:t>Capítulo IV. Separación, depósito y recogida de los residuos generales</w:t>
      </w:r>
      <w:r>
        <w:rPr>
          <w:rFonts w:ascii="Times New Roman" w:eastAsia="Times New Roman" w:hAnsi="Times New Roman" w:cs="Times New Roman"/>
          <w:sz w:val="24"/>
        </w:rPr>
        <w:t xml:space="preserve"> </w:t>
      </w:r>
    </w:p>
    <w:p w:rsidR="00025683" w:rsidRDefault="007C2AAB">
      <w:pPr>
        <w:spacing w:after="100" w:line="259" w:lineRule="auto"/>
        <w:ind w:left="0" w:firstLine="0"/>
        <w:jc w:val="left"/>
      </w:pPr>
      <w:r>
        <w:rPr>
          <w:b/>
        </w:rPr>
        <w:t xml:space="preserve"> </w:t>
      </w:r>
    </w:p>
    <w:p w:rsidR="00025683" w:rsidRDefault="007C2AAB">
      <w:pPr>
        <w:spacing w:after="156" w:line="349" w:lineRule="auto"/>
        <w:ind w:left="0" w:right="197"/>
      </w:pPr>
      <w:r>
        <w:rPr>
          <w:b/>
        </w:rPr>
        <w:t xml:space="preserve">Artículo. 46. Horario, lugar de presentación y retirada de cubos normalizados de los </w:t>
      </w:r>
      <w:r>
        <w:rPr>
          <w:b/>
        </w:rPr>
        <w:t>espacios públicos.</w:t>
      </w:r>
      <w:r>
        <w:rPr>
          <w:rFonts w:ascii="Times New Roman" w:eastAsia="Times New Roman" w:hAnsi="Times New Roman" w:cs="Times New Roman"/>
          <w:sz w:val="24"/>
        </w:rPr>
        <w:t xml:space="preserve"> </w:t>
      </w:r>
    </w:p>
    <w:p w:rsidR="00025683" w:rsidRDefault="007C2AAB">
      <w:pPr>
        <w:numPr>
          <w:ilvl w:val="0"/>
          <w:numId w:val="110"/>
        </w:numPr>
        <w:spacing w:after="125" w:line="358" w:lineRule="auto"/>
        <w:ind w:right="328"/>
      </w:pPr>
      <w:r>
        <w:t>En el caso de que la recogida se efectuase mediante recipientes normalizados de menor capacidad, o cubos, asignados a cada generador de residuos, dichos recipientes serán colocados de forma previa a su vaciado por los servicios municipa</w:t>
      </w:r>
      <w:r>
        <w:t>les, en el espacio público frente a la fachada de la edificación y junto al borde de la calzada. Bajo ninguna circunstancia podrán obstaculizar accesos, pasos peatonales o elementos de accesibilidad. En caso de existir problemas de ubicación o que esta afe</w:t>
      </w:r>
      <w:r>
        <w:t>cte a la seguridad, el lugar será el que los servicios técnicos municipales señalen al efecto.</w:t>
      </w:r>
      <w:r>
        <w:rPr>
          <w:rFonts w:ascii="Times New Roman" w:eastAsia="Times New Roman" w:hAnsi="Times New Roman" w:cs="Times New Roman"/>
          <w:sz w:val="24"/>
        </w:rPr>
        <w:t xml:space="preserve"> </w:t>
      </w:r>
    </w:p>
    <w:p w:rsidR="00025683" w:rsidRDefault="007C2AAB">
      <w:pPr>
        <w:spacing w:after="192" w:line="359" w:lineRule="auto"/>
        <w:ind w:left="14" w:right="325"/>
      </w:pPr>
      <w:r>
        <w:t xml:space="preserve">Esta operación no podrá hacerse antes de una hora del paso del vehículo recolector, si la recogida se efectúa durante el día, o antes de las veintidós horas si </w:t>
      </w:r>
      <w:r>
        <w:t>la misma es nocturna. Una vez vaciados los recipientes se retirarán del espacio público en un plazo máximo de treinta minutos, en el caso de que la recogida se realice durante el día, o antes de las ocho de la mañana si la recogida se efectúa durante la no</w:t>
      </w:r>
      <w:r>
        <w:t>che, a excepción de los correspondientes a establecimientos comerciales, servicios de restauración y bares, que pueden ser retirados en el momento de la apertura, y, en todo caso, antes de las nueve de la mañana.</w:t>
      </w:r>
      <w:r>
        <w:rPr>
          <w:rFonts w:ascii="Times New Roman" w:eastAsia="Times New Roman" w:hAnsi="Times New Roman" w:cs="Times New Roman"/>
          <w:sz w:val="24"/>
        </w:rPr>
        <w:t xml:space="preserve"> </w:t>
      </w:r>
    </w:p>
    <w:p w:rsidR="00025683" w:rsidRDefault="007C2AAB">
      <w:pPr>
        <w:numPr>
          <w:ilvl w:val="0"/>
          <w:numId w:val="110"/>
        </w:numPr>
        <w:spacing w:after="170" w:line="358" w:lineRule="auto"/>
        <w:ind w:right="328"/>
      </w:pPr>
      <w:r>
        <w:t>En las edificaciones con amplios patios de</w:t>
      </w:r>
      <w:r>
        <w:t xml:space="preserve"> manzana o viales interiores transitables, en los que el portal o entrada del inmueble se abre a estos, es necesario que los vehículos recolectores tengan adecuado acceso, y en las debidas condiciones de seguridad. En caso contrario, los recipientes deberá</w:t>
      </w:r>
      <w:r>
        <w:t>n colocarse en espacios públicos al paso del vehículo recolector.</w:t>
      </w:r>
      <w:r>
        <w:rPr>
          <w:rFonts w:ascii="Times New Roman" w:eastAsia="Times New Roman" w:hAnsi="Times New Roman" w:cs="Times New Roman"/>
          <w:sz w:val="24"/>
        </w:rPr>
        <w:t xml:space="preserve"> </w:t>
      </w:r>
    </w:p>
    <w:p w:rsidR="00025683" w:rsidRDefault="007C2AAB">
      <w:pPr>
        <w:numPr>
          <w:ilvl w:val="0"/>
          <w:numId w:val="110"/>
        </w:numPr>
        <w:spacing w:after="224" w:line="357" w:lineRule="auto"/>
        <w:ind w:right="328"/>
      </w:pPr>
      <w:r>
        <w:t>En aquellos supuestos en que el vehículo recolector no pueda acceder a los portales de los inmuebles, o al punto de presentación de los residuos, los recipientes habrán de colocarse en un l</w:t>
      </w:r>
      <w:r>
        <w:t>ugar al que tenga acceso dicho vehículo.</w:t>
      </w:r>
      <w:r>
        <w:rPr>
          <w:rFonts w:ascii="Times New Roman" w:eastAsia="Times New Roman" w:hAnsi="Times New Roman" w:cs="Times New Roman"/>
          <w:sz w:val="24"/>
        </w:rPr>
        <w:t xml:space="preserve"> </w:t>
      </w:r>
    </w:p>
    <w:p w:rsidR="00025683" w:rsidRDefault="007C2AAB">
      <w:pPr>
        <w:numPr>
          <w:ilvl w:val="0"/>
          <w:numId w:val="110"/>
        </w:numPr>
        <w:spacing w:after="130" w:line="358" w:lineRule="auto"/>
        <w:ind w:right="328"/>
      </w:pPr>
      <w:r>
        <w:rPr>
          <w:rFonts w:ascii="Calibri" w:eastAsia="Calibri" w:hAnsi="Calibri" w:cs="Calibri"/>
          <w:noProof/>
        </w:rPr>
        <mc:AlternateContent>
          <mc:Choice Requires="wpg">
            <w:drawing>
              <wp:anchor distT="0" distB="0" distL="114300" distR="114300" simplePos="0" relativeHeight="25195008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1324" name="Group 4213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7917" name="Rectangle 3791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7918" name="Rectangle 3791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7919" name="Rectangle 3791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271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1324" style="width:18.7031pt;height:264.21pt;position:absolute;mso-position-horizontal-relative:page;mso-position-horizontal:absolute;margin-left:662.928pt;mso-position-vertical-relative:page;margin-top:507.75pt;" coordsize="2375,33554">
                <v:rect id="Rectangle 3791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791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791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271 de 350 </w:t>
                        </w:r>
                      </w:p>
                    </w:txbxContent>
                  </v:textbox>
                </v:rect>
                <w10:wrap type="square"/>
              </v:group>
            </w:pict>
          </mc:Fallback>
        </mc:AlternateContent>
      </w:r>
      <w:r>
        <w:t>Para el caso de los contenedores colectivos de mayor capacidad instalados de forma permanente en el espacio público, no se establece un horario general para el depósito de los residuos, sin perjuicio de la potestad del órgano competente del Ayuntamiento pa</w:t>
      </w:r>
      <w:r>
        <w:t>ra establecer limitaciones horarias específicas para determinadas fracciones o zonas sensibles (como vías marítimas o áreas turísticas). Se mantiene la excepción de lo dispuesto para la fracción vidrio en el Artículo 50.</w:t>
      </w:r>
      <w:r>
        <w:rPr>
          <w:rFonts w:ascii="Times New Roman" w:eastAsia="Times New Roman" w:hAnsi="Times New Roman" w:cs="Times New Roman"/>
          <w:sz w:val="24"/>
        </w:rPr>
        <w:t xml:space="preserve"> </w:t>
      </w:r>
    </w:p>
    <w:p w:rsidR="00025683" w:rsidRDefault="007C2AAB">
      <w:pPr>
        <w:spacing w:after="155" w:line="259" w:lineRule="auto"/>
        <w:ind w:left="0" w:firstLine="0"/>
        <w:jc w:val="left"/>
      </w:pPr>
      <w:r>
        <w:rPr>
          <w:b/>
        </w:rPr>
        <w:t xml:space="preserve"> </w:t>
      </w:r>
    </w:p>
    <w:p w:rsidR="00025683" w:rsidRDefault="007C2AAB">
      <w:pPr>
        <w:spacing w:after="170"/>
        <w:ind w:left="0" w:right="197"/>
      </w:pPr>
      <w:r>
        <w:rPr>
          <w:b/>
        </w:rPr>
        <w:t>Artículo. 47.  Separación, depós</w:t>
      </w:r>
      <w:r>
        <w:rPr>
          <w:b/>
        </w:rPr>
        <w:t>ito y recogida de biorresiduo.</w:t>
      </w:r>
      <w:r>
        <w:rPr>
          <w:rFonts w:ascii="Times New Roman" w:eastAsia="Times New Roman" w:hAnsi="Times New Roman" w:cs="Times New Roman"/>
          <w:sz w:val="24"/>
        </w:rPr>
        <w:t xml:space="preserve"> </w:t>
      </w:r>
    </w:p>
    <w:p w:rsidR="00025683" w:rsidRDefault="007C2AAB">
      <w:pPr>
        <w:numPr>
          <w:ilvl w:val="0"/>
          <w:numId w:val="111"/>
        </w:numPr>
        <w:spacing w:after="167" w:line="359" w:lineRule="auto"/>
        <w:ind w:right="215" w:hanging="10"/>
        <w:jc w:val="left"/>
      </w:pPr>
      <w:r>
        <w:t>El biorresiduo o fracción orgánica se depositará en el interior de los recipientes que se destinen para la recogida de esta fracción, tanto en contenedores en el espacio público como en cubos de uso obligatorio para los prod</w:t>
      </w:r>
      <w:r>
        <w:t>uctores de este residuo. Queda expresamente prohibido depositar residuos que no sean biorresiduo (impropios) o que obstaculicen el posterior tratamiento y valorización de la fracción orgánica.</w:t>
      </w:r>
      <w:r>
        <w:rPr>
          <w:rFonts w:ascii="Times New Roman" w:eastAsia="Times New Roman" w:hAnsi="Times New Roman" w:cs="Times New Roman"/>
          <w:sz w:val="24"/>
        </w:rPr>
        <w:t xml:space="preserve"> </w:t>
      </w:r>
    </w:p>
    <w:p w:rsidR="00025683" w:rsidRDefault="007C2AAB">
      <w:pPr>
        <w:numPr>
          <w:ilvl w:val="0"/>
          <w:numId w:val="111"/>
        </w:numPr>
        <w:spacing w:after="130" w:line="358" w:lineRule="auto"/>
        <w:ind w:right="215" w:hanging="10"/>
        <w:jc w:val="left"/>
      </w:pPr>
      <w:r>
        <w:t>Los biorresiduos (fracción orgánica) deberán depositarse oblig</w:t>
      </w:r>
      <w:r>
        <w:t xml:space="preserve">atoriamente en bolsas compostables certificadas que cumplan la norma europea EN 13432:2000 u otros estándares europeos y nacionales vigentes sobre compostabilidad de plásticos. Queda estrictamente prohibido depositar en esta fracción residuos impropios no </w:t>
      </w:r>
      <w:r>
        <w:t>orgánicos, tales como pañales, toallitas húmedas, colillas, chicles o cualquier otro material destinado al contenedor de resto (gris). El uso de cubos individuales ventilados para la recogida doméstica de biorresiduos queda bajo la responsabilidad de adqui</w:t>
      </w:r>
      <w:r>
        <w:t>sición del poseedor del residuo.</w:t>
      </w:r>
      <w:r>
        <w:rPr>
          <w:rFonts w:ascii="Times New Roman" w:eastAsia="Times New Roman" w:hAnsi="Times New Roman" w:cs="Times New Roman"/>
          <w:sz w:val="24"/>
        </w:rPr>
        <w:t xml:space="preserve"> </w:t>
      </w:r>
    </w:p>
    <w:p w:rsidR="00025683" w:rsidRDefault="007C2AAB">
      <w:pPr>
        <w:spacing w:after="143" w:line="259" w:lineRule="auto"/>
        <w:ind w:left="0" w:firstLine="0"/>
        <w:jc w:val="left"/>
      </w:pPr>
      <w:r>
        <w:rPr>
          <w:b/>
        </w:rPr>
        <w:t xml:space="preserve"> </w:t>
      </w:r>
    </w:p>
    <w:p w:rsidR="00025683" w:rsidRDefault="007C2AAB">
      <w:pPr>
        <w:spacing w:after="0" w:line="259" w:lineRule="auto"/>
        <w:ind w:left="0" w:firstLine="0"/>
        <w:jc w:val="left"/>
      </w:pPr>
      <w:r>
        <w:rPr>
          <w:b/>
        </w:rPr>
        <w:t xml:space="preserve"> </w:t>
      </w:r>
    </w:p>
    <w:p w:rsidR="00025683" w:rsidRDefault="007C2AAB">
      <w:pPr>
        <w:spacing w:after="155" w:line="259" w:lineRule="auto"/>
        <w:ind w:left="0" w:firstLine="0"/>
        <w:jc w:val="left"/>
      </w:pPr>
      <w:r>
        <w:rPr>
          <w:b/>
        </w:rPr>
        <w:t xml:space="preserve"> </w:t>
      </w:r>
    </w:p>
    <w:p w:rsidR="00025683" w:rsidRDefault="007C2AAB">
      <w:pPr>
        <w:spacing w:after="173"/>
        <w:ind w:left="0" w:right="197"/>
      </w:pPr>
      <w:r>
        <w:rPr>
          <w:b/>
        </w:rPr>
        <w:t>Artículo. 48.  Separación, depósito y recogida de plásticos, metales y briks.</w:t>
      </w:r>
      <w:r>
        <w:rPr>
          <w:rFonts w:ascii="Times New Roman" w:eastAsia="Times New Roman" w:hAnsi="Times New Roman" w:cs="Times New Roman"/>
          <w:sz w:val="24"/>
        </w:rPr>
        <w:t xml:space="preserve"> </w:t>
      </w:r>
    </w:p>
    <w:p w:rsidR="00025683" w:rsidRDefault="007C2AAB">
      <w:pPr>
        <w:numPr>
          <w:ilvl w:val="0"/>
          <w:numId w:val="112"/>
        </w:numPr>
        <w:spacing w:after="183" w:line="356" w:lineRule="auto"/>
        <w:ind w:right="328"/>
      </w:pPr>
      <w:r>
        <w:t>Los residuos de plástico o metal y brik se depositarán en el interior de los recipientes que disponga el Ayuntamiento en cada momento par</w:t>
      </w:r>
      <w:r>
        <w:t>a la recogida de esta fracción, tanto contenedores en espacio público como en cubos asignados a las personas productoras de este residuo.</w:t>
      </w:r>
      <w:r>
        <w:rPr>
          <w:rFonts w:ascii="Times New Roman" w:eastAsia="Times New Roman" w:hAnsi="Times New Roman" w:cs="Times New Roman"/>
          <w:sz w:val="24"/>
        </w:rPr>
        <w:t xml:space="preserve"> </w:t>
      </w:r>
      <w:r>
        <w:t>Los residuos de plástico, metal y brik, salvo aquellos que sean voluminosos, deberán depositarse dentro de los recipie</w:t>
      </w:r>
      <w:r>
        <w:t>ntes siempre que sea posible introducirlos a través de sus bocas sin colapsar su capacidad. Los elementos de mayores dimensiones deberán depositarse según su tipología según lo dispuesto en el capítulo VI del presente título.</w:t>
      </w:r>
      <w:r>
        <w:rPr>
          <w:rFonts w:ascii="Times New Roman" w:eastAsia="Times New Roman" w:hAnsi="Times New Roman" w:cs="Times New Roman"/>
          <w:sz w:val="24"/>
        </w:rPr>
        <w:t xml:space="preserve"> </w:t>
      </w:r>
    </w:p>
    <w:p w:rsidR="00025683" w:rsidRDefault="007C2AAB">
      <w:pPr>
        <w:spacing w:after="198" w:line="361" w:lineRule="auto"/>
        <w:ind w:left="14" w:right="200"/>
      </w:pPr>
      <w:r>
        <w:t xml:space="preserve">Los residuos se deberán depositar en bolsas de plástico de resistencia adecuada y cerradas, para evitar la contaminación de dicha fracción. </w:t>
      </w:r>
    </w:p>
    <w:p w:rsidR="00025683" w:rsidRDefault="007C2AAB">
      <w:pPr>
        <w:numPr>
          <w:ilvl w:val="0"/>
          <w:numId w:val="112"/>
        </w:numPr>
        <w:spacing w:after="169" w:line="358" w:lineRule="auto"/>
        <w:ind w:right="328"/>
      </w:pPr>
      <w:r>
        <w:rPr>
          <w:rFonts w:ascii="Calibri" w:eastAsia="Calibri" w:hAnsi="Calibri" w:cs="Calibri"/>
          <w:noProof/>
        </w:rPr>
        <mc:AlternateContent>
          <mc:Choice Requires="wpg">
            <w:drawing>
              <wp:anchor distT="0" distB="0" distL="114300" distR="114300" simplePos="0" relativeHeight="25195110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1552" name="Group 42155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127" name="Rectangle 3812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8128" name="Rectangle 3812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8129" name="Rectangle 3812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w:t>
                              </w:r>
                              <w:r>
                                <w:rPr>
                                  <w:sz w:val="12"/>
                                </w:rPr>
                                <w:t xml:space="preserve">irmado electrónicamente desde la plataforma esPublico Gestiona | Página 272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1552" style="width:18.7031pt;height:264.21pt;position:absolute;mso-position-horizontal-relative:page;mso-position-horizontal:absolute;margin-left:662.928pt;mso-position-vertical-relative:page;margin-top:507.75pt;" coordsize="2375,33554">
                <v:rect id="Rectangle 3812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812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812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272 de 350 </w:t>
                        </w:r>
                      </w:p>
                    </w:txbxContent>
                  </v:textbox>
                </v:rect>
                <w10:wrap type="square"/>
              </v:group>
            </w:pict>
          </mc:Fallback>
        </mc:AlternateContent>
      </w:r>
      <w:r>
        <w:t>No obstante, el Ayuntamiento podrá determinar la segregación de esta fracción en subfracciones, atendiendo a la naturaleza de los elementos que la pudieran componer. Igualm</w:t>
      </w:r>
      <w:r>
        <w:t>ente establecerá la gestión a que se someterá cada una de ellas, incluidos los sistemas de depósito, contenerización, recogida y tratamiento, así como la afección que estos pudieran tener sobre las personas usuarias.</w:t>
      </w:r>
      <w:r>
        <w:rPr>
          <w:rFonts w:ascii="Times New Roman" w:eastAsia="Times New Roman" w:hAnsi="Times New Roman" w:cs="Times New Roman"/>
          <w:sz w:val="24"/>
        </w:rPr>
        <w:t xml:space="preserve"> </w:t>
      </w:r>
    </w:p>
    <w:p w:rsidR="00025683" w:rsidRDefault="007C2AAB">
      <w:pPr>
        <w:numPr>
          <w:ilvl w:val="0"/>
          <w:numId w:val="112"/>
        </w:numPr>
        <w:spacing w:after="152" w:line="367" w:lineRule="auto"/>
        <w:ind w:right="328"/>
      </w:pPr>
      <w:r>
        <w:t>Para el caso de establecerse el sistem</w:t>
      </w:r>
      <w:r>
        <w:t xml:space="preserve">a de depósito, devolución y retorno (SDDR), legalmente previsto, los establecimientos que pudieran estar obligadas a ello deberán disponer de los medios y superficies que garanticen el correcto funcionamiento del sistema. </w:t>
      </w:r>
    </w:p>
    <w:p w:rsidR="00025683" w:rsidRDefault="007C2AAB">
      <w:pPr>
        <w:spacing w:after="155" w:line="259" w:lineRule="auto"/>
        <w:ind w:left="0" w:firstLine="0"/>
        <w:jc w:val="left"/>
      </w:pPr>
      <w:r>
        <w:rPr>
          <w:b/>
        </w:rPr>
        <w:t xml:space="preserve"> </w:t>
      </w:r>
    </w:p>
    <w:p w:rsidR="00025683" w:rsidRDefault="007C2AAB">
      <w:pPr>
        <w:spacing w:after="173"/>
        <w:ind w:left="0" w:right="197"/>
      </w:pPr>
      <w:r>
        <w:rPr>
          <w:b/>
        </w:rPr>
        <w:t xml:space="preserve">Artículo. 49.  </w:t>
      </w:r>
      <w:r>
        <w:rPr>
          <w:b/>
        </w:rPr>
        <w:t>Separación, depósito y recogida de papel y cartón</w:t>
      </w:r>
      <w:r>
        <w:t>.</w:t>
      </w:r>
      <w:r>
        <w:rPr>
          <w:rFonts w:ascii="Times New Roman" w:eastAsia="Times New Roman" w:hAnsi="Times New Roman" w:cs="Times New Roman"/>
          <w:sz w:val="24"/>
        </w:rPr>
        <w:t xml:space="preserve"> </w:t>
      </w:r>
    </w:p>
    <w:p w:rsidR="00025683" w:rsidRDefault="007C2AAB">
      <w:pPr>
        <w:numPr>
          <w:ilvl w:val="0"/>
          <w:numId w:val="113"/>
        </w:numPr>
        <w:spacing w:line="364" w:lineRule="auto"/>
        <w:ind w:right="264"/>
      </w:pPr>
      <w:r>
        <w:t xml:space="preserve">El papel y el cartón se depositarán en el interior de los contenedores normalizados que disponga el Ayuntamiento en cada momento para la recogida de esta fracción, tanto en el espacio público como en las </w:t>
      </w:r>
      <w:r>
        <w:t xml:space="preserve">entidades generadoras de este residuo que, en este caso, dispondrán de recipientes específicos para su uso </w:t>
      </w:r>
    </w:p>
    <w:p w:rsidR="00025683" w:rsidRDefault="007C2AAB">
      <w:pPr>
        <w:spacing w:after="120" w:line="358" w:lineRule="auto"/>
        <w:ind w:left="14" w:right="200"/>
      </w:pPr>
      <w:r>
        <w:t xml:space="preserve">El papel-cartón se deberá depositar directamente, sin bolsas de plástico, para evitar la contaminación de dicha fracción. </w:t>
      </w:r>
    </w:p>
    <w:p w:rsidR="00025683" w:rsidRDefault="007C2AAB">
      <w:pPr>
        <w:spacing w:after="200" w:line="359" w:lineRule="auto"/>
        <w:ind w:left="14" w:right="200"/>
      </w:pPr>
      <w:r>
        <w:t xml:space="preserve">Las cajas y otros embalajes de cartón deberán plegarse antes de ser introducidos en el correspondiente contenedor para optimizar la ocupación del volumen de los recipientes. </w:t>
      </w:r>
    </w:p>
    <w:p w:rsidR="00025683" w:rsidRDefault="007C2AAB">
      <w:pPr>
        <w:numPr>
          <w:ilvl w:val="0"/>
          <w:numId w:val="113"/>
        </w:numPr>
        <w:spacing w:after="247" w:line="375" w:lineRule="auto"/>
        <w:ind w:right="264"/>
      </w:pPr>
      <w:r>
        <w:t>En las zonas de la ciudad en las que se efectúe la recogida puerta a puerta de ca</w:t>
      </w:r>
      <w:r>
        <w:t>rtón comercial, los establecimientos utilizarán obligatoria y exclusivamente este sistema, sobre el de contenerización para el caso de embalajes de cartón.</w:t>
      </w:r>
      <w:r>
        <w:rPr>
          <w:rFonts w:ascii="Times New Roman" w:eastAsia="Times New Roman" w:hAnsi="Times New Roman" w:cs="Times New Roman"/>
          <w:sz w:val="24"/>
        </w:rPr>
        <w:t xml:space="preserve"> </w:t>
      </w:r>
    </w:p>
    <w:p w:rsidR="00025683" w:rsidRDefault="007C2AAB">
      <w:pPr>
        <w:spacing w:after="160" w:line="259" w:lineRule="auto"/>
        <w:ind w:left="0" w:firstLine="0"/>
        <w:jc w:val="left"/>
      </w:pPr>
      <w:r>
        <w:rPr>
          <w:b/>
        </w:rPr>
        <w:t xml:space="preserve"> </w:t>
      </w:r>
    </w:p>
    <w:p w:rsidR="00025683" w:rsidRDefault="007C2AAB">
      <w:pPr>
        <w:spacing w:after="168"/>
        <w:ind w:left="0" w:right="197"/>
      </w:pPr>
      <w:r>
        <w:rPr>
          <w:b/>
        </w:rPr>
        <w:t>Artículo. 49. Separación, depósito y recogida de vidrio.</w:t>
      </w:r>
      <w:r>
        <w:rPr>
          <w:rFonts w:ascii="Times New Roman" w:eastAsia="Times New Roman" w:hAnsi="Times New Roman" w:cs="Times New Roman"/>
          <w:sz w:val="24"/>
        </w:rPr>
        <w:t xml:space="preserve"> </w:t>
      </w:r>
    </w:p>
    <w:p w:rsidR="00025683" w:rsidRDefault="007C2AAB">
      <w:pPr>
        <w:numPr>
          <w:ilvl w:val="0"/>
          <w:numId w:val="114"/>
        </w:numPr>
        <w:spacing w:after="238" w:line="375" w:lineRule="auto"/>
        <w:ind w:right="200"/>
      </w:pPr>
      <w:r>
        <w:t>Los envases de vidrio deberán depositar</w:t>
      </w:r>
      <w:r>
        <w:t xml:space="preserve">se en el interior de los contenedores municipales normalizados destinados a esta fracción de residuos </w:t>
      </w:r>
    </w:p>
    <w:p w:rsidR="00025683" w:rsidRDefault="007C2AAB">
      <w:pPr>
        <w:numPr>
          <w:ilvl w:val="0"/>
          <w:numId w:val="114"/>
        </w:numPr>
        <w:spacing w:after="191" w:line="367" w:lineRule="auto"/>
        <w:ind w:right="200"/>
      </w:pPr>
      <w:r>
        <w:t>En las zonas de la ciudad en las que se efectúe la recogida de vidrio comercial, los establecimientos generadores utilizarán obligatoria y exclusivamente</w:t>
      </w:r>
      <w:r>
        <w:t xml:space="preserve"> el sistema de contenerización específico establecido por el Ayuntamiento para esta fracción. </w:t>
      </w:r>
    </w:p>
    <w:p w:rsidR="00025683" w:rsidRDefault="007C2AAB">
      <w:pPr>
        <w:numPr>
          <w:ilvl w:val="0"/>
          <w:numId w:val="114"/>
        </w:numPr>
        <w:spacing w:after="191" w:line="367" w:lineRule="auto"/>
        <w:ind w:right="200"/>
      </w:pPr>
      <w:r>
        <w:t>Los envases de vidrio se deberán depositar sin bolsas, evitando la presencia de tapones y tapas de cualquier tipo, que deberán depositarse en los cubos o contene</w:t>
      </w:r>
      <w:r>
        <w:t xml:space="preserve">dores de la fracción que les corresponda, según su naturaleza. </w:t>
      </w:r>
    </w:p>
    <w:p w:rsidR="00025683" w:rsidRDefault="007C2AAB">
      <w:pPr>
        <w:numPr>
          <w:ilvl w:val="0"/>
          <w:numId w:val="114"/>
        </w:numPr>
        <w:spacing w:after="140" w:line="376" w:lineRule="auto"/>
        <w:ind w:right="200"/>
      </w:pPr>
      <w:r>
        <w:t xml:space="preserve">Queda prohibido el depósito de envases de vidrio en los contenedores ubicados en el espacio público, entre las 22:30 horas y las 08:00 horas, todos los días de la semana. </w:t>
      </w:r>
    </w:p>
    <w:p w:rsidR="00025683" w:rsidRDefault="007C2AAB">
      <w:pPr>
        <w:spacing w:after="155" w:line="259" w:lineRule="auto"/>
        <w:ind w:left="0" w:firstLine="0"/>
        <w:jc w:val="left"/>
      </w:pPr>
      <w:r>
        <w:rPr>
          <w:b/>
        </w:rPr>
        <w:t xml:space="preserve"> </w:t>
      </w:r>
    </w:p>
    <w:p w:rsidR="00025683" w:rsidRDefault="007C2AAB">
      <w:pPr>
        <w:spacing w:after="170"/>
        <w:ind w:left="0" w:right="197"/>
      </w:pPr>
      <w:r>
        <w:rPr>
          <w:rFonts w:ascii="Calibri" w:eastAsia="Calibri" w:hAnsi="Calibri" w:cs="Calibri"/>
          <w:noProof/>
        </w:rPr>
        <mc:AlternateContent>
          <mc:Choice Requires="wpg">
            <w:drawing>
              <wp:anchor distT="0" distB="0" distL="114300" distR="114300" simplePos="0" relativeHeight="25195212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0191" name="Group 4201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311" name="Rectangle 3831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8312" name="Rectangle 3831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8313" name="Rectangle 3831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273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0191" style="width:18.7031pt;height:264.21pt;position:absolute;mso-position-horizontal-relative:page;mso-position-horizontal:absolute;margin-left:662.928pt;mso-position-vertical-relative:page;margin-top:507.75pt;" coordsize="2375,33554">
                <v:rect id="Rectangle 3831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831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831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273 de 350 </w:t>
                        </w:r>
                      </w:p>
                    </w:txbxContent>
                  </v:textbox>
                </v:rect>
                <w10:wrap type="square"/>
              </v:group>
            </w:pict>
          </mc:Fallback>
        </mc:AlternateContent>
      </w:r>
      <w:r>
        <w:rPr>
          <w:b/>
        </w:rPr>
        <w:t>Artículo. 50.   Separación, depósito y recogida de ropa y ca</w:t>
      </w:r>
      <w:r>
        <w:rPr>
          <w:b/>
        </w:rPr>
        <w:t>lzado usados</w:t>
      </w:r>
      <w:r>
        <w:t>.</w:t>
      </w:r>
      <w:r>
        <w:rPr>
          <w:rFonts w:ascii="Times New Roman" w:eastAsia="Times New Roman" w:hAnsi="Times New Roman" w:cs="Times New Roman"/>
          <w:sz w:val="24"/>
        </w:rPr>
        <w:t xml:space="preserve"> </w:t>
      </w:r>
    </w:p>
    <w:p w:rsidR="00025683" w:rsidRDefault="007C2AAB">
      <w:pPr>
        <w:numPr>
          <w:ilvl w:val="0"/>
          <w:numId w:val="115"/>
        </w:numPr>
        <w:spacing w:after="169" w:line="358" w:lineRule="auto"/>
        <w:ind w:right="263"/>
      </w:pPr>
      <w:r>
        <w:t>Los residuos textiles se depositarán en el interior de los contenedores que el Ayuntamiento ponga a disposición de las personas usuarias para la recogida de esta fracción, en contenedores en espacio público</w:t>
      </w:r>
      <w:r>
        <w:rPr>
          <w:rFonts w:ascii="Times New Roman" w:eastAsia="Times New Roman" w:hAnsi="Times New Roman" w:cs="Times New Roman"/>
          <w:sz w:val="24"/>
        </w:rPr>
        <w:t xml:space="preserve"> </w:t>
      </w:r>
    </w:p>
    <w:p w:rsidR="00025683" w:rsidRDefault="007C2AAB">
      <w:pPr>
        <w:numPr>
          <w:ilvl w:val="0"/>
          <w:numId w:val="115"/>
        </w:numPr>
        <w:spacing w:after="143" w:line="376" w:lineRule="auto"/>
        <w:ind w:right="263"/>
      </w:pPr>
      <w:r>
        <w:t>La ropa, calzado y otros residuos</w:t>
      </w:r>
      <w:r>
        <w:t xml:space="preserve"> textiles deberán depositarse en el interior de los recipientes en bolsas cerradas. </w:t>
      </w:r>
    </w:p>
    <w:p w:rsidR="00025683" w:rsidRDefault="007C2AAB">
      <w:pPr>
        <w:spacing w:after="295" w:line="259" w:lineRule="auto"/>
        <w:ind w:left="0" w:firstLine="0"/>
        <w:jc w:val="left"/>
      </w:pPr>
      <w:r>
        <w:rPr>
          <w:b/>
        </w:rPr>
        <w:t xml:space="preserve"> </w:t>
      </w:r>
    </w:p>
    <w:p w:rsidR="00025683" w:rsidRDefault="007C2AAB">
      <w:pPr>
        <w:spacing w:after="154" w:line="359" w:lineRule="auto"/>
        <w:ind w:left="0" w:right="197"/>
      </w:pPr>
      <w:r>
        <w:rPr>
          <w:b/>
        </w:rPr>
        <w:t>Artículo. 51. Separación, depósito y recogida de aceite vegetal usado de procedencia doméstica.</w:t>
      </w:r>
      <w:r>
        <w:rPr>
          <w:rFonts w:ascii="Times New Roman" w:eastAsia="Times New Roman" w:hAnsi="Times New Roman" w:cs="Times New Roman"/>
          <w:sz w:val="24"/>
        </w:rPr>
        <w:t xml:space="preserve"> </w:t>
      </w:r>
    </w:p>
    <w:p w:rsidR="00025683" w:rsidRDefault="007C2AAB">
      <w:pPr>
        <w:numPr>
          <w:ilvl w:val="0"/>
          <w:numId w:val="116"/>
        </w:numPr>
        <w:spacing w:after="119" w:line="358" w:lineRule="auto"/>
        <w:ind w:right="263"/>
      </w:pPr>
      <w:r>
        <w:t>La recogida de aceite vegetal usado se efectuará a través de los sistema</w:t>
      </w:r>
      <w:r>
        <w:t>s establecidos en cada momento por el Ayuntamiento: recogida en el espacio público, en vecindades o a través del sistema de puntos limpios</w:t>
      </w:r>
      <w:r>
        <w:rPr>
          <w:rFonts w:ascii="Times New Roman" w:eastAsia="Times New Roman" w:hAnsi="Times New Roman" w:cs="Times New Roman"/>
          <w:sz w:val="24"/>
        </w:rPr>
        <w:t xml:space="preserve"> </w:t>
      </w:r>
    </w:p>
    <w:p w:rsidR="00025683" w:rsidRDefault="007C2AAB">
      <w:pPr>
        <w:spacing w:line="358" w:lineRule="auto"/>
        <w:ind w:left="14" w:right="331"/>
      </w:pPr>
      <w:r>
        <w:t>Las personas usuarias introducirán dicho residuo en envases de plástico debidamente cerrados, de tal forma que se ev</w:t>
      </w:r>
      <w:r>
        <w:t xml:space="preserve">ite su vertido al exterior, y los depositarán en los cubos o contenedores normalizados, identificados a tal fin, o bien en los puntos limpios. </w:t>
      </w:r>
    </w:p>
    <w:p w:rsidR="00025683" w:rsidRDefault="007C2AAB">
      <w:pPr>
        <w:numPr>
          <w:ilvl w:val="0"/>
          <w:numId w:val="116"/>
        </w:numPr>
        <w:spacing w:after="185" w:line="364" w:lineRule="auto"/>
        <w:ind w:right="263"/>
      </w:pPr>
      <w:r>
        <w:t xml:space="preserve">Está prohibido verter aceites vegetales usados por los desagües de las viviendas o por los sistemas de recogida </w:t>
      </w:r>
      <w:r>
        <w:t xml:space="preserve">de aguas pluviales en el espacio público. </w:t>
      </w:r>
    </w:p>
    <w:p w:rsidR="00025683" w:rsidRDefault="007C2AAB">
      <w:pPr>
        <w:numPr>
          <w:ilvl w:val="0"/>
          <w:numId w:val="116"/>
        </w:numPr>
        <w:spacing w:after="167" w:line="359" w:lineRule="auto"/>
        <w:ind w:right="263"/>
      </w:pPr>
      <w:r>
        <w:t xml:space="preserve">Los establecimientos de hostelería, restauración, comedores o entidades que generen este tipo de residuo están obligados a disponer de recipientes adecuados para su depósito </w:t>
      </w:r>
      <w:r>
        <w:t>y entregarlos a un gestor de residuos debidamente autorizado e inscrito en el registro del órgano autonómico competente. La persona productora o poseedora del residuo deberá mantener y presentar al Ayuntamiento, cuando este lo solicite, el contrato de gest</w:t>
      </w:r>
      <w:r>
        <w:t>ión y la documentación acreditativa de las entregas (albaranes) para garantizar la correcta trazabilidad del residuo.</w:t>
      </w:r>
      <w:r>
        <w:rPr>
          <w:rFonts w:ascii="Times New Roman" w:eastAsia="Times New Roman" w:hAnsi="Times New Roman" w:cs="Times New Roman"/>
          <w:sz w:val="24"/>
        </w:rPr>
        <w:t xml:space="preserve"> </w:t>
      </w:r>
    </w:p>
    <w:p w:rsidR="00025683" w:rsidRDefault="007C2AAB">
      <w:pPr>
        <w:numPr>
          <w:ilvl w:val="0"/>
          <w:numId w:val="116"/>
        </w:numPr>
        <w:spacing w:line="368" w:lineRule="auto"/>
        <w:ind w:right="263"/>
      </w:pPr>
      <w:r>
        <w:t>Las entidades gestoras están obligadas a comunicar al Ayuntamiento, al menos con periodicidad anual, las cantidades recogidas procedentes</w:t>
      </w:r>
      <w:r>
        <w:t xml:space="preserve"> del término municipal de Candelaria, según las condiciones que establezca el Ayuntamiento. </w:t>
      </w:r>
    </w:p>
    <w:p w:rsidR="00025683" w:rsidRDefault="007C2AAB">
      <w:pPr>
        <w:spacing w:after="142" w:line="349" w:lineRule="auto"/>
        <w:ind w:left="14" w:right="332"/>
      </w:pPr>
      <w:r>
        <w:t xml:space="preserve">Asimismo, las personas productoras del residuo conservarán la documentación que acredite la correcta gestión de estos residuos de cara a los controles que pudiera </w:t>
      </w:r>
      <w:r>
        <w:t>efectuar la inspección municipal.</w:t>
      </w:r>
      <w:r>
        <w:rPr>
          <w:rFonts w:ascii="Times New Roman" w:eastAsia="Times New Roman" w:hAnsi="Times New Roman" w:cs="Times New Roman"/>
          <w:sz w:val="24"/>
        </w:rPr>
        <w:t xml:space="preserve"> </w:t>
      </w:r>
    </w:p>
    <w:p w:rsidR="00025683" w:rsidRDefault="007C2AAB">
      <w:pPr>
        <w:spacing w:after="157" w:line="259" w:lineRule="auto"/>
        <w:ind w:left="0" w:firstLine="0"/>
        <w:jc w:val="left"/>
      </w:pPr>
      <w:r>
        <w:rPr>
          <w:b/>
        </w:rPr>
        <w:t xml:space="preserve"> </w:t>
      </w:r>
    </w:p>
    <w:p w:rsidR="00025683" w:rsidRDefault="007C2AAB">
      <w:pPr>
        <w:spacing w:after="173"/>
        <w:ind w:left="0" w:right="197"/>
      </w:pPr>
      <w:r>
        <w:rPr>
          <w:rFonts w:ascii="Calibri" w:eastAsia="Calibri" w:hAnsi="Calibri" w:cs="Calibri"/>
          <w:noProof/>
        </w:rPr>
        <mc:AlternateContent>
          <mc:Choice Requires="wpg">
            <w:drawing>
              <wp:anchor distT="0" distB="0" distL="114300" distR="114300" simplePos="0" relativeHeight="25195315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1405" name="Group 4214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8648" name="Rectangle 3864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8649" name="Rectangle 3864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8650" name="Rectangle 3865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274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1405" style="width:18.7031pt;height:264.21pt;position:absolute;mso-position-horizontal-relative:page;mso-position-horizontal:absolute;margin-left:662.928pt;mso-position-vertical-relative:page;margin-top:507.75pt;" coordsize="2375,33554">
                <v:rect id="Rectangle 3864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864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865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274 de 350 </w:t>
                        </w:r>
                      </w:p>
                    </w:txbxContent>
                  </v:textbox>
                </v:rect>
                <w10:wrap type="square"/>
              </v:group>
            </w:pict>
          </mc:Fallback>
        </mc:AlternateContent>
      </w:r>
      <w:r>
        <w:rPr>
          <w:b/>
        </w:rPr>
        <w:t xml:space="preserve">Artículo. 52.  </w:t>
      </w:r>
      <w:r>
        <w:rPr>
          <w:b/>
        </w:rPr>
        <w:t>Recogida separada puerta a puerta en el ámbito comercial.</w:t>
      </w:r>
      <w:r>
        <w:rPr>
          <w:rFonts w:ascii="Times New Roman" w:eastAsia="Times New Roman" w:hAnsi="Times New Roman" w:cs="Times New Roman"/>
          <w:sz w:val="24"/>
        </w:rPr>
        <w:t xml:space="preserve"> </w:t>
      </w:r>
    </w:p>
    <w:p w:rsidR="00025683" w:rsidRDefault="007C2AAB">
      <w:pPr>
        <w:numPr>
          <w:ilvl w:val="0"/>
          <w:numId w:val="117"/>
        </w:numPr>
        <w:spacing w:after="120" w:line="359" w:lineRule="auto"/>
        <w:ind w:right="327"/>
      </w:pPr>
      <w:r>
        <w:t>En las zonas de la ciudad que el Ayuntamiento determine en cada momento, se efectuará una recogida puerta a puerta de determinadas fracciones de residuos en el ámbito comercial</w:t>
      </w:r>
      <w:r>
        <w:rPr>
          <w:rFonts w:ascii="Times New Roman" w:eastAsia="Times New Roman" w:hAnsi="Times New Roman" w:cs="Times New Roman"/>
          <w:sz w:val="24"/>
        </w:rPr>
        <w:t xml:space="preserve"> </w:t>
      </w:r>
      <w:r>
        <w:t>Los establecimientos</w:t>
      </w:r>
      <w:r>
        <w:t xml:space="preserve"> que se encuentren ubicados dentro de las mencionadas zonas deberán usar exclusiva y obligatoriamente este servicio, evitando el depósito de residuos en contenedores instalados en el espacio público para las fracciones correspondientes. </w:t>
      </w:r>
    </w:p>
    <w:p w:rsidR="00025683" w:rsidRDefault="007C2AAB">
      <w:pPr>
        <w:spacing w:after="183" w:line="349" w:lineRule="auto"/>
        <w:ind w:left="14" w:right="332"/>
      </w:pPr>
      <w:r>
        <w:t xml:space="preserve">Para ello deberán </w:t>
      </w:r>
      <w:r>
        <w:t>presentar los residuos que son objeto de la recogida separada específica en las condiciones que establezca el Ayuntamiento en cada caso, y que le habrán sido comunicadas previamente.</w:t>
      </w:r>
      <w:r>
        <w:rPr>
          <w:rFonts w:ascii="Times New Roman" w:eastAsia="Times New Roman" w:hAnsi="Times New Roman" w:cs="Times New Roman"/>
          <w:sz w:val="24"/>
        </w:rPr>
        <w:t xml:space="preserve"> </w:t>
      </w:r>
    </w:p>
    <w:p w:rsidR="00025683" w:rsidRDefault="007C2AAB">
      <w:pPr>
        <w:numPr>
          <w:ilvl w:val="0"/>
          <w:numId w:val="117"/>
        </w:numPr>
        <w:spacing w:line="358" w:lineRule="auto"/>
        <w:ind w:right="327"/>
      </w:pPr>
      <w:r>
        <w:t>Los cubos o recipientes para el vidrio comercial y los embalajes de cart</w:t>
      </w:r>
      <w:r>
        <w:t>ón serán colocados, de forma previa a su vaciado por los servicios de recogida autorizados (ya sean municipales o del gestor delegado), en el espacio público frente a la fachada de la edificación y junto al borde de la calzada. Los embalajes de cartón debe</w:t>
      </w:r>
      <w:r>
        <w:t>rán presentarse doblados y plegados.</w:t>
      </w:r>
      <w:r>
        <w:rPr>
          <w:rFonts w:ascii="Times New Roman" w:eastAsia="Times New Roman" w:hAnsi="Times New Roman" w:cs="Times New Roman"/>
          <w:sz w:val="24"/>
        </w:rPr>
        <w:t xml:space="preserve"> </w:t>
      </w:r>
    </w:p>
    <w:p w:rsidR="00025683" w:rsidRDefault="007C2AAB">
      <w:pPr>
        <w:spacing w:line="352" w:lineRule="auto"/>
        <w:ind w:left="14" w:right="326"/>
      </w:pPr>
      <w:r>
        <w:t>Para garantizar la higiene y la calidad del reciclaje, queda expresamente prohibido depositar líquidos, restos de comida o cualquier otro impropio en estos recipientes. En caso de existir problemas de ubicación, el lug</w:t>
      </w:r>
      <w:r>
        <w:t>ar será el que los servicios técnicos municipales señalen al efecto.</w:t>
      </w:r>
      <w:r>
        <w:rPr>
          <w:rFonts w:ascii="Times New Roman" w:eastAsia="Times New Roman" w:hAnsi="Times New Roman" w:cs="Times New Roman"/>
          <w:sz w:val="24"/>
        </w:rPr>
        <w:t xml:space="preserve"> </w:t>
      </w:r>
    </w:p>
    <w:p w:rsidR="00025683" w:rsidRDefault="007C2AAB">
      <w:pPr>
        <w:numPr>
          <w:ilvl w:val="0"/>
          <w:numId w:val="117"/>
        </w:numPr>
        <w:spacing w:after="169" w:line="358" w:lineRule="auto"/>
        <w:ind w:right="327"/>
      </w:pPr>
      <w:r>
        <w:t>El depósito de los residuos en la vía pública solo podrá realizarse dentro de la franja horaria establecida y previamente comunicada por el Ayuntamiento para cada zona. Queda prohibido d</w:t>
      </w:r>
      <w:r>
        <w:t>epositar los residuos fuera de esta franja horaria, con el fin de evitar la permanencia innecesaria de los residuos en el espacio público.</w:t>
      </w:r>
      <w:r>
        <w:rPr>
          <w:rFonts w:ascii="Times New Roman" w:eastAsia="Times New Roman" w:hAnsi="Times New Roman" w:cs="Times New Roman"/>
          <w:sz w:val="24"/>
        </w:rPr>
        <w:t xml:space="preserve"> </w:t>
      </w:r>
    </w:p>
    <w:p w:rsidR="00025683" w:rsidRDefault="007C2AAB">
      <w:pPr>
        <w:numPr>
          <w:ilvl w:val="0"/>
          <w:numId w:val="117"/>
        </w:numPr>
        <w:spacing w:after="170" w:line="357" w:lineRule="auto"/>
        <w:ind w:right="327"/>
      </w:pPr>
      <w:r>
        <w:t xml:space="preserve">Una vez vaciados los recipientes se retirarán del espacio público en un plazo máximo de treinta minutos, en el caso </w:t>
      </w:r>
      <w:r>
        <w:t>de que la recogida se realice durante el día, o en el momento de la apertura del establecimiento comercial, y, en todo caso, antes de las nueve de la mañana.</w:t>
      </w:r>
      <w:r>
        <w:rPr>
          <w:rFonts w:ascii="Times New Roman" w:eastAsia="Times New Roman" w:hAnsi="Times New Roman" w:cs="Times New Roman"/>
          <w:sz w:val="24"/>
        </w:rPr>
        <w:t xml:space="preserve"> </w:t>
      </w:r>
    </w:p>
    <w:p w:rsidR="00025683" w:rsidRDefault="007C2AAB">
      <w:pPr>
        <w:numPr>
          <w:ilvl w:val="0"/>
          <w:numId w:val="117"/>
        </w:numPr>
        <w:spacing w:after="170" w:line="358" w:lineRule="auto"/>
        <w:ind w:right="327"/>
      </w:pPr>
      <w:r>
        <w:t>En aquellos supuestos en que el vehículo recolector no pueda acceder a los portales de los inmueb</w:t>
      </w:r>
      <w:r>
        <w:t>les, o al punto de presentación de residuos, tanto los recipientes como los embalajes habrán de colocarse en el lugar que los servicios técnicos municipales señalen al efecto, garantizando que sea un punto accesible para el vehículo de recogida.</w:t>
      </w:r>
      <w:r>
        <w:rPr>
          <w:rFonts w:ascii="Times New Roman" w:eastAsia="Times New Roman" w:hAnsi="Times New Roman" w:cs="Times New Roman"/>
          <w:sz w:val="24"/>
        </w:rPr>
        <w:t xml:space="preserve"> </w:t>
      </w:r>
    </w:p>
    <w:p w:rsidR="00025683" w:rsidRDefault="007C2AAB">
      <w:pPr>
        <w:numPr>
          <w:ilvl w:val="0"/>
          <w:numId w:val="117"/>
        </w:numPr>
        <w:spacing w:after="205" w:line="358" w:lineRule="auto"/>
        <w:ind w:right="327"/>
      </w:pPr>
      <w:r>
        <w:rPr>
          <w:rFonts w:ascii="Calibri" w:eastAsia="Calibri" w:hAnsi="Calibri" w:cs="Calibri"/>
          <w:noProof/>
        </w:rPr>
        <mc:AlternateContent>
          <mc:Choice Requires="wpg">
            <w:drawing>
              <wp:anchor distT="0" distB="0" distL="114300" distR="114300" simplePos="0" relativeHeight="25195417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0394" name="Group 4203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056" name="Rectangle 3905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w:t>
                              </w:r>
                              <w:r>
                                <w:rPr>
                                  <w:sz w:val="12"/>
                                </w:rPr>
                                <w:t xml:space="preserve">alidación: 3J3KYNW3CJM74AZ6SEHNT4KKY </w:t>
                              </w:r>
                            </w:p>
                          </w:txbxContent>
                        </wps:txbx>
                        <wps:bodyPr horzOverflow="overflow" vert="horz" lIns="0" tIns="0" rIns="0" bIns="0" rtlCol="0">
                          <a:noAutofit/>
                        </wps:bodyPr>
                      </wps:wsp>
                      <wps:wsp>
                        <wps:cNvPr id="39057" name="Rectangle 3905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058" name="Rectangle 3905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275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0394" style="width:18.7031pt;height:264.21pt;position:absolute;mso-position-horizontal-relative:page;mso-position-horizontal:absolute;margin-left:662.928pt;mso-position-vertical-relative:page;margin-top:507.75pt;" coordsize="2375,33554">
                <v:rect id="Rectangle 3905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905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05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275 de 350 </w:t>
                        </w:r>
                      </w:p>
                    </w:txbxContent>
                  </v:textbox>
                </v:rect>
                <w10:wrap type="square"/>
              </v:group>
            </w:pict>
          </mc:Fallback>
        </mc:AlternateContent>
      </w:r>
      <w:r>
        <w:t xml:space="preserve">Quedan exceptuados de lo previsto en los apartados anteriores los </w:t>
      </w:r>
      <w:r>
        <w:t>establecimientos que gestionen la totalidad de sus residuos mediante un gestor de residuos autorizado. No obstante, el comercio estará obligado a acreditar mediante documento ante el Ayuntamiento, cuando este lo requiera, con el contrato de gestión y los a</w:t>
      </w:r>
      <w:r>
        <w:t>lbaranes de entrega que demuestren la correcta trazabilidad y tratamiento de los residuos.</w:t>
      </w:r>
      <w:r>
        <w:rPr>
          <w:rFonts w:ascii="Times New Roman" w:eastAsia="Times New Roman" w:hAnsi="Times New Roman" w:cs="Times New Roman"/>
          <w:sz w:val="24"/>
        </w:rPr>
        <w:t xml:space="preserve"> </w:t>
      </w:r>
    </w:p>
    <w:p w:rsidR="00025683" w:rsidRDefault="007C2AAB">
      <w:pPr>
        <w:spacing w:after="229" w:line="259" w:lineRule="auto"/>
        <w:ind w:left="0" w:firstLine="0"/>
        <w:jc w:val="left"/>
      </w:pPr>
      <w:r>
        <w:rPr>
          <w:b/>
        </w:rPr>
        <w:t xml:space="preserve"> </w:t>
      </w:r>
    </w:p>
    <w:p w:rsidR="00025683" w:rsidRDefault="007C2AAB">
      <w:pPr>
        <w:spacing w:after="64"/>
        <w:ind w:left="0" w:right="197"/>
      </w:pPr>
      <w:r>
        <w:rPr>
          <w:b/>
        </w:rPr>
        <w:t>Capítulo V. Gestión de los residuos especiales</w:t>
      </w:r>
      <w:r>
        <w:rPr>
          <w:rFonts w:ascii="Times New Roman" w:eastAsia="Times New Roman" w:hAnsi="Times New Roman" w:cs="Times New Roman"/>
          <w:sz w:val="24"/>
        </w:rPr>
        <w:t xml:space="preserve"> </w:t>
      </w:r>
    </w:p>
    <w:p w:rsidR="00025683" w:rsidRDefault="007C2AAB">
      <w:pPr>
        <w:spacing w:after="112" w:line="259" w:lineRule="auto"/>
        <w:ind w:left="0" w:firstLine="0"/>
        <w:jc w:val="left"/>
      </w:pPr>
      <w:r>
        <w:rPr>
          <w:b/>
        </w:rPr>
        <w:t xml:space="preserve"> </w:t>
      </w:r>
    </w:p>
    <w:p w:rsidR="00025683" w:rsidRDefault="007C2AAB">
      <w:pPr>
        <w:spacing w:after="12"/>
        <w:ind w:left="0" w:right="197"/>
      </w:pPr>
      <w:r>
        <w:rPr>
          <w:b/>
        </w:rPr>
        <w:t>SECCIÓN 1. Residuos de construcción y demolición</w:t>
      </w:r>
      <w:r>
        <w:rPr>
          <w:rFonts w:ascii="Times New Roman" w:eastAsia="Times New Roman" w:hAnsi="Times New Roman" w:cs="Times New Roman"/>
          <w:sz w:val="24"/>
        </w:rPr>
        <w:t xml:space="preserve"> </w:t>
      </w:r>
    </w:p>
    <w:p w:rsidR="00025683" w:rsidRDefault="007C2AAB">
      <w:pPr>
        <w:spacing w:after="112" w:line="259" w:lineRule="auto"/>
        <w:ind w:left="0" w:firstLine="0"/>
        <w:jc w:val="left"/>
      </w:pPr>
      <w:r>
        <w:rPr>
          <w:b/>
        </w:rPr>
        <w:t xml:space="preserve"> </w:t>
      </w:r>
    </w:p>
    <w:p w:rsidR="00025683" w:rsidRDefault="007C2AAB">
      <w:pPr>
        <w:spacing w:after="173"/>
        <w:ind w:left="0" w:right="197"/>
      </w:pPr>
      <w:r>
        <w:rPr>
          <w:b/>
        </w:rPr>
        <w:t>Artículo. 53.  Obligaciones generales.</w:t>
      </w:r>
      <w:r>
        <w:rPr>
          <w:rFonts w:ascii="Times New Roman" w:eastAsia="Times New Roman" w:hAnsi="Times New Roman" w:cs="Times New Roman"/>
          <w:sz w:val="24"/>
        </w:rPr>
        <w:t xml:space="preserve"> </w:t>
      </w:r>
    </w:p>
    <w:p w:rsidR="00025683" w:rsidRDefault="007C2AAB">
      <w:pPr>
        <w:numPr>
          <w:ilvl w:val="0"/>
          <w:numId w:val="118"/>
        </w:numPr>
        <w:spacing w:line="358" w:lineRule="auto"/>
        <w:ind w:right="325"/>
      </w:pPr>
      <w:r>
        <w:t xml:space="preserve">Las personas productoras o poseedoras de RCD (Residuos de Construcción y Demolición) deben depositar los residuos procedentes de obras o reparación domiciliaria, separados por fracciones y materiales según se indique en la normativa vigente, especialmente </w:t>
      </w:r>
      <w:r>
        <w:t>la Ley 7/2022, de 8 de abril, de residuos y suelos contaminados para una economía circular, y el Real Decreto 105/2008, de 1 de febrero, por el que se regula la producción y gestión de los residuos de construcción y demolición, en el interior de contenedor</w:t>
      </w:r>
      <w:r>
        <w:t>es o sacos de obra, u otros sistemas homologados o normalizados por los servicios municipales. Sin este requisito no se permitirá ninguna instalación o utilización de dichos contenedores o sacos, ordenándose su retirada en el caso de que se encuentren inst</w:t>
      </w:r>
      <w:r>
        <w:t>alados</w:t>
      </w:r>
      <w:r>
        <w:rPr>
          <w:rFonts w:ascii="Times New Roman" w:eastAsia="Times New Roman" w:hAnsi="Times New Roman" w:cs="Times New Roman"/>
          <w:sz w:val="24"/>
        </w:rPr>
        <w:t xml:space="preserve"> </w:t>
      </w:r>
    </w:p>
    <w:p w:rsidR="00025683" w:rsidRDefault="007C2AAB">
      <w:pPr>
        <w:numPr>
          <w:ilvl w:val="0"/>
          <w:numId w:val="118"/>
        </w:numPr>
        <w:spacing w:after="169" w:line="358" w:lineRule="auto"/>
        <w:ind w:right="325"/>
      </w:pPr>
      <w:r>
        <w:t xml:space="preserve">Dichos recipientes podrán permanecer en el espacio público, previa obtención de la preceptiva licencia municipal de ocupación de la vía pública, y en las condiciones y plazos que se determinan en la presente sección. Además, la persona responsable </w:t>
      </w:r>
      <w:r>
        <w:t>deberá disponer de un servicio de gestión del residuo que cubra su retirada, traslado a centro de tratamiento y su tratamiento final.</w:t>
      </w:r>
      <w:r>
        <w:rPr>
          <w:rFonts w:ascii="Times New Roman" w:eastAsia="Times New Roman" w:hAnsi="Times New Roman" w:cs="Times New Roman"/>
          <w:sz w:val="24"/>
        </w:rPr>
        <w:t xml:space="preserve"> </w:t>
      </w:r>
    </w:p>
    <w:p w:rsidR="00025683" w:rsidRDefault="007C2AAB">
      <w:pPr>
        <w:numPr>
          <w:ilvl w:val="0"/>
          <w:numId w:val="118"/>
        </w:numPr>
        <w:spacing w:after="170" w:line="358" w:lineRule="auto"/>
        <w:ind w:right="325"/>
      </w:pPr>
      <w:r>
        <w:t>Se considerará gestión adecuada de los RCD la contenerización, recogida, transporte y la entrega en una instalación de va</w:t>
      </w:r>
      <w:r>
        <w:t xml:space="preserve">lorización o de eliminación para su tratamiento por gestor autorizado, en los términos recogidos en esta sección y en la normativa estatal y autonómica en materia de residuos. </w:t>
      </w:r>
      <w:r>
        <w:rPr>
          <w:rFonts w:ascii="Times New Roman" w:eastAsia="Times New Roman" w:hAnsi="Times New Roman" w:cs="Times New Roman"/>
          <w:sz w:val="24"/>
        </w:rPr>
        <w:t xml:space="preserve"> </w:t>
      </w:r>
    </w:p>
    <w:p w:rsidR="00025683" w:rsidRDefault="007C2AAB">
      <w:pPr>
        <w:numPr>
          <w:ilvl w:val="0"/>
          <w:numId w:val="118"/>
        </w:numPr>
        <w:spacing w:after="182" w:line="375" w:lineRule="auto"/>
        <w:ind w:right="325"/>
      </w:pPr>
      <w:r>
        <w:t>No está permitido el empleo de recipientes que no dispongan de servicio de ret</w:t>
      </w:r>
      <w:r>
        <w:t xml:space="preserve">irada y gestión final del residuo. </w:t>
      </w:r>
    </w:p>
    <w:p w:rsidR="00025683" w:rsidRDefault="007C2AAB">
      <w:pPr>
        <w:numPr>
          <w:ilvl w:val="0"/>
          <w:numId w:val="118"/>
        </w:numPr>
        <w:spacing w:after="135" w:line="355" w:lineRule="auto"/>
        <w:ind w:right="325"/>
      </w:pPr>
      <w:r>
        <w:t>Se prohíbe el depósito en vertedero de RCD susceptibles de ser valorizados, que no hayan sido sometidos a alguna operación de separación previa, para su mejor aprovechamiento.</w:t>
      </w:r>
      <w:r>
        <w:rPr>
          <w:rFonts w:ascii="Times New Roman" w:eastAsia="Times New Roman" w:hAnsi="Times New Roman" w:cs="Times New Roman"/>
          <w:sz w:val="24"/>
        </w:rPr>
        <w:t xml:space="preserve"> </w:t>
      </w:r>
    </w:p>
    <w:p w:rsidR="00025683" w:rsidRDefault="007C2AAB">
      <w:pPr>
        <w:spacing w:after="157" w:line="259" w:lineRule="auto"/>
        <w:ind w:left="0" w:firstLine="0"/>
        <w:jc w:val="left"/>
      </w:pPr>
      <w:r>
        <w:rPr>
          <w:b/>
        </w:rPr>
        <w:t xml:space="preserve"> </w:t>
      </w:r>
    </w:p>
    <w:p w:rsidR="00025683" w:rsidRDefault="007C2AAB">
      <w:pPr>
        <w:spacing w:after="93"/>
        <w:ind w:left="0" w:right="197"/>
      </w:pPr>
      <w:r>
        <w:rPr>
          <w:rFonts w:ascii="Calibri" w:eastAsia="Calibri" w:hAnsi="Calibri" w:cs="Calibri"/>
          <w:noProof/>
        </w:rPr>
        <mc:AlternateContent>
          <mc:Choice Requires="wpg">
            <w:drawing>
              <wp:anchor distT="0" distB="0" distL="114300" distR="114300" simplePos="0" relativeHeight="25195520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0573" name="Group 4205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356" name="Rectangle 3935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9357" name="Rectangle 3935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358" name="Rectangle 3935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276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0573" style="width:18.7031pt;height:264.21pt;position:absolute;mso-position-horizontal-relative:page;mso-position-horizontal:absolute;margin-left:662.928pt;mso-position-vertical-relative:page;margin-top:507.75pt;" coordsize="2375,33554">
                <v:rect id="Rectangle 3935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935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35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276 de 350 </w:t>
                        </w:r>
                      </w:p>
                    </w:txbxContent>
                  </v:textbox>
                </v:rect>
                <w10:wrap type="square"/>
              </v:group>
            </w:pict>
          </mc:Fallback>
        </mc:AlternateContent>
      </w:r>
      <w:r>
        <w:rPr>
          <w:b/>
        </w:rPr>
        <w:t>Artículo. 54. Trazabilidad del RCD.</w:t>
      </w:r>
      <w:r>
        <w:rPr>
          <w:rFonts w:ascii="Times New Roman" w:eastAsia="Times New Roman" w:hAnsi="Times New Roman" w:cs="Times New Roman"/>
          <w:sz w:val="24"/>
        </w:rPr>
        <w:t xml:space="preserve"> </w:t>
      </w:r>
    </w:p>
    <w:p w:rsidR="00025683" w:rsidRDefault="007C2AAB">
      <w:pPr>
        <w:spacing w:after="136" w:line="354" w:lineRule="auto"/>
        <w:ind w:left="14" w:right="329"/>
      </w:pPr>
      <w:r>
        <w:t xml:space="preserve">Todas las personas, </w:t>
      </w:r>
      <w:r>
        <w:t xml:space="preserve">tengan o no la condición de gestor o gestora de RCD, que intervengan en cualquier proceso que afecte a la trazabilidad del residuo que se produzca, o vaya a producirse en un futuro, están obligadas a garantizar la trazabilidad y facilitar la información y </w:t>
      </w:r>
      <w:r>
        <w:t>documentación de la que se derive la mencionada trazabilidad, poniéndola a disposición del Ayuntamiento en caso de ser requerida</w:t>
      </w:r>
      <w:r>
        <w:rPr>
          <w:rFonts w:ascii="Times New Roman" w:eastAsia="Times New Roman" w:hAnsi="Times New Roman" w:cs="Times New Roman"/>
          <w:sz w:val="24"/>
        </w:rPr>
        <w:t xml:space="preserve"> </w:t>
      </w:r>
    </w:p>
    <w:p w:rsidR="00025683" w:rsidRDefault="007C2AAB">
      <w:pPr>
        <w:spacing w:after="157" w:line="259" w:lineRule="auto"/>
        <w:ind w:left="0" w:firstLine="0"/>
        <w:jc w:val="left"/>
      </w:pPr>
      <w:r>
        <w:rPr>
          <w:b/>
        </w:rPr>
        <w:t xml:space="preserve"> </w:t>
      </w:r>
    </w:p>
    <w:p w:rsidR="00025683" w:rsidRDefault="007C2AAB">
      <w:pPr>
        <w:spacing w:after="168"/>
        <w:ind w:left="0" w:right="197"/>
      </w:pPr>
      <w:r>
        <w:rPr>
          <w:b/>
        </w:rPr>
        <w:t>Artículo. 55.    Obligaciones de la persona a cargo de la producción y posesión de RCD.</w:t>
      </w:r>
      <w:r>
        <w:rPr>
          <w:rFonts w:ascii="Times New Roman" w:eastAsia="Times New Roman" w:hAnsi="Times New Roman" w:cs="Times New Roman"/>
          <w:sz w:val="24"/>
        </w:rPr>
        <w:t xml:space="preserve"> </w:t>
      </w:r>
    </w:p>
    <w:p w:rsidR="00025683" w:rsidRDefault="007C2AAB">
      <w:pPr>
        <w:numPr>
          <w:ilvl w:val="0"/>
          <w:numId w:val="119"/>
        </w:numPr>
        <w:spacing w:after="191" w:line="377" w:lineRule="auto"/>
        <w:ind w:right="200"/>
      </w:pPr>
      <w:r>
        <w:t>Con el fin de garantizar la trazabi</w:t>
      </w:r>
      <w:r>
        <w:t xml:space="preserve">lidad de los residuos generados y gestionados, en todo momento debe estar identificado el generador del residuo y el gestor autorizado. </w:t>
      </w:r>
    </w:p>
    <w:p w:rsidR="00025683" w:rsidRDefault="007C2AAB">
      <w:pPr>
        <w:spacing w:after="180" w:line="350" w:lineRule="auto"/>
        <w:ind w:left="14" w:right="334"/>
      </w:pPr>
      <w:r>
        <w:t>En cualquier caso, el personal de la gestión encargada de efectuar su retirada, transporte y entrega en centro de trata</w:t>
      </w:r>
      <w:r>
        <w:t>miento están obligadas a disponer de la identificación del titular de la obra desde el momento de contratar el servicio.</w:t>
      </w:r>
      <w:r>
        <w:rPr>
          <w:rFonts w:ascii="Times New Roman" w:eastAsia="Times New Roman" w:hAnsi="Times New Roman" w:cs="Times New Roman"/>
          <w:sz w:val="24"/>
        </w:rPr>
        <w:t xml:space="preserve"> </w:t>
      </w:r>
    </w:p>
    <w:p w:rsidR="00025683" w:rsidRDefault="007C2AAB">
      <w:pPr>
        <w:numPr>
          <w:ilvl w:val="0"/>
          <w:numId w:val="119"/>
        </w:numPr>
        <w:spacing w:after="192" w:line="375" w:lineRule="auto"/>
        <w:ind w:right="200"/>
      </w:pPr>
      <w:r>
        <w:t xml:space="preserve">En el caso de los sacos, de igual forma debe estar identificada la persona titular de la </w:t>
      </w:r>
      <w:r>
        <w:t>obra. Para ello en el momento de la venta del elemento, que lleva ligado el posterior servicio de gestión del residuo, debe identificarse a la persona que lo adquiere, y quedar ligada a la identificación del saco para su posterior trazabilidad.</w:t>
      </w:r>
      <w:r>
        <w:rPr>
          <w:rFonts w:ascii="Times New Roman" w:eastAsia="Times New Roman" w:hAnsi="Times New Roman" w:cs="Times New Roman"/>
          <w:sz w:val="24"/>
        </w:rPr>
        <w:t xml:space="preserve"> </w:t>
      </w:r>
    </w:p>
    <w:p w:rsidR="00025683" w:rsidRDefault="007C2AAB">
      <w:pPr>
        <w:numPr>
          <w:ilvl w:val="0"/>
          <w:numId w:val="119"/>
        </w:numPr>
        <w:spacing w:line="357" w:lineRule="auto"/>
        <w:ind w:right="200"/>
      </w:pPr>
      <w:r>
        <w:t>Quien gene</w:t>
      </w:r>
      <w:r>
        <w:t>re el residuo deberá comunicar a la entidad gestora, de forma que quede constancia documental de ello, que proceda a la retirada y gestión del contenedor o saco y su contenido, indicando su ubicación exacta.</w:t>
      </w:r>
      <w:r>
        <w:rPr>
          <w:rFonts w:ascii="Times New Roman" w:eastAsia="Times New Roman" w:hAnsi="Times New Roman" w:cs="Times New Roman"/>
          <w:sz w:val="24"/>
        </w:rPr>
        <w:t xml:space="preserve"> </w:t>
      </w:r>
    </w:p>
    <w:p w:rsidR="00025683" w:rsidRDefault="007C2AAB">
      <w:pPr>
        <w:spacing w:after="99" w:line="350" w:lineRule="auto"/>
        <w:ind w:left="14" w:right="330"/>
      </w:pPr>
      <w:r>
        <w:t>La entidad gestora deberá proceder a su retirad</w:t>
      </w:r>
      <w:r>
        <w:t>a en el plazo máximo de 24 horas desde la comunicación de la orden de retirada. En caso contrario el Ayuntamiento procederá a la retirada de forma subsidiaria, repercutiendo los costes correspondientes a la entidad gestora.</w:t>
      </w:r>
      <w:r>
        <w:rPr>
          <w:rFonts w:ascii="Times New Roman" w:eastAsia="Times New Roman" w:hAnsi="Times New Roman" w:cs="Times New Roman"/>
          <w:sz w:val="24"/>
        </w:rPr>
        <w:t xml:space="preserve"> </w:t>
      </w:r>
    </w:p>
    <w:p w:rsidR="00025683" w:rsidRDefault="007C2AAB">
      <w:pPr>
        <w:spacing w:after="180" w:line="349" w:lineRule="auto"/>
        <w:ind w:left="14" w:right="330"/>
      </w:pPr>
      <w:r>
        <w:t xml:space="preserve">La responsabilidad corresponde </w:t>
      </w:r>
      <w:r>
        <w:t>al titular de la obra en el caso de no solicitar de forma fehaciente la retirada del contenedor o saco, todo ello, sin perjuicio de las sanciones previstas en la presente ordenanza.</w:t>
      </w:r>
      <w:r>
        <w:rPr>
          <w:rFonts w:ascii="Times New Roman" w:eastAsia="Times New Roman" w:hAnsi="Times New Roman" w:cs="Times New Roman"/>
          <w:sz w:val="24"/>
        </w:rPr>
        <w:t xml:space="preserve"> </w:t>
      </w:r>
    </w:p>
    <w:p w:rsidR="00025683" w:rsidRDefault="007C2AAB">
      <w:pPr>
        <w:numPr>
          <w:ilvl w:val="0"/>
          <w:numId w:val="119"/>
        </w:numPr>
        <w:spacing w:after="191" w:line="367" w:lineRule="auto"/>
        <w:ind w:right="200"/>
      </w:pPr>
      <w:r>
        <w:t>El comercializador del contenedor o saco tiene la obligación de suministr</w:t>
      </w:r>
      <w:r>
        <w:t xml:space="preserve">ar información a la persona usuaria de las condiciones de utilización, según las estipulaciones de esta ordenanza, en lo relativo a su instalación y retirada en el espacio público. </w:t>
      </w:r>
    </w:p>
    <w:p w:rsidR="00025683" w:rsidRDefault="007C2AAB">
      <w:pPr>
        <w:numPr>
          <w:ilvl w:val="0"/>
          <w:numId w:val="119"/>
        </w:numPr>
        <w:ind w:right="200"/>
      </w:pPr>
      <w:r>
        <w:t>La persona especializada en la producción de RCD queda sujeta a las siguie</w:t>
      </w:r>
      <w:r>
        <w:t>ntes obligaciones:</w:t>
      </w:r>
      <w:r>
        <w:rPr>
          <w:rFonts w:ascii="Times New Roman" w:eastAsia="Times New Roman" w:hAnsi="Times New Roman" w:cs="Times New Roman"/>
          <w:sz w:val="24"/>
        </w:rPr>
        <w:t xml:space="preserve"> </w:t>
      </w:r>
    </w:p>
    <w:p w:rsidR="00025683" w:rsidRDefault="007C2AAB">
      <w:pPr>
        <w:spacing w:after="139" w:line="259" w:lineRule="auto"/>
        <w:ind w:left="0" w:firstLine="0"/>
        <w:jc w:val="left"/>
      </w:pPr>
      <w:r>
        <w:rPr>
          <w:rFonts w:ascii="Calibri" w:eastAsia="Calibri" w:hAnsi="Calibri" w:cs="Calibri"/>
          <w:noProof/>
        </w:rPr>
        <mc:AlternateContent>
          <mc:Choice Requires="wpg">
            <w:drawing>
              <wp:anchor distT="0" distB="0" distL="114300" distR="114300" simplePos="0" relativeHeight="25195622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1178" name="Group 4211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608" name="Rectangle 3960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9609" name="Rectangle 3960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610" name="Rectangle 3961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277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1178" style="width:18.7031pt;height:264.21pt;position:absolute;mso-position-horizontal-relative:page;mso-position-horizontal:absolute;margin-left:662.928pt;mso-position-vertical-relative:page;margin-top:507.75pt;" coordsize="2375,33554">
                <v:rect id="Rectangle 3960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960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61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277 de 350 </w:t>
                        </w:r>
                      </w:p>
                    </w:txbxContent>
                  </v:textbox>
                </v:rect>
                <w10:wrap type="square"/>
              </v:group>
            </w:pict>
          </mc:Fallback>
        </mc:AlternateContent>
      </w:r>
      <w:r>
        <w:t xml:space="preserve"> </w:t>
      </w:r>
    </w:p>
    <w:p w:rsidR="00025683" w:rsidRDefault="007C2AAB">
      <w:pPr>
        <w:numPr>
          <w:ilvl w:val="0"/>
          <w:numId w:val="120"/>
        </w:numPr>
        <w:spacing w:after="191" w:line="367" w:lineRule="auto"/>
        <w:ind w:right="327"/>
      </w:pPr>
      <w:r>
        <w:t xml:space="preserve">Deberá adoptar las medidas conducentes a evitar la mezcla entre distintos residuos o con otros residuos peligrosos, y asegurar el envío a la unidad gestora autorizada de los residuos peligrosos que se generen. </w:t>
      </w:r>
    </w:p>
    <w:p w:rsidR="00025683" w:rsidRDefault="007C2AAB">
      <w:pPr>
        <w:numPr>
          <w:ilvl w:val="0"/>
          <w:numId w:val="120"/>
        </w:numPr>
        <w:spacing w:after="244" w:line="367" w:lineRule="auto"/>
        <w:ind w:right="327"/>
      </w:pPr>
      <w:r>
        <w:t>Deberá disponer de la documentación que acred</w:t>
      </w:r>
      <w:r>
        <w:t xml:space="preserve">ite que los RCD producidos en sus obras han sido debidamente gestionados, en su caso, en obra o entregados a una instalación de valorización o de eliminación para su tratamiento por gestión de residuos autorizada. </w:t>
      </w:r>
    </w:p>
    <w:p w:rsidR="00025683" w:rsidRDefault="007C2AAB">
      <w:pPr>
        <w:numPr>
          <w:ilvl w:val="0"/>
          <w:numId w:val="120"/>
        </w:numPr>
        <w:spacing w:after="167" w:line="358" w:lineRule="auto"/>
        <w:ind w:right="327"/>
      </w:pPr>
      <w:r>
        <w:t xml:space="preserve">Quedará obligado a entregar los residuos </w:t>
      </w:r>
      <w:r>
        <w:t>a una gestoría de RCD autorizada o registrada. Cuando la entrega se efectúe a una persona gestora que lleve a cabo una operación exclusivamente de recogida, almacenamiento, transferencia o transporte, este se encargará de hacer llegar el residuo al persona</w:t>
      </w:r>
      <w:r>
        <w:t>l encargado de gestionarlo para su tratamiento, y deberá además transmitir a la poseedora o a la gestoría que le entregó los residuos, los certificados de la operación de valorización o eliminación subsiguiente a que fueron destinados los residuos. El equi</w:t>
      </w:r>
      <w:r>
        <w:t>po de producción o poseedora estará obligado a sufragar los costes de su gestión.</w:t>
      </w:r>
      <w:r>
        <w:rPr>
          <w:rFonts w:ascii="Times New Roman" w:eastAsia="Times New Roman" w:hAnsi="Times New Roman" w:cs="Times New Roman"/>
          <w:sz w:val="24"/>
        </w:rPr>
        <w:t xml:space="preserve"> </w:t>
      </w:r>
    </w:p>
    <w:p w:rsidR="00025683" w:rsidRDefault="007C2AAB">
      <w:pPr>
        <w:spacing w:after="139" w:line="377" w:lineRule="auto"/>
        <w:ind w:left="14" w:right="200"/>
      </w:pPr>
      <w:r>
        <w:rPr>
          <w:rFonts w:ascii="Calibri" w:eastAsia="Calibri" w:hAnsi="Calibri" w:cs="Calibri"/>
          <w:sz w:val="24"/>
        </w:rPr>
        <w:t>6.</w:t>
      </w:r>
      <w:r>
        <w:rPr>
          <w:sz w:val="24"/>
        </w:rPr>
        <w:t xml:space="preserve"> </w:t>
      </w:r>
      <w:r>
        <w:t>La persona encargada de la posesión de los residuos estará obligada, mientras se encuentren en su poder, a mantenerlos en condiciones adecuadas de higiene y seguridad, as</w:t>
      </w:r>
      <w:r>
        <w:t>í como a evitar la mezcla de fracciones ya seleccionadas que impida o dificulte su posterior valorización o eliminación, e igualmente a prevenir derrames, polvo, vertidos y molestias en la vía pública.</w:t>
      </w:r>
      <w:r>
        <w:rPr>
          <w:rFonts w:ascii="Times New Roman" w:eastAsia="Times New Roman" w:hAnsi="Times New Roman" w:cs="Times New Roman"/>
          <w:sz w:val="24"/>
        </w:rPr>
        <w:t xml:space="preserve"> </w:t>
      </w:r>
    </w:p>
    <w:p w:rsidR="00025683" w:rsidRDefault="007C2AAB">
      <w:pPr>
        <w:spacing w:after="280" w:line="259" w:lineRule="auto"/>
        <w:ind w:left="0" w:firstLine="0"/>
        <w:jc w:val="left"/>
      </w:pPr>
      <w:r>
        <w:rPr>
          <w:b/>
        </w:rPr>
        <w:t xml:space="preserve"> </w:t>
      </w:r>
    </w:p>
    <w:p w:rsidR="00025683" w:rsidRDefault="007C2AAB">
      <w:pPr>
        <w:spacing w:after="151" w:line="352" w:lineRule="auto"/>
        <w:ind w:left="0"/>
      </w:pPr>
      <w:r>
        <w:rPr>
          <w:b/>
        </w:rPr>
        <w:t>Artículo. 56 Depósito de escombros de obras menores</w:t>
      </w:r>
      <w:r>
        <w:rPr>
          <w:b/>
        </w:rPr>
        <w:t xml:space="preserve"> de construcción y reparación domiciliaria en puntos limpios.</w:t>
      </w:r>
      <w:r>
        <w:rPr>
          <w:rFonts w:ascii="Times New Roman" w:eastAsia="Times New Roman" w:hAnsi="Times New Roman" w:cs="Times New Roman"/>
          <w:sz w:val="24"/>
        </w:rPr>
        <w:t xml:space="preserve"> </w:t>
      </w:r>
    </w:p>
    <w:p w:rsidR="00025683" w:rsidRDefault="007C2AAB">
      <w:pPr>
        <w:numPr>
          <w:ilvl w:val="0"/>
          <w:numId w:val="121"/>
        </w:numPr>
        <w:spacing w:after="169" w:line="358" w:lineRule="auto"/>
        <w:ind w:right="327"/>
      </w:pPr>
      <w:r>
        <w:t>Los escombros y residuos procedentes de obras menores de construcción y reparación domiciliaria (a excepción de aquellos que provengan de vaciado o movimientos de tierras) podrán ser depositado</w:t>
      </w:r>
      <w:r>
        <w:t>s en los puntos limpios. El Ayuntamiento establecerá las cantidades máximas permitidas mediante la resolución del órgano competente en materia de gestión de residuos. A solicitud de la persona interesada, se emitirá un documento acreditativo de los RCD ent</w:t>
      </w:r>
      <w:r>
        <w:t>regados, indicando la procedencia, la cantidad y la fecha de entrega.</w:t>
      </w:r>
      <w:r>
        <w:rPr>
          <w:rFonts w:ascii="Times New Roman" w:eastAsia="Times New Roman" w:hAnsi="Times New Roman" w:cs="Times New Roman"/>
          <w:sz w:val="24"/>
        </w:rPr>
        <w:t xml:space="preserve"> </w:t>
      </w:r>
    </w:p>
    <w:p w:rsidR="00025683" w:rsidRDefault="007C2AAB">
      <w:pPr>
        <w:numPr>
          <w:ilvl w:val="0"/>
          <w:numId w:val="121"/>
        </w:numPr>
        <w:spacing w:after="167" w:line="358" w:lineRule="auto"/>
        <w:ind w:right="327"/>
      </w:pPr>
      <w:r>
        <w:rPr>
          <w:rFonts w:ascii="Calibri" w:eastAsia="Calibri" w:hAnsi="Calibri" w:cs="Calibri"/>
          <w:noProof/>
        </w:rPr>
        <mc:AlternateContent>
          <mc:Choice Requires="wpg">
            <w:drawing>
              <wp:anchor distT="0" distB="0" distL="114300" distR="114300" simplePos="0" relativeHeight="25195724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1496" name="Group 42149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9824" name="Rectangle 3982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39825" name="Rectangle 3982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39826" name="Rectangle 3982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278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1496" style="width:18.7031pt;height:264.21pt;position:absolute;mso-position-horizontal-relative:page;mso-position-horizontal:absolute;margin-left:662.928pt;mso-position-vertical-relative:page;margin-top:507.75pt;" coordsize="2375,33554">
                <v:rect id="Rectangle 3982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3982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3982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278 de 350 </w:t>
                        </w:r>
                      </w:p>
                    </w:txbxContent>
                  </v:textbox>
                </v:rect>
                <w10:wrap type="square"/>
              </v:group>
            </w:pict>
          </mc:Fallback>
        </mc:AlternateContent>
      </w:r>
      <w:r>
        <w:t xml:space="preserve">Los restantes residuos procedentes de obras menores de construcción y reparación domiciliaria en cantidad superior a la establecida en la Resolución a la que se </w:t>
      </w:r>
      <w:r>
        <w:t>hace referencia en el apartado anterior, se gestionarán en la forma establecida en la presente ordenanza y demás normativa aplicable.</w:t>
      </w:r>
      <w:r>
        <w:rPr>
          <w:rFonts w:ascii="Times New Roman" w:eastAsia="Times New Roman" w:hAnsi="Times New Roman" w:cs="Times New Roman"/>
          <w:sz w:val="24"/>
        </w:rPr>
        <w:t xml:space="preserve"> </w:t>
      </w:r>
    </w:p>
    <w:p w:rsidR="00025683" w:rsidRDefault="007C2AAB">
      <w:pPr>
        <w:numPr>
          <w:ilvl w:val="0"/>
          <w:numId w:val="121"/>
        </w:numPr>
        <w:spacing w:after="185" w:line="355" w:lineRule="auto"/>
        <w:ind w:right="327"/>
      </w:pPr>
      <w:r>
        <w:t>No podrán depositarse los escombros procedentes de obras menores de construcción y reparación domiciliaria en el interior</w:t>
      </w:r>
      <w:r>
        <w:t xml:space="preserve"> de los recipientes normalizados de recogida de residuos</w:t>
      </w:r>
      <w:r>
        <w:rPr>
          <w:rFonts w:ascii="Times New Roman" w:eastAsia="Times New Roman" w:hAnsi="Times New Roman" w:cs="Times New Roman"/>
          <w:sz w:val="24"/>
        </w:rPr>
        <w:t xml:space="preserve"> </w:t>
      </w:r>
    </w:p>
    <w:p w:rsidR="00025683" w:rsidRDefault="007C2AAB">
      <w:pPr>
        <w:spacing w:after="140" w:line="350" w:lineRule="auto"/>
        <w:ind w:left="14" w:right="325"/>
      </w:pPr>
      <w:r>
        <w:t>destinados a otras fracciones (como contenedores o papeleras solares), ni tampoco podrán abandonarse, en bolsas o de cualquier otra forma, junto a este tipo de recipientes o en la vía pública y terr</w:t>
      </w:r>
      <w:r>
        <w:t>enos públicos.</w:t>
      </w:r>
      <w:r>
        <w:rPr>
          <w:rFonts w:ascii="Times New Roman" w:eastAsia="Times New Roman" w:hAnsi="Times New Roman" w:cs="Times New Roman"/>
          <w:sz w:val="24"/>
        </w:rPr>
        <w:t xml:space="preserve"> </w:t>
      </w:r>
    </w:p>
    <w:p w:rsidR="00025683" w:rsidRDefault="007C2AAB">
      <w:pPr>
        <w:spacing w:after="157" w:line="259" w:lineRule="auto"/>
        <w:ind w:left="0" w:firstLine="0"/>
        <w:jc w:val="left"/>
      </w:pPr>
      <w:r>
        <w:rPr>
          <w:b/>
        </w:rPr>
        <w:t xml:space="preserve"> </w:t>
      </w:r>
    </w:p>
    <w:p w:rsidR="00025683" w:rsidRDefault="007C2AAB">
      <w:pPr>
        <w:spacing w:after="170"/>
        <w:ind w:left="0" w:right="197"/>
      </w:pPr>
      <w:r>
        <w:rPr>
          <w:b/>
        </w:rPr>
        <w:t>Artículo. 57.  Utilización de contenedores y sacos para RCD materiales de construcción.</w:t>
      </w:r>
      <w:r>
        <w:rPr>
          <w:rFonts w:ascii="Times New Roman" w:eastAsia="Times New Roman" w:hAnsi="Times New Roman" w:cs="Times New Roman"/>
          <w:sz w:val="24"/>
        </w:rPr>
        <w:t xml:space="preserve"> </w:t>
      </w:r>
    </w:p>
    <w:p w:rsidR="00025683" w:rsidRDefault="007C2AAB">
      <w:pPr>
        <w:numPr>
          <w:ilvl w:val="0"/>
          <w:numId w:val="122"/>
        </w:numPr>
        <w:spacing w:after="182" w:line="375" w:lineRule="auto"/>
        <w:ind w:right="200"/>
      </w:pPr>
      <w:r>
        <w:t>El depósito, la colocación e instalación de contenedores y sacos para RCD y materiales de construcción se adecuará a lo dispuesto en el presente Artí</w:t>
      </w:r>
      <w:r>
        <w:t xml:space="preserve">culo. </w:t>
      </w:r>
    </w:p>
    <w:p w:rsidR="00025683" w:rsidRDefault="007C2AAB">
      <w:pPr>
        <w:numPr>
          <w:ilvl w:val="0"/>
          <w:numId w:val="122"/>
        </w:numPr>
        <w:spacing w:line="358" w:lineRule="auto"/>
        <w:ind w:right="200"/>
      </w:pPr>
      <w:r>
        <w:t xml:space="preserve">Los Residuos de Construcción y Demolición (RCD) y los materiales de construcción solo podrán depositarse en el espacio público en caso de necesidad y siempre en el interior de contenedores o sacos industriales normalizados, los cuales deberán estar </w:t>
      </w:r>
      <w:r>
        <w:t>homologados por el gestor autorizado y llevar su identificación visible.</w:t>
      </w:r>
      <w:r>
        <w:rPr>
          <w:rFonts w:ascii="Times New Roman" w:eastAsia="Times New Roman" w:hAnsi="Times New Roman" w:cs="Times New Roman"/>
          <w:sz w:val="24"/>
        </w:rPr>
        <w:t xml:space="preserve"> </w:t>
      </w:r>
    </w:p>
    <w:p w:rsidR="00025683" w:rsidRDefault="007C2AAB">
      <w:pPr>
        <w:ind w:left="14" w:right="200"/>
      </w:pPr>
      <w:r>
        <w:t xml:space="preserve">No está permitido depositar residuos en contenedores o sacos por personas ajenas a la </w:t>
      </w:r>
    </w:p>
    <w:p w:rsidR="00025683" w:rsidRDefault="00025683">
      <w:pPr>
        <w:sectPr w:rsidR="00025683">
          <w:headerReference w:type="even" r:id="rId133"/>
          <w:headerReference w:type="default" r:id="rId134"/>
          <w:footerReference w:type="even" r:id="rId135"/>
          <w:footerReference w:type="default" r:id="rId136"/>
          <w:headerReference w:type="first" r:id="rId137"/>
          <w:footerReference w:type="first" r:id="rId138"/>
          <w:pgSz w:w="14167" w:h="16819"/>
          <w:pgMar w:top="2102" w:right="2203" w:bottom="1746" w:left="2550" w:header="420" w:footer="580" w:gutter="0"/>
          <w:cols w:space="720"/>
          <w:titlePg/>
        </w:sectPr>
      </w:pPr>
    </w:p>
    <w:p w:rsidR="00025683" w:rsidRDefault="007C2AAB">
      <w:pPr>
        <w:spacing w:after="236"/>
        <w:ind w:left="245" w:right="200"/>
      </w:pPr>
      <w:r>
        <w:t xml:space="preserve">titularidad de la autorización o comunicación. </w:t>
      </w:r>
    </w:p>
    <w:p w:rsidR="00025683" w:rsidRDefault="007C2AAB">
      <w:pPr>
        <w:spacing w:after="179" w:line="352" w:lineRule="auto"/>
        <w:ind w:left="245" w:right="272"/>
      </w:pPr>
      <w:r>
        <w:t>Queda prohibido depositar en estos contenedores o sacos residuos domésticos o susceptibles de putrefacción, residuos de aparatos eléctricos y electrónicos, pin</w:t>
      </w:r>
      <w:r>
        <w:t>turas, barnices, materias inflamables, explosivas o peligrosas o cualquier residuo que no pertenezca a la categoría de RCD.</w:t>
      </w:r>
      <w:r>
        <w:rPr>
          <w:rFonts w:ascii="Times New Roman" w:eastAsia="Times New Roman" w:hAnsi="Times New Roman" w:cs="Times New Roman"/>
          <w:sz w:val="24"/>
        </w:rPr>
        <w:t xml:space="preserve"> </w:t>
      </w:r>
    </w:p>
    <w:p w:rsidR="00025683" w:rsidRDefault="007C2AAB">
      <w:pPr>
        <w:numPr>
          <w:ilvl w:val="0"/>
          <w:numId w:val="122"/>
        </w:numPr>
        <w:spacing w:after="174" w:line="355" w:lineRule="auto"/>
        <w:ind w:right="200"/>
      </w:pPr>
      <w:r>
        <w:t>La instalación de contenedores o sacos en espacios públicos se someterá a las normas siguientes:</w:t>
      </w:r>
      <w:r>
        <w:rPr>
          <w:rFonts w:ascii="Times New Roman" w:eastAsia="Times New Roman" w:hAnsi="Times New Roman" w:cs="Times New Roman"/>
          <w:sz w:val="24"/>
        </w:rPr>
        <w:t xml:space="preserve"> </w:t>
      </w:r>
    </w:p>
    <w:p w:rsidR="00025683" w:rsidRDefault="007C2AAB">
      <w:pPr>
        <w:numPr>
          <w:ilvl w:val="0"/>
          <w:numId w:val="123"/>
        </w:numPr>
        <w:spacing w:after="171" w:line="357" w:lineRule="auto"/>
        <w:ind w:right="273"/>
      </w:pPr>
      <w:r>
        <w:t xml:space="preserve">La instalación de contenedores o </w:t>
      </w:r>
      <w:r>
        <w:t>sacos para RCD o materiales de construcción se efectuará colocando el contenedor o saco en la calzada ocupando lugar de aparcamiento de vehículos, sin sobresalir de la línea formada por los vehículos correctamente estacionados.</w:t>
      </w:r>
      <w:r>
        <w:rPr>
          <w:rFonts w:ascii="Times New Roman" w:eastAsia="Times New Roman" w:hAnsi="Times New Roman" w:cs="Times New Roman"/>
          <w:sz w:val="24"/>
        </w:rPr>
        <w:t xml:space="preserve"> </w:t>
      </w:r>
    </w:p>
    <w:p w:rsidR="00025683" w:rsidRDefault="007C2AAB">
      <w:pPr>
        <w:numPr>
          <w:ilvl w:val="0"/>
          <w:numId w:val="123"/>
        </w:numPr>
        <w:spacing w:after="222" w:line="358" w:lineRule="auto"/>
        <w:ind w:right="273"/>
      </w:pPr>
      <w:r>
        <w:t>Para este tipo de instalaci</w:t>
      </w:r>
      <w:r>
        <w:t>ones bastará con efectuar una comunicación previa al Ayuntamiento con una antelación mínima de dos días a la fecha en que pretenda realizarse la instalación, en el Registro Electrónico General del Ayuntamiento de Candelaria. En la documentación deberá acre</w:t>
      </w:r>
      <w:r>
        <w:t>ditarse el pago de la tasa por ocupación de vía pública.</w:t>
      </w:r>
      <w:r>
        <w:rPr>
          <w:rFonts w:ascii="Times New Roman" w:eastAsia="Times New Roman" w:hAnsi="Times New Roman" w:cs="Times New Roman"/>
          <w:sz w:val="24"/>
        </w:rPr>
        <w:t xml:space="preserve"> </w:t>
      </w:r>
    </w:p>
    <w:p w:rsidR="00025683" w:rsidRDefault="007C2AAB">
      <w:pPr>
        <w:numPr>
          <w:ilvl w:val="0"/>
          <w:numId w:val="123"/>
        </w:numPr>
        <w:spacing w:line="357" w:lineRule="auto"/>
        <w:ind w:right="273"/>
      </w:pPr>
      <w:r>
        <w:rPr>
          <w:noProof/>
        </w:rPr>
        <w:drawing>
          <wp:anchor distT="0" distB="0" distL="114300" distR="114300" simplePos="0" relativeHeight="251958272" behindDoc="0" locked="0" layoutInCell="1" allowOverlap="0">
            <wp:simplePos x="0" y="0"/>
            <wp:positionH relativeFrom="page">
              <wp:posOffset>1654175</wp:posOffset>
            </wp:positionH>
            <wp:positionV relativeFrom="page">
              <wp:posOffset>266700</wp:posOffset>
            </wp:positionV>
            <wp:extent cx="713232" cy="914400"/>
            <wp:effectExtent l="0" t="0" r="0" b="0"/>
            <wp:wrapTopAndBottom/>
            <wp:docPr id="39831" name="Picture 39831"/>
            <wp:cNvGraphicFramePr/>
            <a:graphic xmlns:a="http://schemas.openxmlformats.org/drawingml/2006/main">
              <a:graphicData uri="http://schemas.openxmlformats.org/drawingml/2006/picture">
                <pic:pic xmlns:pic="http://schemas.openxmlformats.org/drawingml/2006/picture">
                  <pic:nvPicPr>
                    <pic:cNvPr id="39831" name="Picture 39831"/>
                    <pic:cNvPicPr/>
                  </pic:nvPicPr>
                  <pic:blipFill>
                    <a:blip r:embed="rId108"/>
                    <a:stretch>
                      <a:fillRect/>
                    </a:stretch>
                  </pic:blipFill>
                  <pic:spPr>
                    <a:xfrm>
                      <a:off x="0" y="0"/>
                      <a:ext cx="713232" cy="9144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95929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0926" name="Group 4209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099" name="Rectangle 4009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0100" name="Rectangle 4010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101" name="Rectangle 4010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esPublico Gestiona | Página 279 de 350</w:t>
                              </w:r>
                              <w:r>
                                <w:rPr>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20926" style="width:18.7031pt;height:264.21pt;position:absolute;mso-position-horizontal-relative:page;mso-position-horizontal:absolute;margin-left:662.928pt;mso-position-vertical-relative:page;margin-top:507.75pt;" coordsize="2375,33554">
                <v:rect id="Rectangle 4009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010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10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279 de 350 </w:t>
                        </w:r>
                      </w:p>
                    </w:txbxContent>
                  </v:textbox>
                </v:rect>
                <w10:wrap type="square"/>
              </v:group>
            </w:pict>
          </mc:Fallback>
        </mc:AlternateContent>
      </w:r>
      <w:r>
        <w:t>Para instalar un contenedor o saco sobre la acera, en calzadas con reserva especial de estacionamiento o en las que no esté permitido el estacionamiento de vehículos, se requerirá autorización del Ayuntamiento,</w:t>
      </w:r>
      <w:r>
        <w:rPr>
          <w:rFonts w:ascii="Times New Roman" w:eastAsia="Times New Roman" w:hAnsi="Times New Roman" w:cs="Times New Roman"/>
          <w:sz w:val="24"/>
        </w:rPr>
        <w:t xml:space="preserve"> </w:t>
      </w:r>
    </w:p>
    <w:p w:rsidR="00025683" w:rsidRDefault="007C2AAB">
      <w:pPr>
        <w:spacing w:after="177" w:line="352" w:lineRule="auto"/>
        <w:ind w:left="245" w:right="276"/>
      </w:pPr>
      <w:r>
        <w:t>A tales efectos, la persona interesada deb</w:t>
      </w:r>
      <w:r>
        <w:t>erá presentar la solicitud con una antelación mínima de diez días hábiles al período de ocupación, en el Registro Electrónico General del Ayuntamiento de Candelaria. En la solicitud deberá acreditarse el pago de la tasa por ocupación de vía pública.</w:t>
      </w:r>
      <w:r>
        <w:rPr>
          <w:rFonts w:ascii="Times New Roman" w:eastAsia="Times New Roman" w:hAnsi="Times New Roman" w:cs="Times New Roman"/>
          <w:sz w:val="24"/>
        </w:rPr>
        <w:t xml:space="preserve"> </w:t>
      </w:r>
    </w:p>
    <w:p w:rsidR="00025683" w:rsidRDefault="007C2AAB">
      <w:pPr>
        <w:numPr>
          <w:ilvl w:val="0"/>
          <w:numId w:val="124"/>
        </w:numPr>
        <w:spacing w:after="128" w:line="358" w:lineRule="auto"/>
        <w:ind w:right="273"/>
      </w:pPr>
      <w:r>
        <w:t xml:space="preserve">Para </w:t>
      </w:r>
      <w:r>
        <w:t xml:space="preserve">la instalación de contenedores sobre la acera o en calzadas en las que no se permite el estacionamiento, la persona encargada de la promoción de la obra deberá garantizar el cumplimiento estricto de la normativa sobre accesibilidad y supresión de barreras </w:t>
      </w:r>
      <w:r>
        <w:t>arquitectónicas, asegurando en todo momento un ancho mínimo libre de paso en el itinerario peatonal para Personas con Movilidad Reducida (PMR) de 1,80 metros. Se permitirá un ancho mínimo puntual de 1,50 metros, siempre y cuando se justifique adecuadamente</w:t>
      </w:r>
      <w:r>
        <w:t xml:space="preserve"> y se mantenga libre de obstáculos.</w:t>
      </w:r>
      <w:r>
        <w:rPr>
          <w:rFonts w:ascii="Times New Roman" w:eastAsia="Times New Roman" w:hAnsi="Times New Roman" w:cs="Times New Roman"/>
          <w:sz w:val="24"/>
        </w:rPr>
        <w:t xml:space="preserve"> </w:t>
      </w:r>
    </w:p>
    <w:p w:rsidR="00025683" w:rsidRDefault="007C2AAB">
      <w:pPr>
        <w:spacing w:line="339" w:lineRule="auto"/>
        <w:ind w:left="245" w:right="200"/>
      </w:pPr>
      <w:r>
        <w:t>No se autorizará en acera, calle peatonal o zona de reserva especial de estacionamiento si la vía dispone de estacionamiento autorizado.</w:t>
      </w:r>
      <w:r>
        <w:rPr>
          <w:rFonts w:ascii="Times New Roman" w:eastAsia="Times New Roman" w:hAnsi="Times New Roman" w:cs="Times New Roman"/>
          <w:sz w:val="24"/>
        </w:rPr>
        <w:t xml:space="preserve"> </w:t>
      </w:r>
    </w:p>
    <w:p w:rsidR="00025683" w:rsidRDefault="007C2AAB">
      <w:pPr>
        <w:numPr>
          <w:ilvl w:val="0"/>
          <w:numId w:val="124"/>
        </w:numPr>
        <w:spacing w:after="167" w:line="358" w:lineRule="auto"/>
        <w:ind w:right="273"/>
      </w:pPr>
      <w:r>
        <w:t>La obligación de efectuar la comunicación o de obtener la autorización corresponde a la persona promotora de la obra. Las empresas proveedoras de los recipientes no podrán efectuar su instalación si no disponen de la comunicación o autorización preceptiva.</w:t>
      </w:r>
      <w:r>
        <w:t xml:space="preserve"> La responsabilidad por la colocación del contenedor o saco sin comunicación o autorización, será de la empresa proveedora.</w:t>
      </w:r>
      <w:r>
        <w:rPr>
          <w:rFonts w:ascii="Times New Roman" w:eastAsia="Times New Roman" w:hAnsi="Times New Roman" w:cs="Times New Roman"/>
          <w:sz w:val="24"/>
        </w:rPr>
        <w:t xml:space="preserve"> </w:t>
      </w:r>
    </w:p>
    <w:p w:rsidR="00025683" w:rsidRDefault="007C2AAB">
      <w:pPr>
        <w:numPr>
          <w:ilvl w:val="0"/>
          <w:numId w:val="124"/>
        </w:numPr>
        <w:spacing w:after="169" w:line="358" w:lineRule="auto"/>
        <w:ind w:right="273"/>
      </w:pPr>
      <w:r>
        <w:t>En las zonas y calles que determine el órgano municipal competente en materia de medio ambiente no podrán instalarse contenedores o</w:t>
      </w:r>
      <w:r>
        <w:t xml:space="preserve"> sacos de escombros, llenos o vacíos, durante los fines de semana, festivos o días de celebración de eventos públicos. De las zonas restringidas y las fechas afectadas se dará la correspondiente publicidad con una antelación mínima de siete días naturales,</w:t>
      </w:r>
      <w:r>
        <w:t xml:space="preserve"> a través de la página web municipal. Se exceptúan de este plazo aquellos supuestos que, por urgencia, razones de seguridad o causas similares justificadas, no fuera posible.</w:t>
      </w:r>
      <w:r>
        <w:rPr>
          <w:rFonts w:ascii="Times New Roman" w:eastAsia="Times New Roman" w:hAnsi="Times New Roman" w:cs="Times New Roman"/>
          <w:sz w:val="24"/>
        </w:rPr>
        <w:t xml:space="preserve"> </w:t>
      </w:r>
    </w:p>
    <w:p w:rsidR="00025683" w:rsidRDefault="007C2AAB">
      <w:pPr>
        <w:numPr>
          <w:ilvl w:val="0"/>
          <w:numId w:val="124"/>
        </w:numPr>
        <w:spacing w:after="131" w:line="358" w:lineRule="auto"/>
        <w:ind w:right="273"/>
      </w:pPr>
      <w:r>
        <w:rPr>
          <w:rFonts w:ascii="Calibri" w:eastAsia="Calibri" w:hAnsi="Calibri" w:cs="Calibri"/>
          <w:noProof/>
        </w:rPr>
        <mc:AlternateContent>
          <mc:Choice Requires="wpg">
            <w:drawing>
              <wp:anchor distT="0" distB="0" distL="114300" distR="114300" simplePos="0" relativeHeight="25196032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0283" name="Group 4202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290" name="Rectangle 4029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0291" name="Rectangle 4029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w:t>
                              </w:r>
                              <w:r>
                                <w:rPr>
                                  <w:sz w:val="12"/>
                                </w:rPr>
                                <w:t xml:space="preserve">a.sedelectronica.es/ </w:t>
                              </w:r>
                            </w:p>
                          </w:txbxContent>
                        </wps:txbx>
                        <wps:bodyPr horzOverflow="overflow" vert="horz" lIns="0" tIns="0" rIns="0" bIns="0" rtlCol="0">
                          <a:noAutofit/>
                        </wps:bodyPr>
                      </wps:wsp>
                      <wps:wsp>
                        <wps:cNvPr id="40292" name="Rectangle 4029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280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0283" style="width:18.7031pt;height:264.21pt;position:absolute;mso-position-horizontal-relative:page;mso-position-horizontal:absolute;margin-left:662.928pt;mso-position-vertical-relative:page;margin-top:507.75pt;" coordsize="2375,33554">
                <v:rect id="Rectangle 4029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029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29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280 de 350 </w:t>
                        </w:r>
                      </w:p>
                    </w:txbxContent>
                  </v:textbox>
                </v:rect>
                <w10:wrap type="square"/>
              </v:group>
            </w:pict>
          </mc:Fallback>
        </mc:AlternateContent>
      </w:r>
      <w:r>
        <w:t>El Ayuntamiento podrá ordenar la retirada inmediata de los recipientes en el supuesto de incumplir lo dispuesto en la presente sección, s</w:t>
      </w:r>
      <w:r>
        <w:t>in perjuicio de las sanciones que resulten aplicables. Los costes derivados de dicha retirada y gestión de los residuos serán repercutidos al responsable y, en su caso, se detraerán de la fianza abonada para la ocupación de la vía pública.</w:t>
      </w:r>
      <w:r>
        <w:rPr>
          <w:rFonts w:ascii="Times New Roman" w:eastAsia="Times New Roman" w:hAnsi="Times New Roman" w:cs="Times New Roman"/>
          <w:sz w:val="24"/>
        </w:rPr>
        <w:t xml:space="preserve"> </w:t>
      </w:r>
    </w:p>
    <w:p w:rsidR="00025683" w:rsidRDefault="007C2AAB">
      <w:pPr>
        <w:spacing w:after="157" w:line="259" w:lineRule="auto"/>
        <w:ind w:left="245" w:firstLine="0"/>
        <w:jc w:val="left"/>
      </w:pPr>
      <w:r>
        <w:rPr>
          <w:b/>
        </w:rPr>
        <w:t xml:space="preserve"> </w:t>
      </w:r>
    </w:p>
    <w:p w:rsidR="00025683" w:rsidRDefault="007C2AAB">
      <w:pPr>
        <w:spacing w:after="170"/>
        <w:ind w:left="240" w:right="197"/>
      </w:pPr>
      <w:r>
        <w:rPr>
          <w:b/>
        </w:rPr>
        <w:t>Artículo. 58.</w:t>
      </w:r>
      <w:r>
        <w:rPr>
          <w:b/>
        </w:rPr>
        <w:t xml:space="preserve">   Normas de utilización de contenedores y sacos.</w:t>
      </w:r>
      <w:r>
        <w:rPr>
          <w:rFonts w:ascii="Times New Roman" w:eastAsia="Times New Roman" w:hAnsi="Times New Roman" w:cs="Times New Roman"/>
          <w:sz w:val="24"/>
        </w:rPr>
        <w:t xml:space="preserve"> </w:t>
      </w:r>
    </w:p>
    <w:p w:rsidR="00025683" w:rsidRDefault="007C2AAB">
      <w:pPr>
        <w:numPr>
          <w:ilvl w:val="0"/>
          <w:numId w:val="125"/>
        </w:numPr>
        <w:spacing w:after="194" w:line="364" w:lineRule="auto"/>
        <w:ind w:right="272"/>
      </w:pPr>
      <w:r>
        <w:t xml:space="preserve">Una vez instalado el contenedor o saco en la vía o espacio público, los RCD, en su caso, materiales de construcción que allí se vertieran o acopiaran no podrán sobrepasar el plano definido por sus aristas </w:t>
      </w:r>
      <w:r>
        <w:t xml:space="preserve">superiores, estando expresamente prohibida la suplementación de capacidad del recipiente por cualquier medio para lograr un sobrellenado </w:t>
      </w:r>
    </w:p>
    <w:p w:rsidR="00025683" w:rsidRDefault="007C2AAB">
      <w:pPr>
        <w:numPr>
          <w:ilvl w:val="0"/>
          <w:numId w:val="125"/>
        </w:numPr>
        <w:spacing w:after="190" w:line="368" w:lineRule="auto"/>
        <w:ind w:right="272"/>
      </w:pPr>
      <w:r>
        <w:t>Una vez alcanzado el volumen máximo admisible para el saco o contenedor, el personal encargado en la producción del residuo lo tapará y solicitará de forma inmediata su retirada al transportista autorizado de RCD, para que la misma sea efectiva antes de 24</w:t>
      </w:r>
      <w:r>
        <w:t xml:space="preserve"> horas. </w:t>
      </w:r>
    </w:p>
    <w:p w:rsidR="00025683" w:rsidRDefault="007C2AAB">
      <w:pPr>
        <w:numPr>
          <w:ilvl w:val="0"/>
          <w:numId w:val="125"/>
        </w:numPr>
        <w:spacing w:after="128" w:line="357" w:lineRule="auto"/>
        <w:ind w:right="272"/>
      </w:pPr>
      <w:r>
        <w:t>Las operaciones específicas de instalación, retirada, cambio o sustitución de contenedores de obra y sacos industriales se efectuarán exclusivamente en los horarios establecidos por el órgano municipal competente en materia de movilidad, siendo es</w:t>
      </w:r>
      <w:r>
        <w:t>ta la Oficina Técnica Municipal.</w:t>
      </w:r>
      <w:r>
        <w:rPr>
          <w:rFonts w:ascii="Times New Roman" w:eastAsia="Times New Roman" w:hAnsi="Times New Roman" w:cs="Times New Roman"/>
          <w:sz w:val="24"/>
        </w:rPr>
        <w:t xml:space="preserve"> </w:t>
      </w:r>
    </w:p>
    <w:p w:rsidR="00025683" w:rsidRDefault="007C2AAB">
      <w:pPr>
        <w:spacing w:after="192" w:line="339" w:lineRule="auto"/>
        <w:ind w:left="245" w:right="200"/>
      </w:pPr>
      <w:r>
        <w:t xml:space="preserve">Asimismo, el Ayuntamiento podrá ordenar la retirada o retirar los contenedores o sacos industriales si las circunstancias medioambientales, de seguridad ciudadana, de circulación o </w:t>
      </w:r>
      <w:r>
        <w:t>celebración de eventos autorizados lo aconsejan.</w:t>
      </w:r>
      <w:r>
        <w:rPr>
          <w:rFonts w:ascii="Times New Roman" w:eastAsia="Times New Roman" w:hAnsi="Times New Roman" w:cs="Times New Roman"/>
          <w:sz w:val="24"/>
        </w:rPr>
        <w:t xml:space="preserve"> </w:t>
      </w:r>
    </w:p>
    <w:p w:rsidR="00025683" w:rsidRDefault="007C2AAB">
      <w:pPr>
        <w:numPr>
          <w:ilvl w:val="0"/>
          <w:numId w:val="125"/>
        </w:numPr>
        <w:spacing w:after="169" w:line="358" w:lineRule="auto"/>
        <w:ind w:right="272"/>
      </w:pPr>
      <w:r>
        <w:t xml:space="preserve">No podrán trasladarse contenedores con sobrellenado. En el caso de producirse, la persona encargada de la posesión del residuo queda obligada a retirar previamente el material sobrante, depositarlo en otro </w:t>
      </w:r>
      <w:r>
        <w:t>recipiente (saco o contenedor) y gestionarlo según se establece en esta ordenanza. Las operaciones de limpieza de vía pública que pueda ocasionar el sobrellenado del recipiente, y que realice el Ayuntamiento, por vertidos al exterior del recipiente, pueden</w:t>
      </w:r>
      <w:r>
        <w:t xml:space="preserve"> ser repercutidas a la persona productora del residuo, sin perjuicio de las sanciones a que ello pueda dar lugar.</w:t>
      </w:r>
      <w:r>
        <w:rPr>
          <w:rFonts w:ascii="Times New Roman" w:eastAsia="Times New Roman" w:hAnsi="Times New Roman" w:cs="Times New Roman"/>
          <w:sz w:val="24"/>
        </w:rPr>
        <w:t xml:space="preserve"> </w:t>
      </w:r>
    </w:p>
    <w:p w:rsidR="00025683" w:rsidRDefault="007C2AAB">
      <w:pPr>
        <w:numPr>
          <w:ilvl w:val="0"/>
          <w:numId w:val="125"/>
        </w:numPr>
        <w:spacing w:after="167" w:line="358" w:lineRule="auto"/>
        <w:ind w:right="272"/>
      </w:pPr>
      <w:r>
        <w:t>Durante el período comprendido entre las veinte horas (20:00 h) del día y las ocho horas (08:00 h) del día siguiente, la parte productora del</w:t>
      </w:r>
      <w:r>
        <w:t xml:space="preserve"> residuo o la persona promotora de la obra están obligadas a tapar el contenedor o saco, aun no estando llenos. Para ello, deben utilizar una lona o cubierta impermeable correctamente sujeta con anclajes y que cumpla una doble función: impedir el depósito </w:t>
      </w:r>
      <w:r>
        <w:t>incontrolado de residuos dentro del recipiente y evitar la dispersión de los materiales por el viento o la lluvia.</w:t>
      </w:r>
      <w:r>
        <w:rPr>
          <w:rFonts w:ascii="Times New Roman" w:eastAsia="Times New Roman" w:hAnsi="Times New Roman" w:cs="Times New Roman"/>
          <w:sz w:val="24"/>
        </w:rPr>
        <w:t xml:space="preserve"> </w:t>
      </w:r>
    </w:p>
    <w:p w:rsidR="00025683" w:rsidRDefault="007C2AAB">
      <w:pPr>
        <w:numPr>
          <w:ilvl w:val="0"/>
          <w:numId w:val="125"/>
        </w:numPr>
        <w:spacing w:after="170" w:line="358" w:lineRule="auto"/>
        <w:ind w:right="272"/>
      </w:pPr>
      <w:r>
        <w:rPr>
          <w:rFonts w:ascii="Calibri" w:eastAsia="Calibri" w:hAnsi="Calibri" w:cs="Calibri"/>
          <w:noProof/>
        </w:rPr>
        <mc:AlternateContent>
          <mc:Choice Requires="wpg">
            <w:drawing>
              <wp:anchor distT="0" distB="0" distL="114300" distR="114300" simplePos="0" relativeHeight="25196134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9840" name="Group 4198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635" name="Rectangle 4063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0636" name="Rectangle 4063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637" name="Rectangle 4063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w:t>
                              </w:r>
                              <w:r>
                                <w:rPr>
                                  <w:sz w:val="12"/>
                                </w:rPr>
                                <w:t xml:space="preserve">esde la plataforma esPublico Gestiona | Página 281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9840" style="width:18.7031pt;height:264.21pt;position:absolute;mso-position-horizontal-relative:page;mso-position-horizontal:absolute;margin-left:662.928pt;mso-position-vertical-relative:page;margin-top:507.75pt;" coordsize="2375,33554">
                <v:rect id="Rectangle 4063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063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63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281 de 350 </w:t>
                        </w:r>
                      </w:p>
                    </w:txbxContent>
                  </v:textbox>
                </v:rect>
                <w10:wrap type="square"/>
              </v:group>
            </w:pict>
          </mc:Fallback>
        </mc:AlternateContent>
      </w:r>
      <w:r>
        <w:t>En los contenedores, sacos industriales y demás elementos de contenerización o recipientes utilizados para el almacenamiento temporal, debe figurar de forma visible y legible la siguiente informaci</w:t>
      </w:r>
      <w:r>
        <w:t>ón:</w:t>
      </w:r>
      <w:r>
        <w:rPr>
          <w:rFonts w:ascii="Times New Roman" w:eastAsia="Times New Roman" w:hAnsi="Times New Roman" w:cs="Times New Roman"/>
          <w:sz w:val="24"/>
        </w:rPr>
        <w:t xml:space="preserve"> </w:t>
      </w:r>
    </w:p>
    <w:p w:rsidR="00025683" w:rsidRDefault="007C2AAB">
      <w:pPr>
        <w:numPr>
          <w:ilvl w:val="0"/>
          <w:numId w:val="126"/>
        </w:numPr>
        <w:spacing w:after="175" w:line="354" w:lineRule="auto"/>
        <w:ind w:right="200"/>
      </w:pPr>
      <w:r>
        <w:t>Identificación de la persona encargada en la gestión del contenedor o saco (nombre o razón social, n.º de inscripción y teléfono).</w:t>
      </w:r>
      <w:r>
        <w:rPr>
          <w:rFonts w:ascii="Times New Roman" w:eastAsia="Times New Roman" w:hAnsi="Times New Roman" w:cs="Times New Roman"/>
          <w:sz w:val="24"/>
        </w:rPr>
        <w:t xml:space="preserve"> </w:t>
      </w:r>
    </w:p>
    <w:p w:rsidR="00025683" w:rsidRDefault="007C2AAB">
      <w:pPr>
        <w:numPr>
          <w:ilvl w:val="0"/>
          <w:numId w:val="126"/>
        </w:numPr>
        <w:spacing w:after="167" w:line="358" w:lineRule="auto"/>
        <w:ind w:right="200"/>
      </w:pPr>
      <w:r>
        <w:t xml:space="preserve">Número de inscripción en el Registro de Transportistas de Residuos de la Comunidad Autónoma o en el de personas </w:t>
      </w:r>
      <w:r>
        <w:t>gestoras de residuos que corresponda. Cuando se utilicen sacos industriales y otros elementos de contención o recipientes, esta información podrá colocarse mediante sistemas añadidos como adhesivos, placas o mecanismos similares.</w:t>
      </w:r>
      <w:r>
        <w:rPr>
          <w:rFonts w:ascii="Times New Roman" w:eastAsia="Times New Roman" w:hAnsi="Times New Roman" w:cs="Times New Roman"/>
          <w:sz w:val="24"/>
        </w:rPr>
        <w:t xml:space="preserve"> </w:t>
      </w:r>
    </w:p>
    <w:p w:rsidR="00025683" w:rsidRDefault="007C2AAB">
      <w:pPr>
        <w:numPr>
          <w:ilvl w:val="0"/>
          <w:numId w:val="126"/>
        </w:numPr>
        <w:spacing w:after="180" w:line="377" w:lineRule="auto"/>
        <w:ind w:right="200"/>
      </w:pPr>
      <w:r>
        <w:t xml:space="preserve">Número de identificación </w:t>
      </w:r>
      <w:r>
        <w:t xml:space="preserve">del recipiente, contenedor o saco, que permita identificar al productor del residuo. </w:t>
      </w:r>
    </w:p>
    <w:p w:rsidR="00025683" w:rsidRDefault="007C2AAB">
      <w:pPr>
        <w:numPr>
          <w:ilvl w:val="0"/>
          <w:numId w:val="127"/>
        </w:numPr>
        <w:spacing w:after="152" w:line="367" w:lineRule="auto"/>
        <w:ind w:right="273"/>
      </w:pPr>
      <w:r>
        <w:t xml:space="preserve">La información relacionada en el apartado anterior se rotulará en el recipiente y, además, se dispondrá en una placa identificativa metálica soldada en el lateral de los </w:t>
      </w:r>
      <w:r>
        <w:t xml:space="preserve">contenedores RCD y grabada por medios indelebles en los sacos. </w:t>
      </w:r>
    </w:p>
    <w:p w:rsidR="00025683" w:rsidRDefault="007C2AAB">
      <w:pPr>
        <w:spacing w:after="348"/>
        <w:ind w:left="245" w:right="200"/>
      </w:pPr>
      <w:r>
        <w:t>El formato y características de la placa y del sistema identificativo serán determinados por el órgano municipal competente en materia de gestión de residuos.</w:t>
      </w:r>
      <w:r>
        <w:rPr>
          <w:rFonts w:ascii="Times New Roman" w:eastAsia="Times New Roman" w:hAnsi="Times New Roman" w:cs="Times New Roman"/>
          <w:sz w:val="24"/>
        </w:rPr>
        <w:t xml:space="preserve"> </w:t>
      </w:r>
    </w:p>
    <w:p w:rsidR="00025683" w:rsidRDefault="007C2AAB">
      <w:pPr>
        <w:numPr>
          <w:ilvl w:val="0"/>
          <w:numId w:val="127"/>
        </w:numPr>
        <w:spacing w:after="167" w:line="358" w:lineRule="auto"/>
        <w:ind w:right="273"/>
      </w:pPr>
      <w:r>
        <w:t>Se prohíbe el uso de contenedore</w:t>
      </w:r>
      <w:r>
        <w:t>s o sacos sin dichos elementos identificativos, siendo responsable la persona que los utilice.Los contenedores instalados en la vía pública deberán permitir su adecuada visibilidad, especialmente durante la noche, para no suponer un riesgo para la circulac</w:t>
      </w:r>
      <w:r>
        <w:t>ión rodada o peatonal. Será obligatorio que dispongan de elementos reflectantes homologados en todas sus caras visibles y, si por las condiciones de la vía (como baja iluminación, curvas o alto tráfico rodado) la visibilidad es insuficiente y supone un rie</w:t>
      </w:r>
      <w:r>
        <w:t>sgo, deberán contar además con luz intermitente nocturna, según la normativa de seguridad vial aplicable.</w:t>
      </w:r>
      <w:r>
        <w:rPr>
          <w:rFonts w:ascii="Times New Roman" w:eastAsia="Times New Roman" w:hAnsi="Times New Roman" w:cs="Times New Roman"/>
          <w:sz w:val="24"/>
        </w:rPr>
        <w:t xml:space="preserve"> </w:t>
      </w:r>
    </w:p>
    <w:p w:rsidR="00025683" w:rsidRDefault="007C2AAB">
      <w:pPr>
        <w:numPr>
          <w:ilvl w:val="0"/>
          <w:numId w:val="127"/>
        </w:numPr>
        <w:spacing w:after="125" w:line="358" w:lineRule="auto"/>
        <w:ind w:right="273"/>
      </w:pPr>
      <w:r>
        <w:rPr>
          <w:rFonts w:ascii="Calibri" w:eastAsia="Calibri" w:hAnsi="Calibri" w:cs="Calibri"/>
          <w:noProof/>
        </w:rPr>
        <mc:AlternateContent>
          <mc:Choice Requires="wpg">
            <w:drawing>
              <wp:anchor distT="0" distB="0" distL="114300" distR="114300" simplePos="0" relativeHeight="25196236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19523" name="Group 4195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0841" name="Rectangle 4084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0842" name="Rectangle 4084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0843" name="Rectangle 4084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w:t>
                              </w:r>
                              <w:r>
                                <w:rPr>
                                  <w:sz w:val="12"/>
                                </w:rPr>
                                <w:t xml:space="preserve">lataforma esPublico Gestiona | Página 282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19523" style="width:18.7031pt;height:264.21pt;position:absolute;mso-position-horizontal-relative:page;mso-position-horizontal:absolute;margin-left:662.928pt;mso-position-vertical-relative:page;margin-top:507.75pt;" coordsize="2375,33554">
                <v:rect id="Rectangle 4084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084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084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282 de 350 </w:t>
                        </w:r>
                      </w:p>
                    </w:txbxContent>
                  </v:textbox>
                </v:rect>
                <w10:wrap type="square"/>
              </v:group>
            </w:pict>
          </mc:Fallback>
        </mc:AlternateContent>
      </w:r>
      <w:r>
        <w:t>La persona poseedora, o en su caso, promotora de la obra, deberá mantener, en todo momento, el espacio ocupado por el contenedor o saco y su entorno, en adecuadas condiciones de limpieza e higiene. Adiciona</w:t>
      </w:r>
      <w:r>
        <w:t>lmente, estarán obligadas a reparar o sufragar los costes de reparación de cualquier daño causado al pavimento, mobiliario urbano u otros elementos de la vía pública como consecuencia de la instalación, uso, retirada o manipulación del contenedor o saco in</w:t>
      </w:r>
      <w:r>
        <w:t>dustrial.</w:t>
      </w:r>
      <w:r>
        <w:rPr>
          <w:rFonts w:ascii="Times New Roman" w:eastAsia="Times New Roman" w:hAnsi="Times New Roman" w:cs="Times New Roman"/>
          <w:sz w:val="24"/>
        </w:rPr>
        <w:t xml:space="preserve"> </w:t>
      </w:r>
    </w:p>
    <w:p w:rsidR="00025683" w:rsidRDefault="007C2AAB">
      <w:pPr>
        <w:spacing w:after="152" w:line="259" w:lineRule="auto"/>
        <w:ind w:left="245" w:firstLine="0"/>
        <w:jc w:val="left"/>
      </w:pPr>
      <w:r>
        <w:rPr>
          <w:b/>
        </w:rPr>
        <w:t xml:space="preserve"> </w:t>
      </w:r>
    </w:p>
    <w:p w:rsidR="00025683" w:rsidRDefault="007C2AAB">
      <w:pPr>
        <w:spacing w:after="12"/>
        <w:ind w:left="240" w:right="197"/>
      </w:pPr>
      <w:r>
        <w:rPr>
          <w:b/>
        </w:rPr>
        <w:t>SECCIÓN 2. Pilas y baterías</w:t>
      </w:r>
      <w:r>
        <w:rPr>
          <w:rFonts w:ascii="Times New Roman" w:eastAsia="Times New Roman" w:hAnsi="Times New Roman" w:cs="Times New Roman"/>
          <w:sz w:val="24"/>
        </w:rPr>
        <w:t xml:space="preserve"> </w:t>
      </w:r>
    </w:p>
    <w:p w:rsidR="00025683" w:rsidRDefault="007C2AAB">
      <w:pPr>
        <w:spacing w:after="114" w:line="259" w:lineRule="auto"/>
        <w:ind w:left="245" w:firstLine="0"/>
        <w:jc w:val="left"/>
      </w:pPr>
      <w:r>
        <w:rPr>
          <w:b/>
        </w:rPr>
        <w:t xml:space="preserve"> </w:t>
      </w:r>
    </w:p>
    <w:p w:rsidR="00025683" w:rsidRDefault="007C2AAB">
      <w:pPr>
        <w:spacing w:after="170"/>
        <w:ind w:left="240" w:right="197"/>
      </w:pPr>
      <w:r>
        <w:rPr>
          <w:b/>
        </w:rPr>
        <w:t>Artículo. 59.  Separación, depósito y recogida.</w:t>
      </w:r>
      <w:r>
        <w:rPr>
          <w:rFonts w:ascii="Times New Roman" w:eastAsia="Times New Roman" w:hAnsi="Times New Roman" w:cs="Times New Roman"/>
          <w:sz w:val="24"/>
        </w:rPr>
        <w:t xml:space="preserve"> </w:t>
      </w:r>
    </w:p>
    <w:p w:rsidR="00025683" w:rsidRDefault="007C2AAB">
      <w:pPr>
        <w:numPr>
          <w:ilvl w:val="0"/>
          <w:numId w:val="128"/>
        </w:numPr>
        <w:spacing w:after="167" w:line="358" w:lineRule="auto"/>
        <w:ind w:right="271"/>
      </w:pPr>
      <w:r>
        <w:t>Las pilas y baterías se separarán del resto de los residuos domésticos o asimilables, para depositarse en los puntos limpios; además, las de uso doméstico podrán depositarse en los puntos de recogida separada que se encuentren situados en el espacio públic</w:t>
      </w:r>
      <w:r>
        <w:t>o, marquesinas de autobuses o en los establecimientos comerciales que colaboren con el Ayuntamiento en su recogida</w:t>
      </w:r>
      <w:r>
        <w:rPr>
          <w:rFonts w:ascii="Times New Roman" w:eastAsia="Times New Roman" w:hAnsi="Times New Roman" w:cs="Times New Roman"/>
          <w:sz w:val="24"/>
        </w:rPr>
        <w:t xml:space="preserve"> </w:t>
      </w:r>
    </w:p>
    <w:p w:rsidR="00025683" w:rsidRDefault="007C2AAB">
      <w:pPr>
        <w:numPr>
          <w:ilvl w:val="0"/>
          <w:numId w:val="128"/>
        </w:numPr>
        <w:spacing w:line="358" w:lineRule="auto"/>
        <w:ind w:right="271"/>
      </w:pPr>
      <w:r>
        <w:t>La recogida en los establecimientos comerciales será gratuita y las personas o entidades titulares de aquellos tendrán el carácter de poseed</w:t>
      </w:r>
      <w:r>
        <w:t>ores y poseedoras de residuos desde que se produzca la entrega en los contenedores situados en los establecimientos y hasta que sean recogidos por quienes gestionan los residuos.</w:t>
      </w:r>
      <w:r>
        <w:rPr>
          <w:rFonts w:ascii="Times New Roman" w:eastAsia="Times New Roman" w:hAnsi="Times New Roman" w:cs="Times New Roman"/>
          <w:sz w:val="24"/>
        </w:rPr>
        <w:t xml:space="preserve"> </w:t>
      </w:r>
    </w:p>
    <w:p w:rsidR="00025683" w:rsidRDefault="007C2AAB">
      <w:pPr>
        <w:spacing w:after="139" w:line="259" w:lineRule="auto"/>
        <w:ind w:left="245" w:firstLine="0"/>
        <w:jc w:val="left"/>
      </w:pPr>
      <w:r>
        <w:rPr>
          <w:b/>
        </w:rPr>
        <w:t xml:space="preserve"> </w:t>
      </w:r>
    </w:p>
    <w:p w:rsidR="00025683" w:rsidRDefault="007C2AAB">
      <w:pPr>
        <w:spacing w:after="139" w:line="259" w:lineRule="auto"/>
        <w:ind w:left="245" w:firstLine="0"/>
        <w:jc w:val="left"/>
      </w:pPr>
      <w:r>
        <w:rPr>
          <w:b/>
        </w:rPr>
        <w:t xml:space="preserve"> </w:t>
      </w:r>
    </w:p>
    <w:p w:rsidR="00025683" w:rsidRDefault="007C2AAB">
      <w:pPr>
        <w:spacing w:after="155" w:line="259" w:lineRule="auto"/>
        <w:ind w:left="245" w:firstLine="0"/>
        <w:jc w:val="left"/>
      </w:pPr>
      <w:r>
        <w:rPr>
          <w:b/>
        </w:rPr>
        <w:t xml:space="preserve"> </w:t>
      </w:r>
    </w:p>
    <w:p w:rsidR="00025683" w:rsidRDefault="007C2AAB">
      <w:pPr>
        <w:spacing w:after="12"/>
        <w:ind w:left="240" w:right="197"/>
      </w:pPr>
      <w:r>
        <w:rPr>
          <w:b/>
        </w:rPr>
        <w:t>SECCIÓN 3. Muebles y enseres</w:t>
      </w:r>
      <w:r>
        <w:rPr>
          <w:rFonts w:ascii="Times New Roman" w:eastAsia="Times New Roman" w:hAnsi="Times New Roman" w:cs="Times New Roman"/>
          <w:sz w:val="24"/>
        </w:rPr>
        <w:t xml:space="preserve"> </w:t>
      </w:r>
    </w:p>
    <w:p w:rsidR="00025683" w:rsidRDefault="007C2AAB">
      <w:pPr>
        <w:spacing w:after="112" w:line="259" w:lineRule="auto"/>
        <w:ind w:left="245" w:firstLine="0"/>
        <w:jc w:val="left"/>
      </w:pPr>
      <w:r>
        <w:rPr>
          <w:b/>
        </w:rPr>
        <w:t xml:space="preserve"> </w:t>
      </w:r>
    </w:p>
    <w:p w:rsidR="00025683" w:rsidRDefault="007C2AAB">
      <w:pPr>
        <w:spacing w:after="173"/>
        <w:ind w:left="240" w:right="197"/>
      </w:pPr>
      <w:r>
        <w:rPr>
          <w:b/>
        </w:rPr>
        <w:t xml:space="preserve">Artículo. 60.  Recogida de muebles y </w:t>
      </w:r>
      <w:r>
        <w:rPr>
          <w:b/>
        </w:rPr>
        <w:t>enseres.</w:t>
      </w:r>
      <w:r>
        <w:rPr>
          <w:rFonts w:ascii="Times New Roman" w:eastAsia="Times New Roman" w:hAnsi="Times New Roman" w:cs="Times New Roman"/>
          <w:sz w:val="24"/>
        </w:rPr>
        <w:t xml:space="preserve"> </w:t>
      </w:r>
    </w:p>
    <w:p w:rsidR="00025683" w:rsidRDefault="007C2AAB">
      <w:pPr>
        <w:numPr>
          <w:ilvl w:val="0"/>
          <w:numId w:val="129"/>
        </w:numPr>
        <w:spacing w:after="167" w:line="358" w:lineRule="auto"/>
        <w:ind w:right="272"/>
      </w:pPr>
      <w:r>
        <w:t xml:space="preserve">Las personas que deseen desprenderse de muebles, enseres, colchones y grandes aparatos electrodomésticos podrán solicitar la recogida domiciliaria al Ayuntamiento a través de las vías de comunicación establecidas en la Ordenanza Reguladora de la </w:t>
      </w:r>
      <w:r>
        <w:t>Administración electrónica del Ayuntamiento de Candelaria de 1 de abril de 2022 , para que el servicio municipal competente proceda a su retirada con la mayor brevedad posible. Alternativamente, podrán depositarlos en el Punto Limpio comarcal correspondien</w:t>
      </w:r>
      <w:r>
        <w:t>te en los horarios y condiciones establecidos.</w:t>
      </w:r>
      <w:r>
        <w:rPr>
          <w:rFonts w:ascii="Times New Roman" w:eastAsia="Times New Roman" w:hAnsi="Times New Roman" w:cs="Times New Roman"/>
          <w:sz w:val="24"/>
        </w:rPr>
        <w:t xml:space="preserve"> </w:t>
      </w:r>
    </w:p>
    <w:p w:rsidR="00025683" w:rsidRDefault="007C2AAB">
      <w:pPr>
        <w:numPr>
          <w:ilvl w:val="0"/>
          <w:numId w:val="129"/>
        </w:numPr>
        <w:spacing w:after="169" w:line="358" w:lineRule="auto"/>
        <w:ind w:right="272"/>
      </w:pPr>
      <w:r>
        <w:rPr>
          <w:rFonts w:ascii="Calibri" w:eastAsia="Calibri" w:hAnsi="Calibri" w:cs="Calibri"/>
          <w:noProof/>
        </w:rPr>
        <mc:AlternateContent>
          <mc:Choice Requires="wpg">
            <w:drawing>
              <wp:anchor distT="0" distB="0" distL="114300" distR="114300" simplePos="0" relativeHeight="25196339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0699" name="Group 4206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053" name="Rectangle 4105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1054" name="Rectangle 4105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1055" name="Rectangle 4105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283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0699" style="width:18.7031pt;height:264.21pt;position:absolute;mso-position-horizontal-relative:page;mso-position-horizontal:absolute;margin-left:662.928pt;mso-position-vertical-relative:page;margin-top:507.75pt;" coordsize="2375,33554">
                <v:rect id="Rectangle 4105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105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105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283 de 350 </w:t>
                        </w:r>
                      </w:p>
                    </w:txbxContent>
                  </v:textbox>
                </v:rect>
                <w10:wrap type="square"/>
              </v:group>
            </w:pict>
          </mc:Fallback>
        </mc:AlternateContent>
      </w:r>
      <w:r>
        <w:t>Queda pro</w:t>
      </w:r>
      <w:r>
        <w:t>hibido depositar estos residuos en los espacios públicos y en los recipientes destinados a los residuos municipales de cualquier otra fracción, así como en el exterior de estos, o en contenedores o sacos de obra. No obstante, el Ayuntamiento podrá determin</w:t>
      </w:r>
      <w:r>
        <w:t>ar recogidas específicas de muebles, enseres y grandes electrodomésticos en determinados días, en los que podrán depositarse para su recogida en las condiciones establecidas.</w:t>
      </w:r>
      <w:r>
        <w:rPr>
          <w:rFonts w:ascii="Times New Roman" w:eastAsia="Times New Roman" w:hAnsi="Times New Roman" w:cs="Times New Roman"/>
          <w:sz w:val="24"/>
        </w:rPr>
        <w:t xml:space="preserve"> </w:t>
      </w:r>
    </w:p>
    <w:p w:rsidR="00025683" w:rsidRDefault="007C2AAB">
      <w:pPr>
        <w:numPr>
          <w:ilvl w:val="0"/>
          <w:numId w:val="129"/>
        </w:numPr>
        <w:spacing w:after="146" w:line="354" w:lineRule="auto"/>
        <w:ind w:right="272"/>
      </w:pPr>
      <w:r>
        <w:t>Los residuos deberán entregarse en las mejores condiciones posibles, evitando su</w:t>
      </w:r>
      <w:r>
        <w:t xml:space="preserve"> deterioro innecesario.</w:t>
      </w:r>
      <w:r>
        <w:rPr>
          <w:rFonts w:ascii="Times New Roman" w:eastAsia="Times New Roman" w:hAnsi="Times New Roman" w:cs="Times New Roman"/>
          <w:sz w:val="24"/>
        </w:rPr>
        <w:t xml:space="preserve"> </w:t>
      </w:r>
    </w:p>
    <w:p w:rsidR="00025683" w:rsidRDefault="007C2AAB">
      <w:pPr>
        <w:spacing w:after="12"/>
        <w:ind w:left="240" w:right="197"/>
      </w:pPr>
      <w:r>
        <w:rPr>
          <w:b/>
        </w:rPr>
        <w:t>SECCIÓN 4. Animales muertos</w:t>
      </w:r>
      <w:r>
        <w:rPr>
          <w:rFonts w:ascii="Times New Roman" w:eastAsia="Times New Roman" w:hAnsi="Times New Roman" w:cs="Times New Roman"/>
          <w:sz w:val="24"/>
        </w:rPr>
        <w:t xml:space="preserve"> </w:t>
      </w:r>
    </w:p>
    <w:p w:rsidR="00025683" w:rsidRDefault="007C2AAB">
      <w:pPr>
        <w:spacing w:after="112" w:line="259" w:lineRule="auto"/>
        <w:ind w:left="245" w:firstLine="0"/>
        <w:jc w:val="left"/>
      </w:pPr>
      <w:r>
        <w:rPr>
          <w:b/>
        </w:rPr>
        <w:t xml:space="preserve"> </w:t>
      </w:r>
    </w:p>
    <w:p w:rsidR="00025683" w:rsidRDefault="007C2AAB">
      <w:pPr>
        <w:spacing w:after="168"/>
        <w:ind w:left="240" w:right="197"/>
      </w:pPr>
      <w:r>
        <w:rPr>
          <w:b/>
        </w:rPr>
        <w:t>Artículo. 61.  Gestión de animales muertos.</w:t>
      </w:r>
      <w:r>
        <w:rPr>
          <w:rFonts w:ascii="Times New Roman" w:eastAsia="Times New Roman" w:hAnsi="Times New Roman" w:cs="Times New Roman"/>
          <w:sz w:val="24"/>
        </w:rPr>
        <w:t xml:space="preserve"> </w:t>
      </w:r>
    </w:p>
    <w:p w:rsidR="00025683" w:rsidRDefault="007C2AAB">
      <w:pPr>
        <w:numPr>
          <w:ilvl w:val="0"/>
          <w:numId w:val="130"/>
        </w:numPr>
        <w:spacing w:after="180" w:line="377" w:lineRule="auto"/>
        <w:ind w:right="268"/>
      </w:pPr>
      <w:r>
        <w:t xml:space="preserve">Se prohíbe el abandono de cadáveres de animales de cualquier especie, así como su inhumación o incineración en lugares o instalaciones no autorizadas </w:t>
      </w:r>
    </w:p>
    <w:p w:rsidR="00025683" w:rsidRDefault="007C2AAB">
      <w:pPr>
        <w:numPr>
          <w:ilvl w:val="0"/>
          <w:numId w:val="130"/>
        </w:numPr>
        <w:spacing w:after="194" w:line="365" w:lineRule="auto"/>
        <w:ind w:right="268"/>
      </w:pPr>
      <w:r>
        <w:t>Las personas que necesiten gestionar el cadáver de animales domésticos (animales de compañía) fallecidos, deberán solicitar los servicios municipales de recogida, transporte y eliminación. Queda prohibido deshacerse de dichos restos por cualquier otro medi</w:t>
      </w:r>
      <w:r>
        <w:t xml:space="preserve">o o depositarlos en la vía pública. </w:t>
      </w:r>
    </w:p>
    <w:p w:rsidR="00025683" w:rsidRDefault="007C2AAB">
      <w:pPr>
        <w:numPr>
          <w:ilvl w:val="0"/>
          <w:numId w:val="130"/>
        </w:numPr>
        <w:spacing w:after="245" w:line="375" w:lineRule="auto"/>
        <w:ind w:right="268"/>
      </w:pPr>
      <w:r>
        <w:t>La eliminación del cadáver de animales domésticos por los servicios municipales no exime a la persona propietaria, en ningún caso, de la obligación de comunicar la baja del animal en el registro oficial autonómico de id</w:t>
      </w:r>
      <w:r>
        <w:t>entificación de animales de compañía (asociado al microchip).</w:t>
      </w:r>
      <w:r>
        <w:rPr>
          <w:rFonts w:ascii="Times New Roman" w:eastAsia="Times New Roman" w:hAnsi="Times New Roman" w:cs="Times New Roman"/>
          <w:sz w:val="24"/>
        </w:rPr>
        <w:t xml:space="preserve"> </w:t>
      </w:r>
    </w:p>
    <w:p w:rsidR="00025683" w:rsidRDefault="007C2AAB">
      <w:pPr>
        <w:numPr>
          <w:ilvl w:val="0"/>
          <w:numId w:val="130"/>
        </w:numPr>
        <w:spacing w:after="171" w:line="357" w:lineRule="auto"/>
        <w:ind w:right="268"/>
      </w:pPr>
      <w:r>
        <w:t>Quienes observen la presencia de un animal muerto pueden comunicar tal circunstancia al servicio municipal competente, a fin de que proceda a su retirada en las condiciones higiénicas necesaria</w:t>
      </w:r>
      <w:r>
        <w:t>s para tal operación.</w:t>
      </w:r>
      <w:r>
        <w:rPr>
          <w:rFonts w:ascii="Times New Roman" w:eastAsia="Times New Roman" w:hAnsi="Times New Roman" w:cs="Times New Roman"/>
          <w:sz w:val="24"/>
        </w:rPr>
        <w:t xml:space="preserve"> </w:t>
      </w:r>
    </w:p>
    <w:p w:rsidR="00025683" w:rsidRDefault="007C2AAB">
      <w:pPr>
        <w:numPr>
          <w:ilvl w:val="0"/>
          <w:numId w:val="130"/>
        </w:numPr>
        <w:spacing w:after="167" w:line="359" w:lineRule="auto"/>
        <w:ind w:right="268"/>
      </w:pPr>
      <w:r>
        <w:t>En los casos que determine el Ayuntamiento se podrá requerir a la persona propietaria un certificado emitido por servicios veterinarios en el que se especifique que el animal no tiene ningún tipo de enfermedad infectocontagiosa. En c</w:t>
      </w:r>
      <w:r>
        <w:t>aso de no facilitarse dicho certificado, quien ostente la propiedad deberá optar por el personal gestor autorizado ajeno al Ayuntamiento para la recogida y eliminación del animal.</w:t>
      </w:r>
      <w:r>
        <w:rPr>
          <w:rFonts w:ascii="Times New Roman" w:eastAsia="Times New Roman" w:hAnsi="Times New Roman" w:cs="Times New Roman"/>
          <w:sz w:val="24"/>
        </w:rPr>
        <w:t xml:space="preserve"> </w:t>
      </w:r>
    </w:p>
    <w:p w:rsidR="00025683" w:rsidRDefault="007C2AAB">
      <w:pPr>
        <w:numPr>
          <w:ilvl w:val="0"/>
          <w:numId w:val="130"/>
        </w:numPr>
        <w:spacing w:line="368" w:lineRule="auto"/>
        <w:ind w:right="268"/>
      </w:pPr>
      <w:r>
        <w:t>En aquellos casos en que, por sus características, grado de descomposición,</w:t>
      </w:r>
      <w:r>
        <w:t xml:space="preserve"> epizootia, tamaño u otras peculiaridades, no sea posible su gestión municipal, se indicará al interesado la forma de gestionarlo. </w:t>
      </w:r>
    </w:p>
    <w:p w:rsidR="00025683" w:rsidRDefault="007C2AAB">
      <w:pPr>
        <w:spacing w:after="223" w:line="259" w:lineRule="auto"/>
        <w:ind w:left="245" w:firstLine="0"/>
        <w:jc w:val="left"/>
      </w:pPr>
      <w:r>
        <w:t xml:space="preserve"> </w:t>
      </w:r>
    </w:p>
    <w:p w:rsidR="00025683" w:rsidRDefault="007C2AAB">
      <w:pPr>
        <w:spacing w:after="126" w:line="350" w:lineRule="auto"/>
        <w:ind w:left="245" w:right="131"/>
      </w:pPr>
      <w:r>
        <w:rPr>
          <w:rFonts w:ascii="Calibri" w:eastAsia="Calibri" w:hAnsi="Calibri" w:cs="Calibri"/>
          <w:noProof/>
        </w:rPr>
        <mc:AlternateContent>
          <mc:Choice Requires="wpg">
            <w:drawing>
              <wp:anchor distT="0" distB="0" distL="114300" distR="114300" simplePos="0" relativeHeight="25196441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0806" name="Group 42080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317" name="Rectangle 4131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1318" name="Rectangle 4131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1319" name="Rectangle 4131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284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0806" style="width:18.7031pt;height:264.21pt;position:absolute;mso-position-horizontal-relative:page;mso-position-horizontal:absolute;margin-left:662.928pt;mso-position-vertical-relative:page;margin-top:507.75pt;" coordsize="2375,33554">
                <v:rect id="Rectangle 4131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131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131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284 de 350 </w:t>
                        </w:r>
                      </w:p>
                    </w:txbxContent>
                  </v:textbox>
                </v:rect>
                <w10:wrap type="square"/>
              </v:group>
            </w:pict>
          </mc:Fallback>
        </mc:AlternateContent>
      </w:r>
      <w:r>
        <w:rPr>
          <w:b/>
        </w:rPr>
        <w:t xml:space="preserve">Artículo. 62.  Obligaciones de las entidades que entreguen animales a los servicios municipales. </w:t>
      </w:r>
      <w:r>
        <w:t>Cualquier entidad u organismo que entregue cadáveres de animales</w:t>
      </w:r>
      <w:r>
        <w:t xml:space="preserve"> domésticos a los servicios municipales de recogida efectuará la lectura del microchip (y otros sistemas).</w:t>
      </w:r>
      <w:r>
        <w:rPr>
          <w:rFonts w:ascii="Times New Roman" w:eastAsia="Times New Roman" w:hAnsi="Times New Roman" w:cs="Times New Roman"/>
          <w:sz w:val="24"/>
        </w:rPr>
        <w:t xml:space="preserve"> </w:t>
      </w:r>
    </w:p>
    <w:p w:rsidR="00025683" w:rsidRDefault="007C2AAB">
      <w:pPr>
        <w:spacing w:after="145" w:line="341" w:lineRule="auto"/>
        <w:ind w:left="245" w:right="200"/>
      </w:pPr>
      <w:r>
        <w:t>La información obtenida se trasladará al organismo encargado de la gestión del registro oficial de identificación de animales de compañía, a los efe</w:t>
      </w:r>
      <w:r>
        <w:t>ctos de dar de baja al animal.</w:t>
      </w:r>
      <w:r>
        <w:rPr>
          <w:rFonts w:ascii="Times New Roman" w:eastAsia="Times New Roman" w:hAnsi="Times New Roman" w:cs="Times New Roman"/>
          <w:sz w:val="24"/>
        </w:rPr>
        <w:t xml:space="preserve"> </w:t>
      </w:r>
    </w:p>
    <w:p w:rsidR="00025683" w:rsidRDefault="007C2AAB">
      <w:pPr>
        <w:spacing w:after="131" w:line="356" w:lineRule="auto"/>
        <w:ind w:left="245" w:right="200"/>
      </w:pPr>
      <w:r>
        <w:t>Respecto a la retirada de cadáveres de animales domésticos por los servicios municipales, se procederá a la identificación del titular del animal. Si se determina cualquier tipo de negligencia, maltrato o incumplimiento de l</w:t>
      </w:r>
      <w:r>
        <w:t>as obligaciones por parte del titular, el Ayuntamiento podrá repercutir el coste derivado de la retirada, la gestión de la baja en el registro oficial y la incineración del animal. Eso se hará según los procedimientos que establece la legislación vigente e</w:t>
      </w:r>
      <w:r>
        <w:t>n materia de protección y bienestar animal, incluyendo la Ley 7/2023, de 28 de marzo, de protección de los derechos y el bienestar de los animales, o aquella que la sustituya.</w:t>
      </w:r>
      <w:r>
        <w:rPr>
          <w:rFonts w:ascii="Times New Roman" w:eastAsia="Times New Roman" w:hAnsi="Times New Roman" w:cs="Times New Roman"/>
          <w:sz w:val="24"/>
        </w:rPr>
        <w:t xml:space="preserve"> </w:t>
      </w:r>
    </w:p>
    <w:p w:rsidR="00025683" w:rsidRDefault="007C2AAB">
      <w:pPr>
        <w:spacing w:after="155" w:line="259" w:lineRule="auto"/>
        <w:ind w:left="245" w:firstLine="0"/>
        <w:jc w:val="left"/>
      </w:pPr>
      <w:r>
        <w:rPr>
          <w:b/>
        </w:rPr>
        <w:t xml:space="preserve"> </w:t>
      </w:r>
    </w:p>
    <w:p w:rsidR="00025683" w:rsidRDefault="007C2AAB">
      <w:pPr>
        <w:spacing w:after="200"/>
        <w:ind w:left="240" w:right="197"/>
      </w:pPr>
      <w:r>
        <w:rPr>
          <w:b/>
        </w:rPr>
        <w:t>SECCIÓN 5. Residuos sanitarios</w:t>
      </w:r>
      <w:r>
        <w:rPr>
          <w:rFonts w:ascii="Times New Roman" w:eastAsia="Times New Roman" w:hAnsi="Times New Roman" w:cs="Times New Roman"/>
          <w:sz w:val="24"/>
        </w:rPr>
        <w:t xml:space="preserve"> </w:t>
      </w:r>
    </w:p>
    <w:p w:rsidR="00025683" w:rsidRDefault="007C2AAB">
      <w:pPr>
        <w:spacing w:after="93"/>
        <w:ind w:left="240" w:right="197"/>
      </w:pPr>
      <w:r>
        <w:rPr>
          <w:b/>
        </w:rPr>
        <w:t>Artículo. 63.  Gestión de residuos sanitarios</w:t>
      </w:r>
      <w:r>
        <w:rPr>
          <w:b/>
        </w:rPr>
        <w:t>.</w:t>
      </w:r>
      <w:r>
        <w:rPr>
          <w:rFonts w:ascii="Times New Roman" w:eastAsia="Times New Roman" w:hAnsi="Times New Roman" w:cs="Times New Roman"/>
          <w:sz w:val="24"/>
        </w:rPr>
        <w:t xml:space="preserve"> </w:t>
      </w:r>
    </w:p>
    <w:p w:rsidR="00025683" w:rsidRDefault="007C2AAB">
      <w:pPr>
        <w:spacing w:after="136" w:line="358" w:lineRule="auto"/>
        <w:ind w:left="245" w:right="200"/>
      </w:pPr>
      <w:r>
        <w:t>El Ayuntamiento es competente para la recogida y transporte de los residuos sanitarios de Clase I y Clase II asimilables a los residuos urbanos o municipales, especificados en la legislación sobre residuos biosanitarios y citotóxicos. La eliminación fin</w:t>
      </w:r>
      <w:r>
        <w:t>al de estos residuos corresponde a un gestor autorizado, según la normativa. Quedan exceptuados de este servicio municipal los centros sanitarios que excedan de los metros establecidos en el artículo XX de la Ordenanza Fiscal, que deberán contar con un ges</w:t>
      </w:r>
      <w:r>
        <w:t>tor autorizado y gestionar íntegramente dichos residuos (recogida, transporte y eliminación final).</w:t>
      </w:r>
      <w:r>
        <w:rPr>
          <w:rFonts w:ascii="Times New Roman" w:eastAsia="Times New Roman" w:hAnsi="Times New Roman" w:cs="Times New Roman"/>
          <w:sz w:val="24"/>
        </w:rPr>
        <w:t xml:space="preserve"> </w:t>
      </w:r>
    </w:p>
    <w:p w:rsidR="00025683" w:rsidRDefault="007C2AAB">
      <w:pPr>
        <w:spacing w:after="120" w:line="359" w:lineRule="auto"/>
        <w:ind w:left="245" w:right="273"/>
      </w:pPr>
      <w:r>
        <w:t>Los residuos sanitarios de Clase I y Clase II a los que se refiere este artículo se corresponden con los Grupos I y II del Decreto 104/2002, de 26 de julio, de Ordenación de la Gestión de Residuos Sanitarios (BOC n.º 102), y se definen de la siguiente mane</w:t>
      </w:r>
      <w:r>
        <w:t xml:space="preserve">ra: </w:t>
      </w:r>
    </w:p>
    <w:p w:rsidR="00025683" w:rsidRDefault="007C2AAB">
      <w:pPr>
        <w:spacing w:after="120" w:line="358" w:lineRule="auto"/>
        <w:ind w:left="245" w:right="200"/>
      </w:pPr>
      <w:r>
        <w:t>Clase I (Grupo I): Residuos no específicos y no peligrosos (como material de curas, gasas, vendas, guantes no contaminados, entre otros), que se consideran similares a los residuos domésticos al no presentar riesgos biológicos o químicos significativo</w:t>
      </w:r>
      <w:r>
        <w:t xml:space="preserve">s. </w:t>
      </w:r>
    </w:p>
    <w:p w:rsidR="00025683" w:rsidRDefault="007C2AAB">
      <w:pPr>
        <w:spacing w:after="180" w:line="350" w:lineRule="auto"/>
        <w:ind w:left="245" w:right="268"/>
      </w:pPr>
      <w:r>
        <w:t>Clase II (Grupo II): Residuos asimilables a urbanos que provienen de actividades sanitarias (como papel, cartón, envases vacíos de medicamentos no peligrosos o restos de alimentos de hospitales), que no requieren un tratamiento especial.</w:t>
      </w:r>
      <w:r>
        <w:rPr>
          <w:rFonts w:ascii="Times New Roman" w:eastAsia="Times New Roman" w:hAnsi="Times New Roman" w:cs="Times New Roman"/>
          <w:sz w:val="24"/>
        </w:rPr>
        <w:t xml:space="preserve"> </w:t>
      </w:r>
    </w:p>
    <w:p w:rsidR="00025683" w:rsidRDefault="007C2AAB">
      <w:pPr>
        <w:numPr>
          <w:ilvl w:val="0"/>
          <w:numId w:val="131"/>
        </w:numPr>
        <w:spacing w:after="170" w:line="358" w:lineRule="auto"/>
        <w:ind w:right="272"/>
      </w:pPr>
      <w:r>
        <w:rPr>
          <w:rFonts w:ascii="Calibri" w:eastAsia="Calibri" w:hAnsi="Calibri" w:cs="Calibri"/>
          <w:noProof/>
        </w:rPr>
        <mc:AlternateContent>
          <mc:Choice Requires="wpg">
            <w:drawing>
              <wp:anchor distT="0" distB="0" distL="114300" distR="114300" simplePos="0" relativeHeight="25196544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1843" name="Group 42184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595" name="Rectangle 4159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1596" name="Rectangle 4159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1597" name="Rectangle 4159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285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1843" style="width:18.7031pt;height:264.21pt;position:absolute;mso-position-horizontal-relative:page;mso-position-horizontal:absolute;margin-left:662.928pt;mso-position-vertical-relative:page;margin-top:507.75pt;" coordsize="2375,33554">
                <v:rect id="Rectangle 4159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159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159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285 de 350 </w:t>
                        </w:r>
                      </w:p>
                    </w:txbxContent>
                  </v:textbox>
                </v:rect>
                <w10:wrap type="square"/>
              </v:group>
            </w:pict>
          </mc:Fallback>
        </mc:AlternateContent>
      </w:r>
      <w:r>
        <w:t>Cada centro sanitario está obligado a separar selectivamente</w:t>
      </w:r>
      <w:r>
        <w:t xml:space="preserve"> los diferentes tipos de residuos, clasificarlos en los grupos que determine la legislación en materia de gestión de residuos sanitarios, así como a almacenarlos e identificarlos adecuadamente en las debidas condiciones antes de su retirada. El Ayuntamient</w:t>
      </w:r>
      <w:r>
        <w:t>o podrá requerir a los centros sanitarios los planes de gestión que establece la normativa, así como cualquier otra información relevante, incluidas las tomas de muestras y analíticas que se consideren necesarias para garantizar y acreditar la tipología de</w:t>
      </w:r>
      <w:r>
        <w:t xml:space="preserve"> los residuos recogidos.</w:t>
      </w:r>
      <w:r>
        <w:rPr>
          <w:rFonts w:ascii="Times New Roman" w:eastAsia="Times New Roman" w:hAnsi="Times New Roman" w:cs="Times New Roman"/>
          <w:sz w:val="24"/>
        </w:rPr>
        <w:t xml:space="preserve"> </w:t>
      </w:r>
    </w:p>
    <w:p w:rsidR="00025683" w:rsidRDefault="007C2AAB">
      <w:pPr>
        <w:numPr>
          <w:ilvl w:val="0"/>
          <w:numId w:val="131"/>
        </w:numPr>
        <w:spacing w:after="225" w:line="358" w:lineRule="auto"/>
        <w:ind w:right="272"/>
      </w:pPr>
      <w:r>
        <w:t>La presentación de dichos residuos a los servicios municipales de recogida se efectuará cumpliendo lo especificado en la legislación en materia de residuos sanitarios, o en su defecto en la forma establecida en la presente ordenan</w:t>
      </w:r>
      <w:r>
        <w:t>za.</w:t>
      </w:r>
      <w:r>
        <w:rPr>
          <w:rFonts w:ascii="Times New Roman" w:eastAsia="Times New Roman" w:hAnsi="Times New Roman" w:cs="Times New Roman"/>
          <w:sz w:val="24"/>
        </w:rPr>
        <w:t xml:space="preserve"> </w:t>
      </w:r>
    </w:p>
    <w:p w:rsidR="00025683" w:rsidRDefault="007C2AAB">
      <w:pPr>
        <w:numPr>
          <w:ilvl w:val="0"/>
          <w:numId w:val="131"/>
        </w:numPr>
        <w:spacing w:after="171" w:line="357" w:lineRule="auto"/>
        <w:ind w:right="272"/>
      </w:pPr>
      <w:r>
        <w:t>En caso de detectarse la presencia de residuos impropios en las fracciones de competencia municipal, correspondientes a otras clases de residuos sanitarios, el Ayuntamiento podrá rechazar su recogida, mientras no se segreguen correctamente las fraccio</w:t>
      </w:r>
      <w:r>
        <w:t>nes.</w:t>
      </w:r>
      <w:r>
        <w:rPr>
          <w:rFonts w:ascii="Times New Roman" w:eastAsia="Times New Roman" w:hAnsi="Times New Roman" w:cs="Times New Roman"/>
          <w:sz w:val="24"/>
        </w:rPr>
        <w:t xml:space="preserve"> </w:t>
      </w:r>
    </w:p>
    <w:p w:rsidR="00025683" w:rsidRDefault="007C2AAB">
      <w:pPr>
        <w:numPr>
          <w:ilvl w:val="0"/>
          <w:numId w:val="131"/>
        </w:numPr>
        <w:spacing w:after="148" w:line="364" w:lineRule="auto"/>
        <w:ind w:right="272"/>
      </w:pPr>
      <w:r>
        <w:t>En los casos que determine el Ayuntamiento, en base a evidencias detectadas por el servicio de inspección municipal, se podrá requerir a quien genere o posea el residuo un certificado emitido por los servicios competentes en el que se especifique que</w:t>
      </w:r>
      <w:r>
        <w:t xml:space="preserve"> el residuo no tiene ninguna relación con enfermedades infectocontagiosas. En caso de no facilitarse el mismo el titular o la titular del bien deberá optar por un gestor autorizado al ayuntamiento para la recogida y eliminación del residuo.</w:t>
      </w:r>
      <w:r>
        <w:rPr>
          <w:rFonts w:ascii="Times New Roman" w:eastAsia="Times New Roman" w:hAnsi="Times New Roman" w:cs="Times New Roman"/>
          <w:sz w:val="24"/>
        </w:rPr>
        <w:t xml:space="preserve"> </w:t>
      </w:r>
    </w:p>
    <w:p w:rsidR="00025683" w:rsidRDefault="007C2AAB">
      <w:pPr>
        <w:spacing w:after="152" w:line="259" w:lineRule="auto"/>
        <w:ind w:left="245" w:firstLine="0"/>
        <w:jc w:val="left"/>
      </w:pPr>
      <w:r>
        <w:rPr>
          <w:b/>
        </w:rPr>
        <w:t xml:space="preserve"> </w:t>
      </w:r>
    </w:p>
    <w:p w:rsidR="00025683" w:rsidRDefault="007C2AAB">
      <w:pPr>
        <w:spacing w:after="12"/>
        <w:ind w:left="240" w:right="197"/>
      </w:pPr>
      <w:r>
        <w:rPr>
          <w:b/>
        </w:rPr>
        <w:t xml:space="preserve">SECCIÓN </w:t>
      </w:r>
      <w:r>
        <w:rPr>
          <w:b/>
        </w:rPr>
        <w:t>6. Residuos de Aparatos Eléctricos y Electrónicos (R.A.E.E.)</w:t>
      </w:r>
      <w:r>
        <w:rPr>
          <w:rFonts w:ascii="Times New Roman" w:eastAsia="Times New Roman" w:hAnsi="Times New Roman" w:cs="Times New Roman"/>
          <w:sz w:val="24"/>
        </w:rPr>
        <w:t xml:space="preserve"> </w:t>
      </w:r>
    </w:p>
    <w:p w:rsidR="00025683" w:rsidRDefault="007C2AAB">
      <w:pPr>
        <w:spacing w:after="114" w:line="259" w:lineRule="auto"/>
        <w:ind w:left="245" w:firstLine="0"/>
        <w:jc w:val="left"/>
      </w:pPr>
      <w:r>
        <w:rPr>
          <w:b/>
        </w:rPr>
        <w:t xml:space="preserve"> </w:t>
      </w:r>
    </w:p>
    <w:p w:rsidR="00025683" w:rsidRDefault="007C2AAB">
      <w:pPr>
        <w:spacing w:after="168"/>
        <w:ind w:left="240" w:right="197"/>
      </w:pPr>
      <w:r>
        <w:rPr>
          <w:b/>
        </w:rPr>
        <w:t>Artículo. 64.  Recogida de Residuos de Aparatos Eléctricos y Electrónicos.</w:t>
      </w:r>
      <w:r>
        <w:rPr>
          <w:rFonts w:ascii="Times New Roman" w:eastAsia="Times New Roman" w:hAnsi="Times New Roman" w:cs="Times New Roman"/>
          <w:sz w:val="24"/>
        </w:rPr>
        <w:t xml:space="preserve"> </w:t>
      </w:r>
    </w:p>
    <w:p w:rsidR="00025683" w:rsidRDefault="007C2AAB">
      <w:pPr>
        <w:numPr>
          <w:ilvl w:val="0"/>
          <w:numId w:val="132"/>
        </w:numPr>
        <w:spacing w:after="180" w:line="377" w:lineRule="auto"/>
        <w:ind w:right="272"/>
      </w:pPr>
      <w:r>
        <w:t>Los residuos de aparatos eléctricos y electrónicos (en adelante, RAEE) generados en domicilios particulares tienen l</w:t>
      </w:r>
      <w:r>
        <w:t xml:space="preserve">a consideración de residuos domésticos </w:t>
      </w:r>
    </w:p>
    <w:p w:rsidR="00025683" w:rsidRDefault="007C2AAB">
      <w:pPr>
        <w:numPr>
          <w:ilvl w:val="0"/>
          <w:numId w:val="132"/>
        </w:numPr>
        <w:spacing w:after="128" w:line="358" w:lineRule="auto"/>
        <w:ind w:right="272"/>
      </w:pPr>
      <w:r>
        <w:t>Las personas usuarias podrán transportar estos residuos por sus propios medios al Punto Limpio más cercano o aquel habilitado para el servicio, según se establece en la presente ordenanza. El transporte deberá realiz</w:t>
      </w:r>
      <w:r>
        <w:t>arse cumpliendo con normativas de seguridad y con las condiciones de la propia instalación.</w:t>
      </w:r>
      <w:r>
        <w:rPr>
          <w:rFonts w:ascii="Times New Roman" w:eastAsia="Times New Roman" w:hAnsi="Times New Roman" w:cs="Times New Roman"/>
          <w:sz w:val="24"/>
        </w:rPr>
        <w:t xml:space="preserve"> </w:t>
      </w:r>
    </w:p>
    <w:p w:rsidR="00025683" w:rsidRDefault="007C2AAB">
      <w:pPr>
        <w:spacing w:after="172" w:line="356" w:lineRule="auto"/>
        <w:ind w:left="245" w:right="266"/>
      </w:pPr>
      <w:r>
        <w:rPr>
          <w:rFonts w:ascii="Calibri" w:eastAsia="Calibri" w:hAnsi="Calibri" w:cs="Calibri"/>
          <w:noProof/>
        </w:rPr>
        <mc:AlternateContent>
          <mc:Choice Requires="wpg">
            <w:drawing>
              <wp:anchor distT="0" distB="0" distL="114300" distR="114300" simplePos="0" relativeHeight="25196646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2070" name="Group 42207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792" name="Rectangle 4179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1793" name="Rectangle 4179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1794" name="Rectangle 4179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electrónicamente desde la plataforma esPu</w:t>
                              </w:r>
                              <w:r>
                                <w:rPr>
                                  <w:sz w:val="12"/>
                                </w:rPr>
                                <w:t xml:space="preserve">blico Gestiona | Página 286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2070" style="width:18.7031pt;height:264.21pt;position:absolute;mso-position-horizontal-relative:page;mso-position-horizontal:absolute;margin-left:662.928pt;mso-position-vertical-relative:page;margin-top:507.75pt;" coordsize="2375,33554">
                <v:rect id="Rectangle 4179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179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179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286 de 350 </w:t>
                        </w:r>
                      </w:p>
                    </w:txbxContent>
                  </v:textbox>
                </v:rect>
                <w10:wrap type="square"/>
              </v:group>
            </w:pict>
          </mc:Fallback>
        </mc:AlternateContent>
      </w:r>
      <w:r>
        <w:t>En el caso de grandes RAEE (Residuos de Aparatos Eléctricos y Electrónicos), las personas usuarias podrán solicitar la recogida domiciliaria al Ayuntamiento mediante las vías de comunicación establecidas. Una vez recibid</w:t>
      </w:r>
      <w:r>
        <w:t>a la solicitud, la empresa contratista del servicio comunicará al interesado la confirmación del día y hora de la recogida del residuo, que se realizará desde las proximidades del domicilio del solicitante. Entre la recepción de la solicitud del servicio y</w:t>
      </w:r>
      <w:r>
        <w:t xml:space="preserve"> la realización de la recogida no podrán transcurrir más de setenta y dos (72) horas hábiles.</w:t>
      </w:r>
      <w:r>
        <w:rPr>
          <w:rFonts w:ascii="Times New Roman" w:eastAsia="Times New Roman" w:hAnsi="Times New Roman" w:cs="Times New Roman"/>
          <w:sz w:val="24"/>
        </w:rPr>
        <w:t xml:space="preserve"> </w:t>
      </w:r>
    </w:p>
    <w:p w:rsidR="00025683" w:rsidRDefault="007C2AAB">
      <w:pPr>
        <w:numPr>
          <w:ilvl w:val="0"/>
          <w:numId w:val="132"/>
        </w:numPr>
        <w:spacing w:after="170" w:line="358" w:lineRule="auto"/>
        <w:ind w:right="272"/>
      </w:pPr>
      <w:r>
        <w:t xml:space="preserve">Los RAEE deberán entregarse en las mejores condiciones posibles, evitando su deterioro innecesario, especialmente de los equipos de refrigeración, de </w:t>
      </w:r>
      <w:r>
        <w:t>tal manera que sea posible su manipulación y traslado sin que se desprendan elementos o líquidos, en las condiciones que se determinen en cada momento por el órgano municipal competente.</w:t>
      </w:r>
      <w:r>
        <w:rPr>
          <w:rFonts w:ascii="Times New Roman" w:eastAsia="Times New Roman" w:hAnsi="Times New Roman" w:cs="Times New Roman"/>
          <w:sz w:val="24"/>
        </w:rPr>
        <w:t xml:space="preserve"> </w:t>
      </w:r>
    </w:p>
    <w:p w:rsidR="00025683" w:rsidRDefault="007C2AAB">
      <w:pPr>
        <w:numPr>
          <w:ilvl w:val="0"/>
          <w:numId w:val="132"/>
        </w:numPr>
        <w:spacing w:line="357" w:lineRule="auto"/>
        <w:ind w:right="272"/>
      </w:pPr>
      <w:r>
        <w:t xml:space="preserve">Lo previsto en este Artículo se entenderá sin perjuicio de las vías </w:t>
      </w:r>
      <w:r>
        <w:t>alternativas de entrega de este tipo de residuos que establece la normativa en materia de residuos, ajenas al Ayuntamiento.</w:t>
      </w:r>
      <w:r>
        <w:rPr>
          <w:rFonts w:ascii="Times New Roman" w:eastAsia="Times New Roman" w:hAnsi="Times New Roman" w:cs="Times New Roman"/>
          <w:sz w:val="24"/>
        </w:rPr>
        <w:t xml:space="preserve"> </w:t>
      </w:r>
    </w:p>
    <w:p w:rsidR="00025683" w:rsidRDefault="007C2AAB">
      <w:pPr>
        <w:spacing w:after="139" w:line="259" w:lineRule="auto"/>
        <w:ind w:left="245" w:firstLine="0"/>
        <w:jc w:val="left"/>
      </w:pPr>
      <w:r>
        <w:rPr>
          <w:b/>
        </w:rPr>
        <w:t xml:space="preserve"> </w:t>
      </w:r>
    </w:p>
    <w:p w:rsidR="00025683" w:rsidRDefault="007C2AAB">
      <w:pPr>
        <w:spacing w:after="139" w:line="259" w:lineRule="auto"/>
        <w:ind w:left="245" w:firstLine="0"/>
        <w:jc w:val="left"/>
      </w:pPr>
      <w:r>
        <w:rPr>
          <w:b/>
        </w:rPr>
        <w:t xml:space="preserve"> </w:t>
      </w:r>
    </w:p>
    <w:p w:rsidR="00025683" w:rsidRDefault="007C2AAB">
      <w:pPr>
        <w:spacing w:after="141" w:line="259" w:lineRule="auto"/>
        <w:ind w:left="245" w:firstLine="0"/>
        <w:jc w:val="left"/>
      </w:pPr>
      <w:r>
        <w:rPr>
          <w:b/>
        </w:rPr>
        <w:t xml:space="preserve"> </w:t>
      </w:r>
    </w:p>
    <w:p w:rsidR="00025683" w:rsidRDefault="007C2AAB">
      <w:pPr>
        <w:spacing w:after="152" w:line="259" w:lineRule="auto"/>
        <w:ind w:left="245" w:firstLine="0"/>
        <w:jc w:val="left"/>
      </w:pPr>
      <w:r>
        <w:rPr>
          <w:b/>
        </w:rPr>
        <w:t xml:space="preserve"> </w:t>
      </w:r>
    </w:p>
    <w:p w:rsidR="00025683" w:rsidRDefault="007C2AAB">
      <w:pPr>
        <w:spacing w:after="12"/>
        <w:ind w:left="240" w:right="197"/>
      </w:pPr>
      <w:r>
        <w:rPr>
          <w:b/>
        </w:rPr>
        <w:t>SECCIÓN 7. Residuos industriales</w:t>
      </w:r>
      <w:r>
        <w:rPr>
          <w:rFonts w:ascii="Times New Roman" w:eastAsia="Times New Roman" w:hAnsi="Times New Roman" w:cs="Times New Roman"/>
          <w:sz w:val="24"/>
        </w:rPr>
        <w:t xml:space="preserve"> </w:t>
      </w:r>
    </w:p>
    <w:p w:rsidR="00025683" w:rsidRDefault="007C2AAB">
      <w:pPr>
        <w:spacing w:after="112" w:line="259" w:lineRule="auto"/>
        <w:ind w:left="245" w:firstLine="0"/>
        <w:jc w:val="left"/>
      </w:pPr>
      <w:r>
        <w:rPr>
          <w:b/>
        </w:rPr>
        <w:t xml:space="preserve"> </w:t>
      </w:r>
    </w:p>
    <w:p w:rsidR="00025683" w:rsidRDefault="007C2AAB">
      <w:pPr>
        <w:spacing w:after="170"/>
        <w:ind w:left="240" w:right="197"/>
      </w:pPr>
      <w:r>
        <w:rPr>
          <w:b/>
        </w:rPr>
        <w:t>Artículo.65. Producción y gestión de residuos industriales.</w:t>
      </w:r>
      <w:r>
        <w:rPr>
          <w:rFonts w:ascii="Times New Roman" w:eastAsia="Times New Roman" w:hAnsi="Times New Roman" w:cs="Times New Roman"/>
          <w:sz w:val="24"/>
        </w:rPr>
        <w:t xml:space="preserve"> </w:t>
      </w:r>
    </w:p>
    <w:p w:rsidR="00025683" w:rsidRDefault="007C2AAB">
      <w:pPr>
        <w:numPr>
          <w:ilvl w:val="0"/>
          <w:numId w:val="133"/>
        </w:numPr>
        <w:spacing w:after="170" w:line="358" w:lineRule="auto"/>
        <w:ind w:right="267"/>
      </w:pPr>
      <w:r>
        <w:t>Los residuos generados en industrias, comercios, oficinas y servicios que sean asimilables en cantidad y composición a los residuos domésticos tendrán el mismo tratamiento que estos y les será de aplicación lo establecido en la presente ordenanza.</w:t>
      </w:r>
      <w:r>
        <w:rPr>
          <w:rFonts w:ascii="Times New Roman" w:eastAsia="Times New Roman" w:hAnsi="Times New Roman" w:cs="Times New Roman"/>
          <w:sz w:val="24"/>
        </w:rPr>
        <w:t xml:space="preserve"> </w:t>
      </w:r>
    </w:p>
    <w:p w:rsidR="00025683" w:rsidRDefault="007C2AAB">
      <w:pPr>
        <w:numPr>
          <w:ilvl w:val="0"/>
          <w:numId w:val="133"/>
        </w:numPr>
        <w:spacing w:after="167" w:line="364" w:lineRule="auto"/>
        <w:ind w:right="267"/>
      </w:pPr>
      <w:r>
        <w:t>Los res</w:t>
      </w:r>
      <w:r>
        <w:t>iduos clasificados como peligrosos, según la normativa en materia de residuos, así como los recipientes y envases que los hayan contenido, no serán tratados como residuos domésticos y las personas productoras deberán gestionarlos de acuerdo con la normativ</w:t>
      </w:r>
      <w:r>
        <w:t xml:space="preserve">a aplicable para esa clase de residuos. </w:t>
      </w:r>
    </w:p>
    <w:p w:rsidR="00025683" w:rsidRDefault="007C2AAB">
      <w:pPr>
        <w:spacing w:after="12"/>
        <w:ind w:left="240" w:right="197"/>
      </w:pPr>
      <w:r>
        <w:rPr>
          <w:b/>
        </w:rPr>
        <w:t>SECCIÓN 8. Otros residuos especiales</w:t>
      </w:r>
      <w:r>
        <w:rPr>
          <w:rFonts w:ascii="Times New Roman" w:eastAsia="Times New Roman" w:hAnsi="Times New Roman" w:cs="Times New Roman"/>
          <w:sz w:val="24"/>
        </w:rPr>
        <w:t xml:space="preserve"> </w:t>
      </w:r>
    </w:p>
    <w:p w:rsidR="00025683" w:rsidRDefault="007C2AAB">
      <w:pPr>
        <w:spacing w:after="114" w:line="259" w:lineRule="auto"/>
        <w:ind w:left="245" w:firstLine="0"/>
        <w:jc w:val="left"/>
      </w:pPr>
      <w:r>
        <w:rPr>
          <w:b/>
        </w:rPr>
        <w:t xml:space="preserve"> </w:t>
      </w:r>
    </w:p>
    <w:p w:rsidR="00025683" w:rsidRDefault="007C2AAB">
      <w:pPr>
        <w:spacing w:after="90"/>
        <w:ind w:left="240" w:right="197"/>
      </w:pPr>
      <w:r>
        <w:rPr>
          <w:rFonts w:ascii="Calibri" w:eastAsia="Calibri" w:hAnsi="Calibri" w:cs="Calibri"/>
          <w:noProof/>
        </w:rPr>
        <mc:AlternateContent>
          <mc:Choice Requires="wpg">
            <w:drawing>
              <wp:anchor distT="0" distB="0" distL="114300" distR="114300" simplePos="0" relativeHeight="25196748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1919" name="Group 4219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1983" name="Rectangle 4198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1984" name="Rectangle 4198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1985" name="Rectangle 4198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287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1919" style="width:18.7031pt;height:264.21pt;position:absolute;mso-position-horizontal-relative:page;mso-position-horizontal:absolute;margin-left:662.928pt;mso-position-vertical-relative:page;margin-top:507.75pt;" coordsize="2375,33554">
                <v:rect id="Rectangle 4198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198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198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287 de 350 </w:t>
                        </w:r>
                      </w:p>
                    </w:txbxContent>
                  </v:textbox>
                </v:rect>
                <w10:wrap type="square"/>
              </v:group>
            </w:pict>
          </mc:Fallback>
        </mc:AlternateContent>
      </w:r>
      <w:r>
        <w:rPr>
          <w:b/>
        </w:rPr>
        <w:t>Artículo. 66.  Residuos de poda y jardinería.</w:t>
      </w:r>
      <w:r>
        <w:rPr>
          <w:rFonts w:ascii="Times New Roman" w:eastAsia="Times New Roman" w:hAnsi="Times New Roman" w:cs="Times New Roman"/>
          <w:sz w:val="24"/>
        </w:rPr>
        <w:t xml:space="preserve"> </w:t>
      </w:r>
    </w:p>
    <w:p w:rsidR="00025683" w:rsidRDefault="007C2AAB">
      <w:pPr>
        <w:spacing w:after="120" w:line="358" w:lineRule="auto"/>
        <w:ind w:left="245" w:right="200"/>
      </w:pPr>
      <w:r>
        <w:t>Los restos vegetales derivados de operaciones de desbroce de hierbas, siegas, podas y talas tienen consideración d</w:t>
      </w:r>
      <w:r>
        <w:t xml:space="preserve">e residuos orgánicos </w:t>
      </w:r>
    </w:p>
    <w:p w:rsidR="00025683" w:rsidRDefault="007C2AAB">
      <w:pPr>
        <w:spacing w:after="183" w:line="356" w:lineRule="auto"/>
        <w:ind w:left="245" w:right="272"/>
      </w:pPr>
      <w:r>
        <w:t>Para la recogida de estos residuos generados en una vivienda unifamiliar o similar, o en una comunidad de personas con propiedad, el servicio se realizará a petición de los productores. Estos residuos serán retirados por el servicio d</w:t>
      </w:r>
      <w:r>
        <w:t>e recogida tanto en el domicilio de los productores domésticos (o en sus proximidades), como los que se hayan depositado debidamente en el entorno de los contenedores de la zona de recogida. La entrega de estos residuos al servicio se realizará obligatoria</w:t>
      </w:r>
      <w:r>
        <w:t>mente en fardos, sacas tipo 'big-bag' reutilizables, o en otros formatos que la empresa adjudicataria establezca y que permitan su correcta manipulación y transporte.</w:t>
      </w:r>
      <w:r>
        <w:rPr>
          <w:rFonts w:ascii="Times New Roman" w:eastAsia="Times New Roman" w:hAnsi="Times New Roman" w:cs="Times New Roman"/>
          <w:sz w:val="24"/>
        </w:rPr>
        <w:t xml:space="preserve"> </w:t>
      </w:r>
    </w:p>
    <w:p w:rsidR="00025683" w:rsidRDefault="007C2AAB">
      <w:pPr>
        <w:spacing w:after="154" w:line="350" w:lineRule="auto"/>
        <w:ind w:left="245" w:right="276"/>
      </w:pPr>
      <w:r>
        <w:t>Por encima de esta cantidad, estos residuos deberán entregarse a una persona encargada d</w:t>
      </w:r>
      <w:r>
        <w:t>e la gestión y que esté autorizada, salvo las cantidades que sean admisibles en puntos limpios fijos, que se determinan en el capítulo VI de este título.</w:t>
      </w:r>
      <w:r>
        <w:rPr>
          <w:rFonts w:ascii="Times New Roman" w:eastAsia="Times New Roman" w:hAnsi="Times New Roman" w:cs="Times New Roman"/>
          <w:sz w:val="24"/>
        </w:rPr>
        <w:t xml:space="preserve"> </w:t>
      </w:r>
    </w:p>
    <w:p w:rsidR="00025683" w:rsidRDefault="007C2AAB">
      <w:pPr>
        <w:spacing w:after="170"/>
        <w:ind w:left="240" w:right="197"/>
      </w:pPr>
      <w:r>
        <w:rPr>
          <w:b/>
        </w:rPr>
        <w:t>Artículo. 67. Alimentos y productos caducados.</w:t>
      </w:r>
      <w:r>
        <w:rPr>
          <w:rFonts w:ascii="Times New Roman" w:eastAsia="Times New Roman" w:hAnsi="Times New Roman" w:cs="Times New Roman"/>
          <w:sz w:val="24"/>
        </w:rPr>
        <w:t xml:space="preserve"> </w:t>
      </w:r>
    </w:p>
    <w:p w:rsidR="00025683" w:rsidRDefault="007C2AAB">
      <w:pPr>
        <w:numPr>
          <w:ilvl w:val="0"/>
          <w:numId w:val="134"/>
        </w:numPr>
        <w:spacing w:after="192" w:line="339" w:lineRule="auto"/>
        <w:ind w:right="234"/>
      </w:pPr>
      <w:r>
        <w:t xml:space="preserve">La recogida, transporte y tratamiento de los </w:t>
      </w:r>
      <w:r>
        <w:t>alimentos y productos caducados procedentes de actividad comercial será responsabilidad de productores y poseedores a través de gestor autorizado.</w:t>
      </w:r>
      <w:r>
        <w:rPr>
          <w:rFonts w:ascii="Times New Roman" w:eastAsia="Times New Roman" w:hAnsi="Times New Roman" w:cs="Times New Roman"/>
          <w:sz w:val="24"/>
        </w:rPr>
        <w:t xml:space="preserve"> </w:t>
      </w:r>
    </w:p>
    <w:p w:rsidR="00025683" w:rsidRDefault="007C2AAB">
      <w:pPr>
        <w:numPr>
          <w:ilvl w:val="0"/>
          <w:numId w:val="134"/>
        </w:numPr>
        <w:spacing w:after="218" w:line="358" w:lineRule="auto"/>
        <w:ind w:right="234"/>
      </w:pPr>
      <w:r>
        <w:t>El Ayuntamiento podrá asumir, a solicitud previa de la persona productora o poseedora, la prestación de este</w:t>
      </w:r>
      <w:r>
        <w:t xml:space="preserve"> servicio en casos excepcionales, corriendo el solicitante con el gasto íntegro derivado de dicha prestación (mediante el precio público o la repercusión del coste que corresponda). La solicitud deberá acompañarse de una declaración de las cantidades y tip</w:t>
      </w:r>
      <w:r>
        <w:t>os de residuos para permitir su valoración y la correcta planificación del servicio.</w:t>
      </w:r>
      <w:r>
        <w:rPr>
          <w:rFonts w:ascii="Times New Roman" w:eastAsia="Times New Roman" w:hAnsi="Times New Roman" w:cs="Times New Roman"/>
          <w:sz w:val="24"/>
        </w:rPr>
        <w:t xml:space="preserve"> </w:t>
      </w:r>
    </w:p>
    <w:p w:rsidR="00025683" w:rsidRDefault="007C2AAB">
      <w:pPr>
        <w:spacing w:after="64"/>
        <w:ind w:left="240" w:right="197"/>
      </w:pPr>
      <w:r>
        <w:rPr>
          <w:b/>
        </w:rPr>
        <w:t>Capítulo V. Gestión de los residuos especiales</w:t>
      </w:r>
      <w:r>
        <w:rPr>
          <w:rFonts w:ascii="Times New Roman" w:eastAsia="Times New Roman" w:hAnsi="Times New Roman" w:cs="Times New Roman"/>
          <w:sz w:val="24"/>
        </w:rPr>
        <w:t xml:space="preserve"> </w:t>
      </w:r>
    </w:p>
    <w:p w:rsidR="00025683" w:rsidRDefault="007C2AAB">
      <w:pPr>
        <w:spacing w:after="112" w:line="259" w:lineRule="auto"/>
        <w:ind w:left="245" w:firstLine="0"/>
        <w:jc w:val="left"/>
      </w:pPr>
      <w:r>
        <w:rPr>
          <w:b/>
        </w:rPr>
        <w:t xml:space="preserve"> </w:t>
      </w:r>
    </w:p>
    <w:p w:rsidR="00025683" w:rsidRDefault="007C2AAB">
      <w:pPr>
        <w:spacing w:after="12"/>
        <w:ind w:left="240" w:right="197"/>
      </w:pPr>
      <w:r>
        <w:rPr>
          <w:b/>
        </w:rPr>
        <w:t>SECCIÓN 9. Residuos de medicamentos y sus envases.</w:t>
      </w:r>
      <w:r>
        <w:rPr>
          <w:rFonts w:ascii="Times New Roman" w:eastAsia="Times New Roman" w:hAnsi="Times New Roman" w:cs="Times New Roman"/>
          <w:sz w:val="24"/>
        </w:rPr>
        <w:t xml:space="preserve"> </w:t>
      </w:r>
    </w:p>
    <w:p w:rsidR="00025683" w:rsidRDefault="007C2AAB">
      <w:pPr>
        <w:spacing w:after="114" w:line="259" w:lineRule="auto"/>
        <w:ind w:left="245" w:firstLine="0"/>
        <w:jc w:val="left"/>
      </w:pPr>
      <w:r>
        <w:rPr>
          <w:b/>
        </w:rPr>
        <w:t xml:space="preserve"> </w:t>
      </w:r>
    </w:p>
    <w:p w:rsidR="00025683" w:rsidRDefault="007C2AAB">
      <w:pPr>
        <w:spacing w:after="170"/>
        <w:ind w:left="240" w:right="197"/>
      </w:pPr>
      <w:r>
        <w:rPr>
          <w:b/>
        </w:rPr>
        <w:t>Artículo 68. Recogida separada de residuos de medicamentos y de su</w:t>
      </w:r>
      <w:r>
        <w:rPr>
          <w:b/>
        </w:rPr>
        <w:t>s envases.</w:t>
      </w:r>
      <w:r>
        <w:rPr>
          <w:rFonts w:ascii="Times New Roman" w:eastAsia="Times New Roman" w:hAnsi="Times New Roman" w:cs="Times New Roman"/>
          <w:sz w:val="24"/>
        </w:rPr>
        <w:t xml:space="preserve"> </w:t>
      </w:r>
    </w:p>
    <w:p w:rsidR="00025683" w:rsidRDefault="007C2AAB">
      <w:pPr>
        <w:spacing w:after="144" w:line="358" w:lineRule="auto"/>
        <w:ind w:left="569" w:right="270"/>
      </w:pPr>
      <w:r>
        <w:rPr>
          <w:rFonts w:ascii="Calibri" w:eastAsia="Calibri" w:hAnsi="Calibri" w:cs="Calibri"/>
          <w:noProof/>
        </w:rPr>
        <mc:AlternateContent>
          <mc:Choice Requires="wpg">
            <w:drawing>
              <wp:anchor distT="0" distB="0" distL="114300" distR="114300" simplePos="0" relativeHeight="25196851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2274" name="Group 42227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336" name="Rectangle 4233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2337" name="Rectangle 4233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2338" name="Rectangle 4233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288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2274" style="width:18.7031pt;height:264.21pt;position:absolute;mso-position-horizontal-relative:page;mso-position-horizontal:absolute;margin-left:662.928pt;mso-position-vertical-relative:page;margin-top:507.75pt;" coordsize="2375,33554">
                <v:rect id="Rectangle 4233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233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233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288 de 350 </w:t>
                        </w:r>
                      </w:p>
                    </w:txbxContent>
                  </v:textbox>
                </v:rect>
                <w10:wrap type="square"/>
              </v:group>
            </w:pict>
          </mc:Fallback>
        </mc:AlternateContent>
      </w:r>
      <w:r>
        <w:rPr>
          <w:rFonts w:ascii="Calibri" w:eastAsia="Calibri" w:hAnsi="Calibri" w:cs="Calibri"/>
          <w:sz w:val="24"/>
        </w:rPr>
        <w:t>1.</w:t>
      </w:r>
      <w:r>
        <w:rPr>
          <w:sz w:val="24"/>
        </w:rPr>
        <w:t xml:space="preserve"> </w:t>
      </w:r>
      <w:r>
        <w:t>Los residuos de medicamentos (medicamentos caducados, en desuso o restos de medicamentos), así como los residuos de envases de origen doméstico que los hubieran contenido, deberán ser gestionados a través del Sistema Colectivo de Responsabilidad Ampliada d</w:t>
      </w:r>
      <w:r>
        <w:t>el Productor (SCRAP) legalmente establecido en en la Ley 7/2022, de 8 de abril, de residuos y suelos contaminados para una economía circular. Estos residuos serán entregados por sus poseedores en los puntos de recogida habilitados en las farmacias, (Puntos</w:t>
      </w:r>
      <w:r>
        <w:t xml:space="preserve"> SIGRE), único canal válido para su gestión.</w:t>
      </w:r>
      <w:r>
        <w:rPr>
          <w:rFonts w:ascii="Times New Roman" w:eastAsia="Times New Roman" w:hAnsi="Times New Roman" w:cs="Times New Roman"/>
          <w:sz w:val="24"/>
        </w:rPr>
        <w:t xml:space="preserve"> </w:t>
      </w:r>
    </w:p>
    <w:p w:rsidR="00025683" w:rsidRDefault="007C2AAB">
      <w:pPr>
        <w:spacing w:after="200"/>
        <w:ind w:left="240" w:right="197"/>
      </w:pPr>
      <w:r>
        <w:rPr>
          <w:b/>
        </w:rPr>
        <w:t>SECCIÓN 10. Residuos de pilas y acumuladores.</w:t>
      </w:r>
      <w:r>
        <w:rPr>
          <w:rFonts w:ascii="Times New Roman" w:eastAsia="Times New Roman" w:hAnsi="Times New Roman" w:cs="Times New Roman"/>
          <w:sz w:val="24"/>
        </w:rPr>
        <w:t xml:space="preserve"> </w:t>
      </w:r>
    </w:p>
    <w:p w:rsidR="00025683" w:rsidRDefault="007C2AAB">
      <w:pPr>
        <w:spacing w:after="135"/>
        <w:ind w:left="240" w:right="197"/>
      </w:pPr>
      <w:r>
        <w:rPr>
          <w:b/>
        </w:rPr>
        <w:t>Artículo. 69.  Recogida separada de residuos de pilas y acumuladores.</w:t>
      </w:r>
      <w:r>
        <w:rPr>
          <w:rFonts w:ascii="Times New Roman" w:eastAsia="Times New Roman" w:hAnsi="Times New Roman" w:cs="Times New Roman"/>
          <w:sz w:val="24"/>
        </w:rPr>
        <w:t xml:space="preserve"> </w:t>
      </w:r>
    </w:p>
    <w:p w:rsidR="00025683" w:rsidRDefault="007C2AAB">
      <w:pPr>
        <w:spacing w:after="172" w:line="356" w:lineRule="auto"/>
        <w:ind w:left="430" w:right="268"/>
      </w:pPr>
      <w:r>
        <w:rPr>
          <w:rFonts w:ascii="Calibri" w:eastAsia="Calibri" w:hAnsi="Calibri" w:cs="Calibri"/>
        </w:rPr>
        <w:t>1.</w:t>
      </w:r>
      <w:r>
        <w:t xml:space="preserve"> </w:t>
      </w:r>
      <w:r>
        <w:t>Los poseedores de residuos de pilas y acumuladores deberán depositarlos de la siguiente forma, para su recogida separada, de acuerdo con el Real Decreto 106/2008 de 1 de febrero, sobre pilas y acumuladores y la gestión ambiental de sus residuos:</w:t>
      </w:r>
      <w:r>
        <w:rPr>
          <w:rFonts w:ascii="Times New Roman" w:eastAsia="Times New Roman" w:hAnsi="Times New Roman" w:cs="Times New Roman"/>
          <w:sz w:val="24"/>
        </w:rPr>
        <w:t xml:space="preserve"> </w:t>
      </w:r>
    </w:p>
    <w:p w:rsidR="00025683" w:rsidRDefault="007C2AAB">
      <w:pPr>
        <w:numPr>
          <w:ilvl w:val="0"/>
          <w:numId w:val="135"/>
        </w:numPr>
        <w:spacing w:after="174" w:line="355" w:lineRule="auto"/>
        <w:ind w:right="235"/>
      </w:pPr>
      <w:r>
        <w:t>En los pu</w:t>
      </w:r>
      <w:r>
        <w:t>ntos de recogida habilitados por los distribuidores y comercios que ofrezcan esta posibilidad (de acuerdo con lo establecido en el artículo 10.2 del citado Real Decreto).</w:t>
      </w:r>
      <w:r>
        <w:rPr>
          <w:rFonts w:ascii="Times New Roman" w:eastAsia="Times New Roman" w:hAnsi="Times New Roman" w:cs="Times New Roman"/>
          <w:sz w:val="24"/>
        </w:rPr>
        <w:t xml:space="preserve"> </w:t>
      </w:r>
    </w:p>
    <w:p w:rsidR="00025683" w:rsidRDefault="007C2AAB">
      <w:pPr>
        <w:numPr>
          <w:ilvl w:val="0"/>
          <w:numId w:val="135"/>
        </w:numPr>
        <w:spacing w:after="134" w:line="357" w:lineRule="auto"/>
        <w:ind w:right="235"/>
      </w:pPr>
      <w:r>
        <w:t xml:space="preserve">En los Puntos Limpios (fijos o móviles) o instalaciones análogas gestionados por el </w:t>
      </w:r>
      <w:r>
        <w:t>Cabildo de Tenerife, o mediante cualquier otro medio de recogida separada puesto en marcha por el Ayuntamiento (de acuerdo con lo previsto en el artículo 10.4 del citado Real Decreto).</w:t>
      </w:r>
      <w:r>
        <w:rPr>
          <w:rFonts w:ascii="Times New Roman" w:eastAsia="Times New Roman" w:hAnsi="Times New Roman" w:cs="Times New Roman"/>
          <w:sz w:val="24"/>
        </w:rPr>
        <w:t xml:space="preserve"> </w:t>
      </w:r>
    </w:p>
    <w:p w:rsidR="00025683" w:rsidRDefault="007C2AAB">
      <w:pPr>
        <w:spacing w:after="227" w:line="370" w:lineRule="auto"/>
        <w:ind w:left="430" w:right="200"/>
      </w:pPr>
      <w:r>
        <w:rPr>
          <w:rFonts w:ascii="Calibri" w:eastAsia="Calibri" w:hAnsi="Calibri" w:cs="Calibri"/>
        </w:rPr>
        <w:t>2.</w:t>
      </w:r>
      <w:r>
        <w:t xml:space="preserve"> Prohibición de eliminación conjunta. Se prohíbe expresamente la eli</w:t>
      </w:r>
      <w:r>
        <w:t>minación de las pilas y acumuladores usados junto con los residuos de fracciones ordinarias (resto, orgánica, envases, vidrio o papel/cartón), por considerarse residuos peligrosos que exigen un tratamiento y gestión medioambiental diferenciada.</w:t>
      </w:r>
      <w:r>
        <w:rPr>
          <w:rFonts w:ascii="Times New Roman" w:eastAsia="Times New Roman" w:hAnsi="Times New Roman" w:cs="Times New Roman"/>
          <w:sz w:val="24"/>
        </w:rPr>
        <w:t xml:space="preserve"> </w:t>
      </w:r>
    </w:p>
    <w:p w:rsidR="00025683" w:rsidRDefault="007C2AAB">
      <w:pPr>
        <w:spacing w:after="49" w:line="341" w:lineRule="auto"/>
        <w:ind w:left="240"/>
      </w:pPr>
      <w:r>
        <w:rPr>
          <w:b/>
        </w:rPr>
        <w:t>Capítulo V</w:t>
      </w:r>
      <w:r>
        <w:rPr>
          <w:b/>
        </w:rPr>
        <w:t>I: Servicio de recogida y Puntos limpios insulares. Recogida de Residuos de Especiales Características</w:t>
      </w:r>
      <w:r>
        <w:rPr>
          <w:rFonts w:ascii="Times New Roman" w:eastAsia="Times New Roman" w:hAnsi="Times New Roman" w:cs="Times New Roman"/>
          <w:sz w:val="24"/>
        </w:rPr>
        <w:t xml:space="preserve"> </w:t>
      </w:r>
    </w:p>
    <w:p w:rsidR="00025683" w:rsidRDefault="007C2AAB">
      <w:pPr>
        <w:spacing w:after="112" w:line="259" w:lineRule="auto"/>
        <w:ind w:left="245" w:firstLine="0"/>
        <w:jc w:val="left"/>
      </w:pPr>
      <w:r>
        <w:rPr>
          <w:b/>
        </w:rPr>
        <w:t xml:space="preserve"> </w:t>
      </w:r>
    </w:p>
    <w:p w:rsidR="00025683" w:rsidRDefault="007C2AAB">
      <w:pPr>
        <w:spacing w:after="171"/>
        <w:ind w:left="240" w:right="197"/>
      </w:pPr>
      <w:r>
        <w:rPr>
          <w:b/>
        </w:rPr>
        <w:t>Artículo 70. Servicio de recogida y Puntos Limpios Insulares</w:t>
      </w:r>
      <w:r>
        <w:rPr>
          <w:rFonts w:ascii="Times New Roman" w:eastAsia="Times New Roman" w:hAnsi="Times New Roman" w:cs="Times New Roman"/>
          <w:sz w:val="24"/>
        </w:rPr>
        <w:t xml:space="preserve"> </w:t>
      </w:r>
    </w:p>
    <w:p w:rsidR="00025683" w:rsidRDefault="007C2AAB">
      <w:pPr>
        <w:spacing w:line="358" w:lineRule="auto"/>
        <w:ind w:left="245" w:right="200"/>
      </w:pPr>
      <w:r>
        <w:rPr>
          <w:rFonts w:ascii="Calibri" w:eastAsia="Calibri" w:hAnsi="Calibri" w:cs="Calibri"/>
          <w:sz w:val="24"/>
        </w:rPr>
        <w:t>1.</w:t>
      </w:r>
      <w:r>
        <w:rPr>
          <w:sz w:val="24"/>
        </w:rPr>
        <w:t xml:space="preserve"> </w:t>
      </w:r>
      <w:r>
        <w:t xml:space="preserve">El Ayuntamiento, respecto a sus competencias de gestión de residuos, establece la </w:t>
      </w:r>
      <w:r>
        <w:t>siguiente modalidad de recogida de proximidad para residuos de especiales características de origen doméstico:</w:t>
      </w:r>
      <w:r>
        <w:rPr>
          <w:rFonts w:ascii="Times New Roman" w:eastAsia="Times New Roman" w:hAnsi="Times New Roman" w:cs="Times New Roman"/>
          <w:sz w:val="24"/>
        </w:rPr>
        <w:t xml:space="preserve"> </w:t>
      </w:r>
    </w:p>
    <w:p w:rsidR="00025683" w:rsidRDefault="007C2AAB">
      <w:pPr>
        <w:spacing w:after="228" w:line="354" w:lineRule="auto"/>
        <w:ind w:left="245" w:right="273"/>
      </w:pPr>
      <w:r>
        <w:t>a) Punto de Recogida Móvil (Punto Limpio Móvil): Vehículo compartimentado al que puede acceder la ciudadanía para el depósito de residuos. El Ay</w:t>
      </w:r>
      <w:r>
        <w:t>untamiento será responsable de la organización, divulgación y el establecimiento de ubicaciones, días y horarios de prestación del servicio. Dicha información será publicada previamente en la web y otros medios municipales.</w:t>
      </w:r>
      <w:r>
        <w:rPr>
          <w:rFonts w:ascii="Times New Roman" w:eastAsia="Times New Roman" w:hAnsi="Times New Roman" w:cs="Times New Roman"/>
          <w:sz w:val="24"/>
        </w:rPr>
        <w:t xml:space="preserve"> </w:t>
      </w:r>
    </w:p>
    <w:p w:rsidR="00025683" w:rsidRDefault="007C2AAB">
      <w:pPr>
        <w:numPr>
          <w:ilvl w:val="0"/>
          <w:numId w:val="136"/>
        </w:numPr>
        <w:spacing w:after="182" w:line="375" w:lineRule="auto"/>
        <w:ind w:right="200"/>
      </w:pPr>
      <w:r>
        <w:rPr>
          <w:rFonts w:ascii="Calibri" w:eastAsia="Calibri" w:hAnsi="Calibri" w:cs="Calibri"/>
          <w:noProof/>
        </w:rPr>
        <mc:AlternateContent>
          <mc:Choice Requires="wpg">
            <w:drawing>
              <wp:anchor distT="0" distB="0" distL="114300" distR="114300" simplePos="0" relativeHeight="25196953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2275" name="Group 4222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585" name="Rectangle 4258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Validación: 3J3KYNW3CJM</w:t>
                              </w:r>
                              <w:r>
                                <w:rPr>
                                  <w:sz w:val="12"/>
                                </w:rPr>
                                <w:t xml:space="preserve">74AZ6SEHNT4KKY </w:t>
                              </w:r>
                            </w:p>
                          </w:txbxContent>
                        </wps:txbx>
                        <wps:bodyPr horzOverflow="overflow" vert="horz" lIns="0" tIns="0" rIns="0" bIns="0" rtlCol="0">
                          <a:noAutofit/>
                        </wps:bodyPr>
                      </wps:wsp>
                      <wps:wsp>
                        <wps:cNvPr id="42586" name="Rectangle 4258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2587" name="Rectangle 4258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289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2275" style="width:18.7031pt;height:264.21pt;position:absolute;mso-position-horizontal-relative:page;mso-position-horizontal:absolute;margin-left:662.928pt;mso-position-vertical-relative:page;margin-top:507.75pt;" coordsize="2375,33554">
                <v:rect id="Rectangle 4258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258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258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289 de 350 </w:t>
                        </w:r>
                      </w:p>
                    </w:txbxContent>
                  </v:textbox>
                </v:rect>
                <w10:wrap type="square"/>
              </v:group>
            </w:pict>
          </mc:Fallback>
        </mc:AlternateContent>
      </w:r>
      <w:r>
        <w:t xml:space="preserve">Este servicio de recogida municipal de proximidad se complementa con el acceso a la Red </w:t>
      </w:r>
      <w:r>
        <w:t xml:space="preserve">Insular de Puntos Limpios, cuya titularidad y gestión corresponden al Cabildo de Tenerife. </w:t>
      </w:r>
    </w:p>
    <w:p w:rsidR="00025683" w:rsidRDefault="007C2AAB">
      <w:pPr>
        <w:numPr>
          <w:ilvl w:val="0"/>
          <w:numId w:val="136"/>
        </w:numPr>
        <w:spacing w:after="170" w:line="358" w:lineRule="auto"/>
        <w:ind w:right="200"/>
      </w:pPr>
      <w:r>
        <w:t>La ciudadanía deberá utilizar cualquiera de las dos vías mencionadas (Punto Móvil municipal o Red Insular del Cabildo) para la correcta entrega de los residuos de e</w:t>
      </w:r>
      <w:r>
        <w:t>speciales características, de acuerdo con las condiciones y limitaciones establecidas en la normativa insular y en el presente Capítulo.</w:t>
      </w:r>
      <w:r>
        <w:rPr>
          <w:rFonts w:ascii="Times New Roman" w:eastAsia="Times New Roman" w:hAnsi="Times New Roman" w:cs="Times New Roman"/>
          <w:sz w:val="24"/>
        </w:rPr>
        <w:t xml:space="preserve"> </w:t>
      </w:r>
    </w:p>
    <w:p w:rsidR="00025683" w:rsidRDefault="007C2AAB">
      <w:pPr>
        <w:numPr>
          <w:ilvl w:val="0"/>
          <w:numId w:val="136"/>
        </w:numPr>
        <w:spacing w:after="147" w:line="354" w:lineRule="auto"/>
        <w:ind w:right="200"/>
      </w:pPr>
      <w:r>
        <w:t>El Ayuntamiento podrá implementar otras modalidades de recogida de proximidad en el futuro.</w:t>
      </w:r>
      <w:r>
        <w:rPr>
          <w:rFonts w:ascii="Times New Roman" w:eastAsia="Times New Roman" w:hAnsi="Times New Roman" w:cs="Times New Roman"/>
          <w:sz w:val="24"/>
        </w:rPr>
        <w:t xml:space="preserve"> </w:t>
      </w:r>
    </w:p>
    <w:p w:rsidR="00025683" w:rsidRDefault="007C2AAB">
      <w:pPr>
        <w:spacing w:after="170"/>
        <w:ind w:left="240" w:right="197"/>
      </w:pPr>
      <w:r>
        <w:rPr>
          <w:b/>
        </w:rPr>
        <w:t>Artículo 71.  Residuos Ad</w:t>
      </w:r>
      <w:r>
        <w:rPr>
          <w:b/>
        </w:rPr>
        <w:t>misibles en el   Ecopunto Móvil y en la Red Insular.</w:t>
      </w:r>
      <w:r>
        <w:rPr>
          <w:rFonts w:ascii="Times New Roman" w:eastAsia="Times New Roman" w:hAnsi="Times New Roman" w:cs="Times New Roman"/>
          <w:sz w:val="24"/>
        </w:rPr>
        <w:t xml:space="preserve"> </w:t>
      </w:r>
    </w:p>
    <w:p w:rsidR="00025683" w:rsidRDefault="007C2AAB">
      <w:pPr>
        <w:numPr>
          <w:ilvl w:val="0"/>
          <w:numId w:val="137"/>
        </w:numPr>
        <w:spacing w:line="358" w:lineRule="auto"/>
        <w:ind w:right="272"/>
      </w:pPr>
      <w:r>
        <w:t xml:space="preserve">Regulación del Ecopunto Móvil Municipal: La naturaleza, fracciones y cantidades de los residuos admisibles en el Punto Limpio Móvil (o Ecopunto Móvil) serán determinadas por la Concejalía </w:t>
      </w:r>
      <w:r>
        <w:t>con competencias en materia de Medio Ambiente, en coordinación con la entidad gestora insular.</w:t>
      </w:r>
      <w:r>
        <w:rPr>
          <w:rFonts w:ascii="Times New Roman" w:eastAsia="Times New Roman" w:hAnsi="Times New Roman" w:cs="Times New Roman"/>
          <w:sz w:val="24"/>
        </w:rPr>
        <w:t xml:space="preserve"> </w:t>
      </w:r>
    </w:p>
    <w:p w:rsidR="00025683" w:rsidRDefault="007C2AAB">
      <w:pPr>
        <w:spacing w:line="359" w:lineRule="auto"/>
        <w:ind w:left="245" w:right="276"/>
      </w:pPr>
      <w:r>
        <w:t xml:space="preserve">· De forma orientativa, los límites máximos para la entrega de residuos por persona y día en el Ecopunto Móvil se establecerán mediante ejemplos como: hasta 10 </w:t>
      </w:r>
      <w:r>
        <w:t xml:space="preserve">kg de pilas, hasta 5 litros de aceite de cocina usado, hasta 10 unidades de bombillas de bajo consumo, hasta 2 unidades de colchones o voluminosos, etc. </w:t>
      </w:r>
    </w:p>
    <w:p w:rsidR="00025683" w:rsidRDefault="007C2AAB">
      <w:pPr>
        <w:spacing w:after="200" w:line="358" w:lineRule="auto"/>
        <w:ind w:left="245" w:right="277"/>
      </w:pPr>
      <w:r>
        <w:t>·La Concejalía con competencias en materia de Medio Ambiente asegurará la publicidad necesaria de esta</w:t>
      </w:r>
      <w:r>
        <w:t xml:space="preserve">s limitaciones para el conocimiento de las personas usuarias a través de la web y otros medios municipales. </w:t>
      </w:r>
    </w:p>
    <w:p w:rsidR="00025683" w:rsidRDefault="007C2AAB">
      <w:pPr>
        <w:numPr>
          <w:ilvl w:val="0"/>
          <w:numId w:val="137"/>
        </w:numPr>
        <w:spacing w:after="187" w:line="357" w:lineRule="auto"/>
        <w:ind w:right="272"/>
      </w:pPr>
      <w:r>
        <w:t>La naturaleza, las fracciones y las cantidades máximas de los residuos admisibles en los Puntos Limpios Fijos serán las establecidas en la normativ</w:t>
      </w:r>
      <w:r>
        <w:t>a insular (Cabildo de Tenerife), y las personas usuarias deberán atenerse a los límites específicos publicados por esta entidad.</w:t>
      </w:r>
      <w:r>
        <w:rPr>
          <w:rFonts w:ascii="Times New Roman" w:eastAsia="Times New Roman" w:hAnsi="Times New Roman" w:cs="Times New Roman"/>
          <w:sz w:val="24"/>
        </w:rPr>
        <w:t xml:space="preserve"> </w:t>
      </w:r>
    </w:p>
    <w:p w:rsidR="00025683" w:rsidRDefault="007C2AAB">
      <w:pPr>
        <w:spacing w:after="321" w:line="259" w:lineRule="auto"/>
        <w:ind w:left="245" w:firstLine="0"/>
        <w:jc w:val="left"/>
      </w:pPr>
      <w:r>
        <w:rPr>
          <w:b/>
        </w:rPr>
        <w:t xml:space="preserve"> </w:t>
      </w:r>
    </w:p>
    <w:p w:rsidR="00025683" w:rsidRDefault="007C2AAB">
      <w:pPr>
        <w:spacing w:after="335" w:line="259" w:lineRule="auto"/>
        <w:ind w:left="245" w:firstLine="0"/>
        <w:jc w:val="left"/>
      </w:pPr>
      <w:r>
        <w:rPr>
          <w:b/>
        </w:rPr>
        <w:t xml:space="preserve"> </w:t>
      </w:r>
    </w:p>
    <w:p w:rsidR="00025683" w:rsidRDefault="007C2AAB">
      <w:pPr>
        <w:spacing w:after="313"/>
        <w:ind w:left="240"/>
      </w:pPr>
      <w:r>
        <w:rPr>
          <w:b/>
        </w:rPr>
        <w:t>Artículo.72.Residuos procedentes del   ámbito comercial o industrial (naturaleza no doméstica)</w:t>
      </w:r>
      <w:r>
        <w:rPr>
          <w:rFonts w:ascii="Times New Roman" w:eastAsia="Times New Roman" w:hAnsi="Times New Roman" w:cs="Times New Roman"/>
          <w:sz w:val="24"/>
        </w:rPr>
        <w:t xml:space="preserve"> </w:t>
      </w:r>
    </w:p>
    <w:p w:rsidR="00025683" w:rsidRDefault="007C2AAB">
      <w:pPr>
        <w:spacing w:after="167" w:line="349" w:lineRule="auto"/>
        <w:ind w:left="245" w:right="2"/>
      </w:pPr>
      <w:r>
        <w:t>Las entidades de naturalez</w:t>
      </w:r>
      <w:r>
        <w:t>a no doméstica (comercios, oficinas, servicios e industrias) podrán hacer uso de la Red Insular de Puntos Limpios para la entrega de residuos asimilables a domésticos, siempre que:</w:t>
      </w:r>
      <w:r>
        <w:rPr>
          <w:rFonts w:ascii="Times New Roman" w:eastAsia="Times New Roman" w:hAnsi="Times New Roman" w:cs="Times New Roman"/>
          <w:sz w:val="24"/>
        </w:rPr>
        <w:t xml:space="preserve"> </w:t>
      </w:r>
    </w:p>
    <w:p w:rsidR="00025683" w:rsidRDefault="007C2AAB">
      <w:pPr>
        <w:numPr>
          <w:ilvl w:val="0"/>
          <w:numId w:val="138"/>
        </w:numPr>
        <w:ind w:right="200" w:hanging="247"/>
      </w:pPr>
      <w:r>
        <w:t>Dispongan de autorización municipal previa.</w:t>
      </w:r>
      <w:r>
        <w:rPr>
          <w:rFonts w:ascii="Times New Roman" w:eastAsia="Times New Roman" w:hAnsi="Times New Roman" w:cs="Times New Roman"/>
          <w:sz w:val="24"/>
        </w:rPr>
        <w:t xml:space="preserve"> </w:t>
      </w:r>
    </w:p>
    <w:p w:rsidR="00025683" w:rsidRDefault="007C2AAB">
      <w:pPr>
        <w:spacing w:after="137" w:line="259" w:lineRule="auto"/>
        <w:ind w:left="245" w:firstLine="0"/>
        <w:jc w:val="left"/>
      </w:pPr>
      <w:r>
        <w:rPr>
          <w:rFonts w:ascii="Calibri" w:eastAsia="Calibri" w:hAnsi="Calibri" w:cs="Calibri"/>
          <w:noProof/>
        </w:rPr>
        <mc:AlternateContent>
          <mc:Choice Requires="wpg">
            <w:drawing>
              <wp:anchor distT="0" distB="0" distL="114300" distR="114300" simplePos="0" relativeHeight="25197056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2273" name="Group 4222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2845" name="Rectangle 4284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2846" name="Rectangle 4284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2847" name="Rectangle 4284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290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2273" style="width:18.7031pt;height:264.21pt;position:absolute;mso-position-horizontal-relative:page;mso-position-horizontal:absolute;margin-left:662.928pt;mso-position-vertical-relative:page;margin-top:507.75pt;" coordsize="2375,33554">
                <v:rect id="Rectangle 4284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284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284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290 de 350 </w:t>
                        </w:r>
                      </w:p>
                    </w:txbxContent>
                  </v:textbox>
                </v:rect>
                <w10:wrap type="square"/>
              </v:group>
            </w:pict>
          </mc:Fallback>
        </mc:AlternateContent>
      </w:r>
      <w:r>
        <w:t xml:space="preserve"> </w:t>
      </w:r>
    </w:p>
    <w:p w:rsidR="00025683" w:rsidRDefault="007C2AAB">
      <w:pPr>
        <w:numPr>
          <w:ilvl w:val="0"/>
          <w:numId w:val="138"/>
        </w:numPr>
        <w:ind w:right="200" w:hanging="247"/>
      </w:pPr>
      <w:r>
        <w:t>Cumplan las condiciones de fracciones y cantidades estable</w:t>
      </w:r>
      <w:r>
        <w:t>cidas por el Cabildo de Tenerife.</w:t>
      </w:r>
      <w:r>
        <w:rPr>
          <w:rFonts w:ascii="Times New Roman" w:eastAsia="Times New Roman" w:hAnsi="Times New Roman" w:cs="Times New Roman"/>
          <w:sz w:val="24"/>
        </w:rPr>
        <w:t xml:space="preserve"> </w:t>
      </w:r>
    </w:p>
    <w:p w:rsidR="00025683" w:rsidRDefault="007C2AAB">
      <w:pPr>
        <w:spacing w:after="137" w:line="259" w:lineRule="auto"/>
        <w:ind w:left="245" w:firstLine="0"/>
        <w:jc w:val="left"/>
      </w:pPr>
      <w:r>
        <w:t xml:space="preserve"> </w:t>
      </w:r>
    </w:p>
    <w:p w:rsidR="00025683" w:rsidRDefault="007C2AAB">
      <w:pPr>
        <w:numPr>
          <w:ilvl w:val="0"/>
          <w:numId w:val="139"/>
        </w:numPr>
        <w:spacing w:after="170" w:line="358" w:lineRule="auto"/>
        <w:ind w:right="272"/>
      </w:pPr>
      <w:r>
        <w:t>El procedimiento para la autorización municipal al que se refiere el apartado anterior de este Artículo se regirá por lo establecido en la legislación vigente en materia de procedimiento administrativo común.</w:t>
      </w:r>
      <w:r>
        <w:rPr>
          <w:rFonts w:ascii="Times New Roman" w:eastAsia="Times New Roman" w:hAnsi="Times New Roman" w:cs="Times New Roman"/>
          <w:sz w:val="24"/>
        </w:rPr>
        <w:t xml:space="preserve"> </w:t>
      </w:r>
    </w:p>
    <w:p w:rsidR="00025683" w:rsidRDefault="007C2AAB">
      <w:pPr>
        <w:numPr>
          <w:ilvl w:val="0"/>
          <w:numId w:val="139"/>
        </w:numPr>
        <w:spacing w:after="154" w:line="367" w:lineRule="auto"/>
        <w:ind w:right="272"/>
      </w:pPr>
      <w:r>
        <w:t>Junto con</w:t>
      </w:r>
      <w:r>
        <w:t xml:space="preserve"> la solicitud de autorización se deberá aportar documentación acreditativa relacionada con la identificación del vehículo con el que se vaya a hacer el transporte del residuo, y con la actividad económica que desarrolla el interesado. </w:t>
      </w:r>
    </w:p>
    <w:p w:rsidR="00025683" w:rsidRDefault="007C2AAB">
      <w:pPr>
        <w:spacing w:after="157" w:line="259" w:lineRule="auto"/>
        <w:ind w:left="245" w:firstLine="0"/>
        <w:jc w:val="left"/>
      </w:pPr>
      <w:r>
        <w:rPr>
          <w:b/>
        </w:rPr>
        <w:t xml:space="preserve"> </w:t>
      </w:r>
    </w:p>
    <w:p w:rsidR="00025683" w:rsidRDefault="007C2AAB">
      <w:pPr>
        <w:spacing w:after="168"/>
        <w:ind w:left="240" w:right="197"/>
      </w:pPr>
      <w:r>
        <w:rPr>
          <w:b/>
        </w:rPr>
        <w:t>Artículo. 73. Gest</w:t>
      </w:r>
      <w:r>
        <w:rPr>
          <w:b/>
        </w:rPr>
        <w:t>ión de los residuos de puntos limpios</w:t>
      </w:r>
      <w:r>
        <w:t>.</w:t>
      </w:r>
      <w:r>
        <w:rPr>
          <w:rFonts w:ascii="Times New Roman" w:eastAsia="Times New Roman" w:hAnsi="Times New Roman" w:cs="Times New Roman"/>
          <w:sz w:val="24"/>
        </w:rPr>
        <w:t xml:space="preserve"> </w:t>
      </w:r>
    </w:p>
    <w:p w:rsidR="00025683" w:rsidRDefault="007C2AAB">
      <w:pPr>
        <w:numPr>
          <w:ilvl w:val="0"/>
          <w:numId w:val="140"/>
        </w:numPr>
        <w:spacing w:after="180" w:line="377" w:lineRule="auto"/>
        <w:ind w:right="200"/>
      </w:pPr>
      <w:r>
        <w:t xml:space="preserve">Los residuos entregados en puntos limpios podrán seguir dos flujos diferenciados de gestión, atendiendo a su posibilidad de reutilización. </w:t>
      </w:r>
    </w:p>
    <w:p w:rsidR="00025683" w:rsidRDefault="007C2AAB">
      <w:pPr>
        <w:numPr>
          <w:ilvl w:val="0"/>
          <w:numId w:val="140"/>
        </w:numPr>
        <w:spacing w:after="3" w:line="357" w:lineRule="auto"/>
        <w:ind w:right="200"/>
      </w:pPr>
      <w:r>
        <w:t>Las personas usuarias determinarán inicialmente la posibilidad de reutilización de determinados objetos, de tal forma que se entreguen de forma separada en los puntos limpios con el objeto de que puedan seguir el proceso específico para su reutilización.</w:t>
      </w:r>
      <w:r>
        <w:rPr>
          <w:rFonts w:ascii="Times New Roman" w:eastAsia="Times New Roman" w:hAnsi="Times New Roman" w:cs="Times New Roman"/>
          <w:sz w:val="24"/>
        </w:rPr>
        <w:t xml:space="preserve"> </w:t>
      </w:r>
    </w:p>
    <w:p w:rsidR="00025683" w:rsidRDefault="007C2AAB">
      <w:pPr>
        <w:numPr>
          <w:ilvl w:val="0"/>
          <w:numId w:val="140"/>
        </w:numPr>
        <w:spacing w:after="153" w:line="363" w:lineRule="auto"/>
        <w:ind w:right="200"/>
      </w:pPr>
      <w:r>
        <w:t>El órgano municipal competente en materia de gestión de residuos determinará en cada momento los objetos o fracciones de residuos que pudieran tener la consideración de reutilizables, y será el personal responsable de cada centro el que determine finalment</w:t>
      </w:r>
      <w:r>
        <w:t xml:space="preserve">e la idoneidad del objeto para que entre en el proceso de preparación para la reutilización atendiendo a las directrices fijadas por el órgano competente en materia de residuos. </w:t>
      </w:r>
    </w:p>
    <w:p w:rsidR="00025683" w:rsidRDefault="007C2AAB">
      <w:pPr>
        <w:spacing w:after="191" w:line="349" w:lineRule="auto"/>
        <w:ind w:left="245" w:right="270"/>
      </w:pPr>
      <w:r>
        <w:t xml:space="preserve">De lo contrario los residuos que no tengan esa consideración serán sometidos </w:t>
      </w:r>
      <w:r>
        <w:t>a los procesos de gestión habituales, siempre contemplando la jerarquía de residuos señalada en el capítulo I del presente título.</w:t>
      </w:r>
      <w:r>
        <w:rPr>
          <w:rFonts w:ascii="Times New Roman" w:eastAsia="Times New Roman" w:hAnsi="Times New Roman" w:cs="Times New Roman"/>
          <w:sz w:val="24"/>
        </w:rPr>
        <w:t xml:space="preserve"> </w:t>
      </w:r>
    </w:p>
    <w:p w:rsidR="00025683" w:rsidRDefault="007C2AAB">
      <w:pPr>
        <w:spacing w:after="238" w:line="341" w:lineRule="auto"/>
        <w:ind w:left="245" w:right="200"/>
      </w:pPr>
      <w:r>
        <w:t>Para ello los puntos limpios dispondrán de equipamientos y de medios para poder almacenar y organizar la gestión de los obje</w:t>
      </w:r>
      <w:r>
        <w:t>tos o residuos destinados a la preparación para la reutilización.</w:t>
      </w:r>
      <w:r>
        <w:rPr>
          <w:rFonts w:ascii="Times New Roman" w:eastAsia="Times New Roman" w:hAnsi="Times New Roman" w:cs="Times New Roman"/>
          <w:sz w:val="24"/>
        </w:rPr>
        <w:t xml:space="preserve"> </w:t>
      </w:r>
    </w:p>
    <w:p w:rsidR="00025683" w:rsidRDefault="007C2AAB">
      <w:pPr>
        <w:spacing w:after="66"/>
        <w:ind w:left="240" w:right="197"/>
      </w:pPr>
      <w:r>
        <w:rPr>
          <w:b/>
        </w:rPr>
        <w:t>Capítulo VII. Compostaje doméstico y comunitario</w:t>
      </w:r>
      <w:r>
        <w:rPr>
          <w:rFonts w:ascii="Times New Roman" w:eastAsia="Times New Roman" w:hAnsi="Times New Roman" w:cs="Times New Roman"/>
          <w:sz w:val="24"/>
        </w:rPr>
        <w:t xml:space="preserve"> </w:t>
      </w:r>
    </w:p>
    <w:p w:rsidR="00025683" w:rsidRDefault="007C2AAB">
      <w:pPr>
        <w:spacing w:after="114" w:line="259" w:lineRule="auto"/>
        <w:ind w:left="245" w:firstLine="0"/>
        <w:jc w:val="left"/>
      </w:pPr>
      <w:r>
        <w:rPr>
          <w:b/>
        </w:rPr>
        <w:t xml:space="preserve"> </w:t>
      </w:r>
    </w:p>
    <w:p w:rsidR="00025683" w:rsidRDefault="007C2AAB">
      <w:pPr>
        <w:spacing w:after="171"/>
        <w:ind w:left="240" w:right="197"/>
      </w:pPr>
      <w:r>
        <w:rPr>
          <w:b/>
        </w:rPr>
        <w:t>Artículo.74. Compostaje doméstico y comunitario.</w:t>
      </w:r>
      <w:r>
        <w:rPr>
          <w:rFonts w:ascii="Times New Roman" w:eastAsia="Times New Roman" w:hAnsi="Times New Roman" w:cs="Times New Roman"/>
          <w:sz w:val="24"/>
        </w:rPr>
        <w:t xml:space="preserve"> </w:t>
      </w:r>
    </w:p>
    <w:p w:rsidR="00025683" w:rsidRDefault="007C2AAB">
      <w:pPr>
        <w:numPr>
          <w:ilvl w:val="0"/>
          <w:numId w:val="141"/>
        </w:numPr>
        <w:spacing w:after="194" w:line="362" w:lineRule="auto"/>
        <w:ind w:right="272"/>
      </w:pPr>
      <w:r>
        <w:rPr>
          <w:rFonts w:ascii="Calibri" w:eastAsia="Calibri" w:hAnsi="Calibri" w:cs="Calibri"/>
          <w:noProof/>
        </w:rPr>
        <mc:AlternateContent>
          <mc:Choice Requires="wpg">
            <w:drawing>
              <wp:anchor distT="0" distB="0" distL="114300" distR="114300" simplePos="0" relativeHeight="25197158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2514" name="Group 4225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070" name="Rectangle 4307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3071" name="Rectangle 4307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https://candelaria.sedel</w:t>
                              </w:r>
                              <w:r>
                                <w:rPr>
                                  <w:sz w:val="12"/>
                                </w:rPr>
                                <w:t xml:space="preserve">ectronica.es/ </w:t>
                              </w:r>
                            </w:p>
                          </w:txbxContent>
                        </wps:txbx>
                        <wps:bodyPr horzOverflow="overflow" vert="horz" lIns="0" tIns="0" rIns="0" bIns="0" rtlCol="0">
                          <a:noAutofit/>
                        </wps:bodyPr>
                      </wps:wsp>
                      <wps:wsp>
                        <wps:cNvPr id="43072" name="Rectangle 4307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291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2514" style="width:18.7031pt;height:264.21pt;position:absolute;mso-position-horizontal-relative:page;mso-position-horizontal:absolute;margin-left:662.928pt;mso-position-vertical-relative:page;margin-top:507.75pt;" coordsize="2375,33554">
                <v:rect id="Rectangle 4307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307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07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291 de 350 </w:t>
                        </w:r>
                      </w:p>
                    </w:txbxContent>
                  </v:textbox>
                </v:rect>
                <w10:wrap type="square"/>
              </v:group>
            </w:pict>
          </mc:Fallback>
        </mc:AlternateContent>
      </w:r>
      <w:r>
        <w:t>Se podrán permitir sistemas de compostaje doméstico o comunitario que complementen la gestión selectiva de la fracción biorresiduo o materia orgánica, en base a criterios de eficiencia técnica y económica. Dichos sistemas deberán cumplir las condiciones hi</w:t>
      </w:r>
      <w:r>
        <w:t>giénicas y ambientales necesarias para evitar olores, lixiviados, proliferación de plagas o impactos negativos, conforme a la legislación vigente en cada momento y con las autorizaciones o licencias municipales que correspondan en función de sus caracterís</w:t>
      </w:r>
      <w:r>
        <w:t xml:space="preserve">ticas. </w:t>
      </w:r>
    </w:p>
    <w:p w:rsidR="00025683" w:rsidRDefault="007C2AAB">
      <w:pPr>
        <w:numPr>
          <w:ilvl w:val="0"/>
          <w:numId w:val="141"/>
        </w:numPr>
        <w:spacing w:after="170" w:line="357" w:lineRule="auto"/>
        <w:ind w:right="272"/>
      </w:pPr>
      <w:r>
        <w:t>Las personas participantes en los sistemas de compostaje doméstico o comunitario que se implanten quedarán exentas, total o parcialmente, de entregar dicha fracción (biorresiduo) al servicio municipal de recogida para su transporte a plantas de tra</w:t>
      </w:r>
      <w:r>
        <w:t>tamiento insulares.</w:t>
      </w:r>
      <w:r>
        <w:rPr>
          <w:rFonts w:ascii="Times New Roman" w:eastAsia="Times New Roman" w:hAnsi="Times New Roman" w:cs="Times New Roman"/>
          <w:sz w:val="24"/>
        </w:rPr>
        <w:t xml:space="preserve"> </w:t>
      </w:r>
    </w:p>
    <w:p w:rsidR="00025683" w:rsidRDefault="007C2AAB">
      <w:pPr>
        <w:numPr>
          <w:ilvl w:val="0"/>
          <w:numId w:val="141"/>
        </w:numPr>
        <w:spacing w:after="224" w:line="377" w:lineRule="auto"/>
        <w:ind w:right="272"/>
      </w:pPr>
      <w:r>
        <w:t xml:space="preserve">Lo previsto en este Artículo se entiende sin perjuicio de la obligación de separación de la fracción biorresiduo que impone el Capítulo IV del presente Título. </w:t>
      </w:r>
    </w:p>
    <w:p w:rsidR="00025683" w:rsidRDefault="007C2AAB">
      <w:pPr>
        <w:spacing w:after="66"/>
        <w:ind w:left="240" w:right="197"/>
      </w:pPr>
      <w:r>
        <w:rPr>
          <w:b/>
        </w:rPr>
        <w:t>TÍTULO III. Inspección y control</w:t>
      </w:r>
      <w:r>
        <w:rPr>
          <w:rFonts w:ascii="Times New Roman" w:eastAsia="Times New Roman" w:hAnsi="Times New Roman" w:cs="Times New Roman"/>
          <w:sz w:val="24"/>
        </w:rPr>
        <w:t xml:space="preserve"> </w:t>
      </w:r>
    </w:p>
    <w:p w:rsidR="00025683" w:rsidRDefault="007C2AAB">
      <w:pPr>
        <w:spacing w:after="114" w:line="259" w:lineRule="auto"/>
        <w:ind w:left="245" w:firstLine="0"/>
        <w:jc w:val="left"/>
      </w:pPr>
      <w:r>
        <w:rPr>
          <w:b/>
        </w:rPr>
        <w:t xml:space="preserve"> </w:t>
      </w:r>
    </w:p>
    <w:p w:rsidR="00025683" w:rsidRDefault="007C2AAB">
      <w:pPr>
        <w:spacing w:after="129"/>
        <w:ind w:left="240" w:right="197"/>
      </w:pPr>
      <w:r>
        <w:rPr>
          <w:b/>
        </w:rPr>
        <w:t>Artículo.75. Competencia en vigilancia</w:t>
      </w:r>
      <w:r>
        <w:rPr>
          <w:b/>
        </w:rPr>
        <w:t xml:space="preserve"> y control.</w:t>
      </w:r>
      <w:r>
        <w:rPr>
          <w:rFonts w:ascii="Times New Roman" w:eastAsia="Times New Roman" w:hAnsi="Times New Roman" w:cs="Times New Roman"/>
          <w:sz w:val="24"/>
        </w:rPr>
        <w:t xml:space="preserve"> </w:t>
      </w:r>
    </w:p>
    <w:p w:rsidR="00025683" w:rsidRDefault="007C2AAB">
      <w:pPr>
        <w:spacing w:after="99" w:line="350" w:lineRule="auto"/>
        <w:ind w:left="245" w:right="275"/>
      </w:pPr>
      <w:r>
        <w:t>La vigilancia, control e inspección del cumplimiento de la presente Ordenanza corresponde a la concejalía con competencias en materia de Medio Ambiente, a través de sus servicios técnicos y del personal inspector municipal.</w:t>
      </w:r>
      <w:r>
        <w:rPr>
          <w:rFonts w:ascii="Times New Roman" w:eastAsia="Times New Roman" w:hAnsi="Times New Roman" w:cs="Times New Roman"/>
          <w:sz w:val="24"/>
        </w:rPr>
        <w:t xml:space="preserve"> </w:t>
      </w:r>
    </w:p>
    <w:p w:rsidR="00025683" w:rsidRDefault="007C2AAB">
      <w:pPr>
        <w:spacing w:after="256"/>
        <w:ind w:left="245" w:right="200"/>
      </w:pPr>
      <w:r>
        <w:t xml:space="preserve">Las funciones de </w:t>
      </w:r>
      <w:r>
        <w:t>vigilancia y disciplina podrán ser ejercidas por los agentes de la Policía Local en calidad de agentes de la autoridad.</w:t>
      </w:r>
      <w:r>
        <w:rPr>
          <w:rFonts w:ascii="Times New Roman" w:eastAsia="Times New Roman" w:hAnsi="Times New Roman" w:cs="Times New Roman"/>
          <w:sz w:val="24"/>
        </w:rPr>
        <w:t xml:space="preserve"> </w:t>
      </w:r>
    </w:p>
    <w:p w:rsidR="00025683" w:rsidRDefault="007C2AAB">
      <w:pPr>
        <w:spacing w:after="140" w:line="352" w:lineRule="auto"/>
        <w:ind w:left="245" w:right="276"/>
      </w:pPr>
      <w:r>
        <w:t>La Administración municipal ejercerá estas competencias de inspección y disciplina de forma coordinada y colaborativa con las restantes</w:t>
      </w:r>
      <w:r>
        <w:t xml:space="preserve"> Administraciones Públicas con competencias en materia de residuos, incluyendo el Cabildo Insular como gestor insular y las Administraciones autonómica y estatal, con el fin de garantizar la máxima eficacia y coherencia en la gestión.</w:t>
      </w:r>
      <w:r>
        <w:rPr>
          <w:rFonts w:ascii="Times New Roman" w:eastAsia="Times New Roman" w:hAnsi="Times New Roman" w:cs="Times New Roman"/>
          <w:sz w:val="24"/>
        </w:rPr>
        <w:t xml:space="preserve"> </w:t>
      </w:r>
    </w:p>
    <w:p w:rsidR="00025683" w:rsidRDefault="007C2AAB">
      <w:pPr>
        <w:spacing w:after="142" w:line="259" w:lineRule="auto"/>
        <w:ind w:left="245" w:firstLine="0"/>
        <w:jc w:val="left"/>
      </w:pPr>
      <w:r>
        <w:rPr>
          <w:b/>
        </w:rPr>
        <w:t xml:space="preserve"> </w:t>
      </w:r>
    </w:p>
    <w:p w:rsidR="00025683" w:rsidRDefault="007C2AAB">
      <w:pPr>
        <w:spacing w:after="141" w:line="259" w:lineRule="auto"/>
        <w:ind w:left="245" w:firstLine="0"/>
        <w:jc w:val="left"/>
      </w:pPr>
      <w:r>
        <w:rPr>
          <w:b/>
        </w:rPr>
        <w:t xml:space="preserve"> </w:t>
      </w:r>
    </w:p>
    <w:p w:rsidR="00025683" w:rsidRDefault="007C2AAB">
      <w:pPr>
        <w:spacing w:after="143" w:line="259" w:lineRule="auto"/>
        <w:ind w:left="245" w:firstLine="0"/>
        <w:jc w:val="left"/>
      </w:pPr>
      <w:r>
        <w:rPr>
          <w:b/>
        </w:rPr>
        <w:t xml:space="preserve"> </w:t>
      </w:r>
    </w:p>
    <w:p w:rsidR="00025683" w:rsidRDefault="007C2AAB">
      <w:pPr>
        <w:spacing w:after="155" w:line="259" w:lineRule="auto"/>
        <w:ind w:left="245" w:firstLine="0"/>
        <w:jc w:val="left"/>
      </w:pPr>
      <w:r>
        <w:rPr>
          <w:b/>
        </w:rPr>
        <w:t xml:space="preserve"> </w:t>
      </w:r>
    </w:p>
    <w:p w:rsidR="00025683" w:rsidRDefault="007C2AAB">
      <w:pPr>
        <w:spacing w:after="170"/>
        <w:ind w:left="240" w:right="197"/>
      </w:pPr>
      <w:r>
        <w:rPr>
          <w:b/>
        </w:rPr>
        <w:t>Artículo.76.</w:t>
      </w:r>
      <w:r>
        <w:rPr>
          <w:b/>
        </w:rPr>
        <w:t xml:space="preserve"> Servicios de inspección</w:t>
      </w:r>
      <w:r>
        <w:t>.</w:t>
      </w:r>
      <w:r>
        <w:rPr>
          <w:rFonts w:ascii="Times New Roman" w:eastAsia="Times New Roman" w:hAnsi="Times New Roman" w:cs="Times New Roman"/>
          <w:sz w:val="24"/>
        </w:rPr>
        <w:t xml:space="preserve"> </w:t>
      </w:r>
    </w:p>
    <w:p w:rsidR="00025683" w:rsidRDefault="007C2AAB">
      <w:pPr>
        <w:numPr>
          <w:ilvl w:val="0"/>
          <w:numId w:val="142"/>
        </w:numPr>
        <w:spacing w:after="195" w:line="362" w:lineRule="auto"/>
        <w:ind w:right="270"/>
      </w:pPr>
      <w:r>
        <w:rPr>
          <w:rFonts w:ascii="Calibri" w:eastAsia="Calibri" w:hAnsi="Calibri" w:cs="Calibri"/>
          <w:noProof/>
        </w:rPr>
        <mc:AlternateContent>
          <mc:Choice Requires="wpg">
            <w:drawing>
              <wp:anchor distT="0" distB="0" distL="114300" distR="114300" simplePos="0" relativeHeight="25197260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2669" name="Group 4226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313" name="Rectangle 4331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3314" name="Rectangle 4331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3315" name="Rectangle 4331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292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2669" style="width:18.7031pt;height:264.21pt;position:absolute;mso-position-horizontal-relative:page;mso-position-horizontal:absolute;margin-left:662.928pt;mso-position-vertical-relative:page;margin-top:507.75pt;" coordsize="2375,33554">
                <v:rect id="Rectangle 4331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331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31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292 de 350 </w:t>
                        </w:r>
                      </w:p>
                    </w:txbxContent>
                  </v:textbox>
                </v:rect>
                <w10:wrap type="square"/>
              </v:group>
            </w:pict>
          </mc:Fallback>
        </mc:AlternateContent>
      </w:r>
      <w:r>
        <w:t xml:space="preserve">El ejercicio de las funciones </w:t>
      </w:r>
      <w:r>
        <w:t xml:space="preserve">de inspección y vigilancia del cumplimiento de lo dispuesto en la presente ordenanza corresponderá al personal de la administración pública que tenga atribuidas dichas funciones adscritos a la concejalía competente en materia de medio ambiente, así como a </w:t>
      </w:r>
      <w:r>
        <w:t>los miembros de la Policía Local. El Personal Inspector de la administración pública que tenga atribuidas estas funciones, tendrá la consideración de Agente de la Autoridad a efectos de esta Ordenanza.</w:t>
      </w:r>
      <w:r>
        <w:rPr>
          <w:rFonts w:ascii="Times New Roman" w:eastAsia="Times New Roman" w:hAnsi="Times New Roman" w:cs="Times New Roman"/>
        </w:rPr>
        <w:t xml:space="preserve"> </w:t>
      </w:r>
    </w:p>
    <w:p w:rsidR="00025683" w:rsidRDefault="007C2AAB">
      <w:pPr>
        <w:numPr>
          <w:ilvl w:val="0"/>
          <w:numId w:val="142"/>
        </w:numPr>
        <w:spacing w:after="168" w:line="358" w:lineRule="auto"/>
        <w:ind w:right="270"/>
      </w:pPr>
      <w:r>
        <w:t>Cuando en el ejercicio de sus funciones el servicio d</w:t>
      </w:r>
      <w:r>
        <w:t>e inspección constate actuaciones o hechos que pudieran ser constitutivos de infracción, tanto administrativa como penal se procederá a levantar el correspondiente boletín de denuncia o acta, o en su caso el atestado policial en el que se recogerán los sig</w:t>
      </w:r>
      <w:r>
        <w:t>uientes datos:</w:t>
      </w:r>
      <w:r>
        <w:rPr>
          <w:rFonts w:ascii="Times New Roman" w:eastAsia="Times New Roman" w:hAnsi="Times New Roman" w:cs="Times New Roman"/>
          <w:sz w:val="24"/>
        </w:rPr>
        <w:t xml:space="preserve"> </w:t>
      </w:r>
    </w:p>
    <w:p w:rsidR="00025683" w:rsidRDefault="007C2AAB">
      <w:pPr>
        <w:numPr>
          <w:ilvl w:val="0"/>
          <w:numId w:val="143"/>
        </w:numPr>
        <w:ind w:right="200"/>
      </w:pPr>
      <w:r>
        <w:t>Fecha, hora y localización de la inspección.</w:t>
      </w:r>
      <w:r>
        <w:rPr>
          <w:rFonts w:ascii="Times New Roman" w:eastAsia="Times New Roman" w:hAnsi="Times New Roman" w:cs="Times New Roman"/>
          <w:sz w:val="24"/>
        </w:rPr>
        <w:t xml:space="preserve"> </w:t>
      </w:r>
    </w:p>
    <w:p w:rsidR="00025683" w:rsidRDefault="007C2AAB">
      <w:pPr>
        <w:spacing w:after="137" w:line="259" w:lineRule="auto"/>
        <w:ind w:left="245" w:firstLine="0"/>
        <w:jc w:val="left"/>
      </w:pPr>
      <w:r>
        <w:t xml:space="preserve"> </w:t>
      </w:r>
    </w:p>
    <w:p w:rsidR="00025683" w:rsidRDefault="007C2AAB">
      <w:pPr>
        <w:numPr>
          <w:ilvl w:val="0"/>
          <w:numId w:val="143"/>
        </w:numPr>
        <w:ind w:right="200"/>
      </w:pPr>
      <w:r>
        <w:t>Circunstancias observadas de la persona que presuntamente comete la infracción.</w:t>
      </w:r>
      <w:r>
        <w:rPr>
          <w:rFonts w:ascii="Times New Roman" w:eastAsia="Times New Roman" w:hAnsi="Times New Roman" w:cs="Times New Roman"/>
          <w:sz w:val="24"/>
        </w:rPr>
        <w:t xml:space="preserve"> </w:t>
      </w:r>
    </w:p>
    <w:p w:rsidR="00025683" w:rsidRDefault="007C2AAB">
      <w:pPr>
        <w:spacing w:after="137" w:line="259" w:lineRule="auto"/>
        <w:ind w:left="245" w:firstLine="0"/>
        <w:jc w:val="left"/>
      </w:pPr>
      <w:r>
        <w:t xml:space="preserve"> </w:t>
      </w:r>
    </w:p>
    <w:p w:rsidR="00025683" w:rsidRDefault="007C2AAB">
      <w:pPr>
        <w:numPr>
          <w:ilvl w:val="0"/>
          <w:numId w:val="143"/>
        </w:numPr>
        <w:spacing w:after="170" w:line="358" w:lineRule="auto"/>
        <w:ind w:right="200"/>
      </w:pPr>
      <w:r>
        <w:t xml:space="preserve">Descripción de todas las circunstancias y hechos constatados que sean necesarios y suficientes para establecer las bases de incoación del procedimiento administrativo sancionador y correcta tipificación de la infracción al respecto de esta ordenanza o, en </w:t>
      </w:r>
      <w:r>
        <w:t>su caso, la comunicación a la autoridad competente si los hechos pueden dar lugar a un delito penal.</w:t>
      </w:r>
      <w:r>
        <w:rPr>
          <w:rFonts w:ascii="Times New Roman" w:eastAsia="Times New Roman" w:hAnsi="Times New Roman" w:cs="Times New Roman"/>
          <w:sz w:val="24"/>
        </w:rPr>
        <w:t xml:space="preserve"> </w:t>
      </w:r>
    </w:p>
    <w:p w:rsidR="00025683" w:rsidRDefault="007C2AAB">
      <w:pPr>
        <w:numPr>
          <w:ilvl w:val="0"/>
          <w:numId w:val="143"/>
        </w:numPr>
        <w:ind w:right="200"/>
      </w:pPr>
      <w:r>
        <w:t>Prueba gráfica de los hechos, si fuera posible.</w:t>
      </w:r>
      <w:r>
        <w:rPr>
          <w:rFonts w:ascii="Times New Roman" w:eastAsia="Times New Roman" w:hAnsi="Times New Roman" w:cs="Times New Roman"/>
          <w:sz w:val="24"/>
        </w:rPr>
        <w:t xml:space="preserve"> </w:t>
      </w:r>
    </w:p>
    <w:p w:rsidR="00025683" w:rsidRDefault="007C2AAB">
      <w:pPr>
        <w:spacing w:after="235" w:line="259" w:lineRule="auto"/>
        <w:ind w:left="245" w:firstLine="0"/>
        <w:jc w:val="left"/>
      </w:pPr>
      <w:r>
        <w:t xml:space="preserve"> </w:t>
      </w:r>
    </w:p>
    <w:p w:rsidR="00025683" w:rsidRDefault="007C2AAB">
      <w:pPr>
        <w:spacing w:after="196" w:line="375" w:lineRule="auto"/>
        <w:ind w:left="259" w:right="200" w:hanging="245"/>
      </w:pPr>
      <w:r>
        <w:rPr>
          <w:rFonts w:ascii="Calibri" w:eastAsia="Calibri" w:hAnsi="Calibri" w:cs="Calibri"/>
          <w:sz w:val="24"/>
        </w:rPr>
        <w:t>3.</w:t>
      </w:r>
      <w:r>
        <w:rPr>
          <w:sz w:val="24"/>
        </w:rPr>
        <w:t xml:space="preserve"> </w:t>
      </w:r>
      <w:r>
        <w:t>Las visitas de inspección efectuadas se formalizarán en actas de inspección firmadas por el personal</w:t>
      </w:r>
      <w:r>
        <w:t xml:space="preserve"> funcionario actuante de la que se dará copia a la persona interesada siempre que sea posible, reunirán los requisitos exigidos por la legislación vigente, gozarán de presunción de veracidad y valor probatorio, sin perjuicio de las demás pruebas que, en de</w:t>
      </w:r>
      <w:r>
        <w:t xml:space="preserve">fensa de sus respectivos derechos e intereses, puedan aportar las personas interesadas. </w:t>
      </w:r>
      <w:r>
        <w:rPr>
          <w:rFonts w:ascii="Times New Roman" w:eastAsia="Times New Roman" w:hAnsi="Times New Roman" w:cs="Times New Roman"/>
          <w:sz w:val="24"/>
        </w:rPr>
        <w:t xml:space="preserve"> </w:t>
      </w:r>
    </w:p>
    <w:p w:rsidR="00025683" w:rsidRDefault="007C2AAB">
      <w:pPr>
        <w:spacing w:after="319" w:line="259" w:lineRule="auto"/>
        <w:ind w:left="965" w:firstLine="0"/>
        <w:jc w:val="left"/>
      </w:pPr>
      <w:r>
        <w:t xml:space="preserve"> </w:t>
      </w:r>
    </w:p>
    <w:p w:rsidR="00025683" w:rsidRDefault="007C2AAB">
      <w:pPr>
        <w:spacing w:after="324" w:line="259" w:lineRule="auto"/>
        <w:ind w:left="245" w:firstLine="0"/>
        <w:jc w:val="left"/>
      </w:pPr>
      <w:r>
        <w:rPr>
          <w:b/>
        </w:rPr>
        <w:t xml:space="preserve"> </w:t>
      </w:r>
    </w:p>
    <w:p w:rsidR="00025683" w:rsidRDefault="007C2AAB">
      <w:pPr>
        <w:spacing w:after="321" w:line="259" w:lineRule="auto"/>
        <w:ind w:left="245" w:firstLine="0"/>
        <w:jc w:val="left"/>
      </w:pPr>
      <w:r>
        <w:rPr>
          <w:b/>
        </w:rPr>
        <w:t xml:space="preserve"> </w:t>
      </w:r>
    </w:p>
    <w:p w:rsidR="00025683" w:rsidRDefault="007C2AAB">
      <w:pPr>
        <w:spacing w:after="321" w:line="259" w:lineRule="auto"/>
        <w:ind w:left="245" w:firstLine="0"/>
        <w:jc w:val="left"/>
      </w:pPr>
      <w:r>
        <w:rPr>
          <w:b/>
        </w:rPr>
        <w:t xml:space="preserve"> </w:t>
      </w:r>
    </w:p>
    <w:p w:rsidR="00025683" w:rsidRDefault="007C2AAB">
      <w:pPr>
        <w:spacing w:after="335" w:line="259" w:lineRule="auto"/>
        <w:ind w:left="245" w:firstLine="0"/>
        <w:jc w:val="left"/>
      </w:pPr>
      <w:r>
        <w:rPr>
          <w:b/>
        </w:rPr>
        <w:t xml:space="preserve"> </w:t>
      </w:r>
    </w:p>
    <w:p w:rsidR="00025683" w:rsidRDefault="007C2AAB">
      <w:pPr>
        <w:spacing w:after="297"/>
        <w:ind w:left="240" w:right="197"/>
      </w:pPr>
      <w:r>
        <w:rPr>
          <w:b/>
        </w:rPr>
        <w:t>Artículo.77. Ejercicio de la  función inspectora</w:t>
      </w:r>
      <w:r>
        <w:t>.</w:t>
      </w:r>
      <w:r>
        <w:rPr>
          <w:rFonts w:ascii="Times New Roman" w:eastAsia="Times New Roman" w:hAnsi="Times New Roman" w:cs="Times New Roman"/>
          <w:sz w:val="24"/>
        </w:rPr>
        <w:t xml:space="preserve"> </w:t>
      </w:r>
    </w:p>
    <w:p w:rsidR="00025683" w:rsidRDefault="007C2AAB">
      <w:pPr>
        <w:numPr>
          <w:ilvl w:val="0"/>
          <w:numId w:val="144"/>
        </w:numPr>
        <w:spacing w:after="167" w:line="358" w:lineRule="auto"/>
        <w:ind w:right="200"/>
      </w:pPr>
      <w:r>
        <w:rPr>
          <w:rFonts w:ascii="Calibri" w:eastAsia="Calibri" w:hAnsi="Calibri" w:cs="Calibri"/>
          <w:noProof/>
        </w:rPr>
        <mc:AlternateContent>
          <mc:Choice Requires="wpg">
            <w:drawing>
              <wp:anchor distT="0" distB="0" distL="114300" distR="114300" simplePos="0" relativeHeight="25197363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2776" name="Group 4227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494" name="Rectangle 4349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3495" name="Rectangle 4349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3496" name="Rectangle 4349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293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2776" style="width:18.7031pt;height:264.21pt;position:absolute;mso-position-horizontal-relative:page;mso-position-horizontal:absolute;margin-left:662.928pt;mso-position-vertical-relative:page;margin-top:507.75pt;" coordsize="2375,33554">
                <v:rect id="Rectangle 4349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349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49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293 de 350 </w:t>
                        </w:r>
                      </w:p>
                    </w:txbxContent>
                  </v:textbox>
                </v:rect>
                <w10:wrap type="square"/>
              </v:group>
            </w:pict>
          </mc:Fallback>
        </mc:AlternateContent>
      </w:r>
      <w:r>
        <w:t>El personal al que se hace referencia en el Artículo anterior está facultado para acceder sin previo aviso, identificados mediante la correspondiente acreditació</w:t>
      </w:r>
      <w:r>
        <w:t>n, a las instalaciones en las que se desarrollen actividades reguladas en esta ordenanza. Estarán asimismo facultados para inspeccionar el contenido de las bolsas de basura y de los contenedores de residuos y caracterizar el contenido de las bolsas de basu</w:t>
      </w:r>
      <w:r>
        <w:t>ra y de los contenedores de residuos, particularmente aquellas procedentes de particulares, con fines de concienciación y educación ambiental, sin que esta actuación suponga una vulneración de los derechos a la intimidad, la dignidad personal y la protecci</w:t>
      </w:r>
      <w:r>
        <w:t>ón de datos, de conformidad con lo establecido en la Ley Orgánica 3/2018, de 5 de diciembre, de Protección de Datos Personales y garantía de los derechos digitales, y demás legislación vigente.</w:t>
      </w:r>
      <w:r>
        <w:rPr>
          <w:rFonts w:ascii="Times New Roman" w:eastAsia="Times New Roman" w:hAnsi="Times New Roman" w:cs="Times New Roman"/>
          <w:sz w:val="24"/>
        </w:rPr>
        <w:t xml:space="preserve"> </w:t>
      </w:r>
    </w:p>
    <w:p w:rsidR="00025683" w:rsidRDefault="007C2AAB">
      <w:pPr>
        <w:numPr>
          <w:ilvl w:val="0"/>
          <w:numId w:val="144"/>
        </w:numPr>
        <w:ind w:right="200"/>
      </w:pPr>
      <w:r>
        <w:t>Cuando actúe en el ejercicio de sus funciones, el cuerpo de i</w:t>
      </w:r>
      <w:r>
        <w:t>nspección podrá:</w:t>
      </w:r>
      <w:r>
        <w:rPr>
          <w:rFonts w:ascii="Times New Roman" w:eastAsia="Times New Roman" w:hAnsi="Times New Roman" w:cs="Times New Roman"/>
          <w:sz w:val="24"/>
        </w:rPr>
        <w:t xml:space="preserve"> </w:t>
      </w:r>
    </w:p>
    <w:p w:rsidR="00025683" w:rsidRDefault="007C2AAB">
      <w:pPr>
        <w:spacing w:after="139" w:line="259" w:lineRule="auto"/>
        <w:ind w:left="245" w:firstLine="0"/>
        <w:jc w:val="left"/>
      </w:pPr>
      <w:r>
        <w:t xml:space="preserve"> </w:t>
      </w:r>
    </w:p>
    <w:p w:rsidR="00025683" w:rsidRDefault="007C2AAB">
      <w:pPr>
        <w:numPr>
          <w:ilvl w:val="0"/>
          <w:numId w:val="145"/>
        </w:numPr>
        <w:spacing w:after="182" w:line="375" w:lineRule="auto"/>
        <w:ind w:right="273"/>
      </w:pPr>
      <w:r>
        <w:t xml:space="preserve">Solicitar el apoyo técnico, concurso, auxilio o protección que se les necesite de cualquier otra autoridad. </w:t>
      </w:r>
    </w:p>
    <w:p w:rsidR="00025683" w:rsidRDefault="007C2AAB">
      <w:pPr>
        <w:numPr>
          <w:ilvl w:val="0"/>
          <w:numId w:val="145"/>
        </w:numPr>
        <w:spacing w:after="190" w:line="368" w:lineRule="auto"/>
        <w:ind w:right="273"/>
      </w:pPr>
      <w:r>
        <w:t>Acceder al establecimiento, almacén, cuarto de basuras, o cualquier otra dependencia tantas veces como sea necesario, sin que resulte preciso realizar aviso previo, perturbando solo en lo estrictamente necesario la actividad comercial o profesional del ins</w:t>
      </w:r>
      <w:r>
        <w:t xml:space="preserve">peccionado. </w:t>
      </w:r>
    </w:p>
    <w:p w:rsidR="00025683" w:rsidRDefault="007C2AAB">
      <w:pPr>
        <w:numPr>
          <w:ilvl w:val="0"/>
          <w:numId w:val="145"/>
        </w:numPr>
        <w:spacing w:after="303" w:line="367" w:lineRule="auto"/>
        <w:ind w:right="273"/>
      </w:pPr>
      <w:r>
        <w:t>Solicitar la información, autorizaciones y documentación que estime necesaria para el desarrollo de sus investigaciones y requerir la colaboración de cualquier persona física o jurídica que pueda tener relación directa o indirecta con el objet</w:t>
      </w:r>
      <w:r>
        <w:t xml:space="preserve">o de la inspección, así como obtener copias de esta documentación. </w:t>
      </w:r>
    </w:p>
    <w:p w:rsidR="00025683" w:rsidRDefault="007C2AAB">
      <w:pPr>
        <w:numPr>
          <w:ilvl w:val="0"/>
          <w:numId w:val="145"/>
        </w:numPr>
        <w:spacing w:after="180" w:line="377" w:lineRule="auto"/>
        <w:ind w:right="273"/>
      </w:pPr>
      <w:r>
        <w:t xml:space="preserve">Realizar toma de muestras, así como cualquier otro tipo de control o ensayo sobre los productos en cualquier fase de la comercialización de estos. </w:t>
      </w:r>
    </w:p>
    <w:p w:rsidR="00025683" w:rsidRDefault="007C2AAB">
      <w:pPr>
        <w:numPr>
          <w:ilvl w:val="0"/>
          <w:numId w:val="145"/>
        </w:numPr>
        <w:spacing w:after="245" w:line="367" w:lineRule="auto"/>
        <w:ind w:right="273"/>
      </w:pPr>
      <w:r>
        <w:t xml:space="preserve">Proponer al órgano competente, conforme </w:t>
      </w:r>
      <w:r>
        <w:t xml:space="preserve">a lo establecido por el artículo 88, la adopción de las medidas provisionales que resulten necesarias cuando exista o se sospeche razonablemente la existencia de un riesgo para la seguridad de las personas. </w:t>
      </w:r>
    </w:p>
    <w:p w:rsidR="00025683" w:rsidRDefault="007C2AAB">
      <w:pPr>
        <w:spacing w:after="128" w:line="358" w:lineRule="auto"/>
        <w:ind w:left="245" w:right="269"/>
      </w:pPr>
      <w:r>
        <w:rPr>
          <w:rFonts w:ascii="Calibri" w:eastAsia="Calibri" w:hAnsi="Calibri" w:cs="Calibri"/>
          <w:sz w:val="24"/>
        </w:rPr>
        <w:t>3.</w:t>
      </w:r>
      <w:r>
        <w:rPr>
          <w:sz w:val="24"/>
        </w:rPr>
        <w:t xml:space="preserve"> </w:t>
      </w:r>
      <w:r>
        <w:t>En el proceso de otorgamiento, modificación o</w:t>
      </w:r>
      <w:r>
        <w:t xml:space="preserve"> renovación de las autorizaciones municipales de entrega de residuos no domésticos asimilables a domésticos en Puntos Limpios, se realizarán las inspecciones en origen que procedan. En estas se comprobará que se cumplan las características que se hayan pre</w:t>
      </w:r>
      <w:r>
        <w:t>cisado en la solicitud y la autorización, la correcta separación de los residuos en las fracciones determinadas y la utilización adecuada de contenedores. Durante la vigencia de la autorización, podrán realizarse las inspecciones en origen que se estimen o</w:t>
      </w:r>
      <w:r>
        <w:t>portunas y sin previo aviso.</w:t>
      </w:r>
      <w:r>
        <w:rPr>
          <w:rFonts w:ascii="Times New Roman" w:eastAsia="Times New Roman" w:hAnsi="Times New Roman" w:cs="Times New Roman"/>
          <w:sz w:val="24"/>
        </w:rPr>
        <w:t xml:space="preserve"> </w:t>
      </w:r>
    </w:p>
    <w:p w:rsidR="00025683" w:rsidRDefault="007C2AAB">
      <w:pPr>
        <w:spacing w:after="155" w:line="259" w:lineRule="auto"/>
        <w:ind w:left="245" w:firstLine="0"/>
        <w:jc w:val="left"/>
      </w:pPr>
      <w:r>
        <w:rPr>
          <w:rFonts w:ascii="Calibri" w:eastAsia="Calibri" w:hAnsi="Calibri" w:cs="Calibri"/>
          <w:noProof/>
        </w:rPr>
        <mc:AlternateContent>
          <mc:Choice Requires="wpg">
            <w:drawing>
              <wp:anchor distT="0" distB="0" distL="114300" distR="114300" simplePos="0" relativeHeight="25197465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3135" name="Group 4231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722" name="Rectangle 4372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3723" name="Rectangle 4372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3724" name="Rectangle 4372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294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3135" style="width:18.7031pt;height:264.21pt;position:absolute;mso-position-horizontal-relative:page;mso-position-horizontal:absolute;margin-left:662.928pt;mso-position-vertical-relative:page;margin-top:507.75pt;" coordsize="2375,33554">
                <v:rect id="Rectangle 4372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372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72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294 de 350 </w:t>
                        </w:r>
                      </w:p>
                    </w:txbxContent>
                  </v:textbox>
                </v:rect>
                <w10:wrap type="square"/>
              </v:group>
            </w:pict>
          </mc:Fallback>
        </mc:AlternateContent>
      </w:r>
      <w:r>
        <w:rPr>
          <w:b/>
        </w:rPr>
        <w:t xml:space="preserve"> </w:t>
      </w:r>
    </w:p>
    <w:p w:rsidR="00025683" w:rsidRDefault="007C2AAB">
      <w:pPr>
        <w:spacing w:after="93"/>
        <w:ind w:left="240" w:right="197"/>
      </w:pPr>
      <w:r>
        <w:rPr>
          <w:b/>
        </w:rPr>
        <w:t xml:space="preserve">Artículo.78. Deber de </w:t>
      </w:r>
      <w:r>
        <w:rPr>
          <w:b/>
        </w:rPr>
        <w:t>colaboración.</w:t>
      </w:r>
      <w:r>
        <w:rPr>
          <w:rFonts w:ascii="Times New Roman" w:eastAsia="Times New Roman" w:hAnsi="Times New Roman" w:cs="Times New Roman"/>
          <w:sz w:val="24"/>
        </w:rPr>
        <w:t xml:space="preserve"> </w:t>
      </w:r>
    </w:p>
    <w:p w:rsidR="00025683" w:rsidRDefault="007C2AAB">
      <w:pPr>
        <w:spacing w:after="98" w:line="353" w:lineRule="auto"/>
        <w:ind w:left="245" w:right="268"/>
      </w:pPr>
      <w:r>
        <w:t>Las personas poseedoras, productoras, gestoras de residuos y titulares o responsables de las viviendas, establecimientos o actividades, así como el resto de contratistas en materia de residuos con el Ayuntamiento deberán permitir y facilitar</w:t>
      </w:r>
      <w:r>
        <w:t xml:space="preserve"> al personal funcionario el ejercicio de sus funciones de inspección y de cualquier operación necesaria para el cumplimiento de su tarea</w:t>
      </w:r>
      <w:r>
        <w:rPr>
          <w:rFonts w:ascii="Times New Roman" w:eastAsia="Times New Roman" w:hAnsi="Times New Roman" w:cs="Times New Roman"/>
          <w:sz w:val="24"/>
        </w:rPr>
        <w:t xml:space="preserve"> </w:t>
      </w:r>
    </w:p>
    <w:p w:rsidR="00025683" w:rsidRDefault="007C2AAB">
      <w:pPr>
        <w:spacing w:after="141" w:line="349" w:lineRule="auto"/>
        <w:ind w:left="245" w:right="266"/>
      </w:pPr>
      <w:r>
        <w:t>Si fuese necesario entrar en el domicilio de la persona afectada o en los restantes lugares que requieran autorización</w:t>
      </w:r>
      <w:r>
        <w:t xml:space="preserve"> de su titular, el órgano competente deberá obtener el consentimiento de aquella persona o, en su defecto, la oportuna autorización judicial.</w:t>
      </w:r>
      <w:r>
        <w:rPr>
          <w:rFonts w:ascii="Times New Roman" w:eastAsia="Times New Roman" w:hAnsi="Times New Roman" w:cs="Times New Roman"/>
          <w:sz w:val="24"/>
        </w:rPr>
        <w:t xml:space="preserve"> </w:t>
      </w:r>
    </w:p>
    <w:p w:rsidR="00025683" w:rsidRDefault="007C2AAB">
      <w:pPr>
        <w:spacing w:after="155" w:line="259" w:lineRule="auto"/>
        <w:ind w:left="245" w:firstLine="0"/>
        <w:jc w:val="left"/>
      </w:pPr>
      <w:r>
        <w:rPr>
          <w:b/>
        </w:rPr>
        <w:t xml:space="preserve"> </w:t>
      </w:r>
    </w:p>
    <w:p w:rsidR="00025683" w:rsidRDefault="007C2AAB">
      <w:pPr>
        <w:spacing w:after="93"/>
        <w:ind w:left="240" w:right="197"/>
      </w:pPr>
      <w:r>
        <w:rPr>
          <w:b/>
        </w:rPr>
        <w:t>Artículo.79. Funciones del personal auxiliar.</w:t>
      </w:r>
      <w:r>
        <w:rPr>
          <w:rFonts w:ascii="Times New Roman" w:eastAsia="Times New Roman" w:hAnsi="Times New Roman" w:cs="Times New Roman"/>
          <w:sz w:val="24"/>
        </w:rPr>
        <w:t xml:space="preserve"> </w:t>
      </w:r>
    </w:p>
    <w:p w:rsidR="00025683" w:rsidRDefault="007C2AAB">
      <w:pPr>
        <w:spacing w:line="349" w:lineRule="auto"/>
        <w:ind w:left="245" w:right="200"/>
      </w:pPr>
      <w:r>
        <w:t>El Ayuntamiento puede designar al personal auxiliar del funciona</w:t>
      </w:r>
      <w:r>
        <w:t>riado municipal de inspección, para el ejercicio de funciones de apoyo, gestión y colaboración, bajo la dirección y supervisión técnica del inspector a cargo de la unidad operativa correspondiente.</w:t>
      </w:r>
      <w:r>
        <w:rPr>
          <w:rFonts w:ascii="Times New Roman" w:eastAsia="Times New Roman" w:hAnsi="Times New Roman" w:cs="Times New Roman"/>
          <w:sz w:val="24"/>
        </w:rPr>
        <w:t xml:space="preserve"> </w:t>
      </w:r>
    </w:p>
    <w:p w:rsidR="00025683" w:rsidRDefault="007C2AAB">
      <w:pPr>
        <w:spacing w:after="232" w:line="259" w:lineRule="auto"/>
        <w:ind w:left="245" w:firstLine="0"/>
        <w:jc w:val="left"/>
      </w:pPr>
      <w:r>
        <w:rPr>
          <w:b/>
        </w:rPr>
        <w:t xml:space="preserve"> </w:t>
      </w:r>
    </w:p>
    <w:p w:rsidR="00025683" w:rsidRDefault="007C2AAB">
      <w:pPr>
        <w:spacing w:after="66"/>
        <w:ind w:left="240" w:right="197"/>
      </w:pPr>
      <w:r>
        <w:rPr>
          <w:b/>
        </w:rPr>
        <w:t>TÍTULO IV. Infracciones y sanciones</w:t>
      </w:r>
      <w:r>
        <w:rPr>
          <w:rFonts w:ascii="Times New Roman" w:eastAsia="Times New Roman" w:hAnsi="Times New Roman" w:cs="Times New Roman"/>
          <w:sz w:val="24"/>
        </w:rPr>
        <w:t xml:space="preserve"> </w:t>
      </w:r>
    </w:p>
    <w:p w:rsidR="00025683" w:rsidRDefault="007C2AAB">
      <w:pPr>
        <w:spacing w:after="234" w:line="259" w:lineRule="auto"/>
        <w:ind w:left="245" w:firstLine="0"/>
        <w:jc w:val="left"/>
      </w:pPr>
      <w:r>
        <w:rPr>
          <w:b/>
        </w:rPr>
        <w:t xml:space="preserve"> </w:t>
      </w:r>
    </w:p>
    <w:p w:rsidR="00025683" w:rsidRDefault="007C2AAB">
      <w:pPr>
        <w:spacing w:after="64"/>
        <w:ind w:left="240" w:right="197"/>
      </w:pPr>
      <w:r>
        <w:rPr>
          <w:b/>
        </w:rPr>
        <w:t>Capítulo I. Norm</w:t>
      </w:r>
      <w:r>
        <w:rPr>
          <w:b/>
        </w:rPr>
        <w:t>as comunes a las infracciones y sanciones</w:t>
      </w:r>
      <w:r>
        <w:rPr>
          <w:rFonts w:ascii="Times New Roman" w:eastAsia="Times New Roman" w:hAnsi="Times New Roman" w:cs="Times New Roman"/>
          <w:sz w:val="24"/>
        </w:rPr>
        <w:t xml:space="preserve"> </w:t>
      </w:r>
    </w:p>
    <w:p w:rsidR="00025683" w:rsidRDefault="007C2AAB">
      <w:pPr>
        <w:spacing w:after="114" w:line="259" w:lineRule="auto"/>
        <w:ind w:left="245" w:firstLine="0"/>
        <w:jc w:val="left"/>
      </w:pPr>
      <w:r>
        <w:rPr>
          <w:b/>
        </w:rPr>
        <w:t xml:space="preserve"> </w:t>
      </w:r>
    </w:p>
    <w:p w:rsidR="00025683" w:rsidRDefault="007C2AAB">
      <w:pPr>
        <w:spacing w:after="168"/>
        <w:ind w:left="240" w:right="197"/>
      </w:pPr>
      <w:r>
        <w:rPr>
          <w:b/>
        </w:rPr>
        <w:t>Artículo. 80. Normas generales.</w:t>
      </w:r>
      <w:r>
        <w:rPr>
          <w:rFonts w:ascii="Times New Roman" w:eastAsia="Times New Roman" w:hAnsi="Times New Roman" w:cs="Times New Roman"/>
          <w:sz w:val="24"/>
        </w:rPr>
        <w:t xml:space="preserve"> </w:t>
      </w:r>
    </w:p>
    <w:p w:rsidR="00025683" w:rsidRDefault="007C2AAB">
      <w:pPr>
        <w:numPr>
          <w:ilvl w:val="0"/>
          <w:numId w:val="146"/>
        </w:numPr>
        <w:spacing w:after="169" w:line="358" w:lineRule="auto"/>
        <w:ind w:right="278"/>
      </w:pPr>
      <w:r>
        <w:t>El presente título tiene por objeto tipificar las infracciones y sanciones por el incumplimiento de deberes, prohibiciones o limitaciones contenidos en el Articulado de esta o</w:t>
      </w:r>
      <w:r>
        <w:t>rdenanza, de acuerdo con los criterios establecidos en el título XI de la Ley 7/1985, de 2 de abril (RCL 1985, 799, 1372) , Reguladora de las Bases del Régimen Local.</w:t>
      </w:r>
      <w:r>
        <w:rPr>
          <w:rFonts w:ascii="Times New Roman" w:eastAsia="Times New Roman" w:hAnsi="Times New Roman" w:cs="Times New Roman"/>
          <w:sz w:val="24"/>
        </w:rPr>
        <w:t xml:space="preserve"> </w:t>
      </w:r>
    </w:p>
    <w:p w:rsidR="00025683" w:rsidRDefault="007C2AAB">
      <w:pPr>
        <w:numPr>
          <w:ilvl w:val="0"/>
          <w:numId w:val="146"/>
        </w:numPr>
        <w:spacing w:after="130" w:line="358" w:lineRule="auto"/>
        <w:ind w:right="278"/>
      </w:pPr>
      <w:r>
        <w:t>Las conductas tipificadas como infracción por la legislación sobre residuos y suelos con</w:t>
      </w:r>
      <w:r>
        <w:t>taminados, sobre protección de los animales de compañía o sobre prohibición de grafitis y pintadas en los espacios públicos, y ordenanza municipal de convivencia, se sancionarán conforme a lo previsto en dicha legislación sectorial, con especial referencia</w:t>
      </w:r>
      <w:r>
        <w:t xml:space="preserve"> a la especificación de conductas que se realiza en la presente Ordenanza.</w:t>
      </w:r>
      <w:r>
        <w:rPr>
          <w:rFonts w:ascii="Times New Roman" w:eastAsia="Times New Roman" w:hAnsi="Times New Roman" w:cs="Times New Roman"/>
          <w:sz w:val="24"/>
        </w:rPr>
        <w:t xml:space="preserve"> </w:t>
      </w:r>
    </w:p>
    <w:p w:rsidR="00025683" w:rsidRDefault="007C2AAB">
      <w:pPr>
        <w:spacing w:after="155" w:line="259" w:lineRule="auto"/>
        <w:ind w:left="245" w:firstLine="0"/>
        <w:jc w:val="left"/>
      </w:pPr>
      <w:r>
        <w:rPr>
          <w:rFonts w:ascii="Calibri" w:eastAsia="Calibri" w:hAnsi="Calibri" w:cs="Calibri"/>
          <w:noProof/>
        </w:rPr>
        <mc:AlternateContent>
          <mc:Choice Requires="wpg">
            <w:drawing>
              <wp:anchor distT="0" distB="0" distL="114300" distR="114300" simplePos="0" relativeHeight="25197568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3220" name="Group 4232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3951" name="Rectangle 4395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3952" name="Rectangle 4395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3953" name="Rectangle 4395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w:t>
                              </w:r>
                              <w:r>
                                <w:rPr>
                                  <w:sz w:val="12"/>
                                </w:rPr>
                                <w:t xml:space="preserve">Página 295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3220" style="width:18.7031pt;height:264.21pt;position:absolute;mso-position-horizontal-relative:page;mso-position-horizontal:absolute;margin-left:662.928pt;mso-position-vertical-relative:page;margin-top:507.75pt;" coordsize="2375,33554">
                <v:rect id="Rectangle 4395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395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395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295 de 350 </w:t>
                        </w:r>
                      </w:p>
                    </w:txbxContent>
                  </v:textbox>
                </v:rect>
                <w10:wrap type="square"/>
              </v:group>
            </w:pict>
          </mc:Fallback>
        </mc:AlternateContent>
      </w:r>
      <w:r>
        <w:rPr>
          <w:b/>
        </w:rPr>
        <w:t xml:space="preserve"> </w:t>
      </w:r>
    </w:p>
    <w:p w:rsidR="00025683" w:rsidRDefault="007C2AAB">
      <w:pPr>
        <w:spacing w:after="170"/>
        <w:ind w:left="240" w:right="197"/>
      </w:pPr>
      <w:r>
        <w:rPr>
          <w:b/>
        </w:rPr>
        <w:t>Artículo. 81.  Personas responsables</w:t>
      </w:r>
      <w:r>
        <w:rPr>
          <w:rFonts w:ascii="Times New Roman" w:eastAsia="Times New Roman" w:hAnsi="Times New Roman" w:cs="Times New Roman"/>
          <w:sz w:val="24"/>
        </w:rPr>
        <w:t xml:space="preserve"> </w:t>
      </w:r>
    </w:p>
    <w:p w:rsidR="00025683" w:rsidRDefault="007C2AAB">
      <w:pPr>
        <w:numPr>
          <w:ilvl w:val="0"/>
          <w:numId w:val="147"/>
        </w:numPr>
        <w:spacing w:after="170" w:line="358" w:lineRule="auto"/>
        <w:ind w:right="264"/>
      </w:pPr>
      <w:r>
        <w:t>Serán personas responsables de las infracciones las personas que realicen las acciones u omisiones tipificadas en la presente ordenanza, si este fuera menor de 18 años responderán del pago de las m</w:t>
      </w:r>
      <w:r>
        <w:t>ultas por las infracciones de las que las personas menores de dicha edad se consideren responsables, sus progenitores y personas responsables del cuidado infantil.</w:t>
      </w:r>
      <w:r>
        <w:rPr>
          <w:rFonts w:ascii="Times New Roman" w:eastAsia="Times New Roman" w:hAnsi="Times New Roman" w:cs="Times New Roman"/>
          <w:sz w:val="24"/>
        </w:rPr>
        <w:t xml:space="preserve"> </w:t>
      </w:r>
    </w:p>
    <w:p w:rsidR="00025683" w:rsidRDefault="007C2AAB">
      <w:pPr>
        <w:numPr>
          <w:ilvl w:val="0"/>
          <w:numId w:val="147"/>
        </w:numPr>
        <w:spacing w:after="182" w:line="375" w:lineRule="auto"/>
        <w:ind w:right="264"/>
      </w:pPr>
      <w:r>
        <w:t xml:space="preserve">A los efectos establecidos en esta ordenanza, los residuos tendrán siempre una persona titular responsable. </w:t>
      </w:r>
    </w:p>
    <w:p w:rsidR="00025683" w:rsidRDefault="007C2AAB">
      <w:pPr>
        <w:numPr>
          <w:ilvl w:val="0"/>
          <w:numId w:val="147"/>
        </w:numPr>
        <w:spacing w:after="191" w:line="367" w:lineRule="auto"/>
        <w:ind w:right="264"/>
      </w:pPr>
      <w:r>
        <w:t>Cuando se trate de obligaciones colectivas tales como uso, conservación y limpieza de recipientes normalizados o limpieza de zonas comunes la respo</w:t>
      </w:r>
      <w:r>
        <w:t xml:space="preserve">nsabilidad estará atribuida a la respectiva vecindad o habitantes del inmueble cuando aquella no esté constituida. </w:t>
      </w:r>
    </w:p>
    <w:p w:rsidR="00025683" w:rsidRDefault="007C2AAB">
      <w:pPr>
        <w:numPr>
          <w:ilvl w:val="0"/>
          <w:numId w:val="147"/>
        </w:numPr>
        <w:spacing w:after="171" w:line="357" w:lineRule="auto"/>
        <w:ind w:right="264"/>
      </w:pPr>
      <w:r>
        <w:t>A la hora de determinar la responsabilidad por la comisión de infracciones tipificadas en la presente ordenanza se tendrán en cuenta aquello</w:t>
      </w:r>
      <w:r>
        <w:t>s elementos identificativos encontrados en los residuos.</w:t>
      </w:r>
      <w:r>
        <w:rPr>
          <w:rFonts w:ascii="Times New Roman" w:eastAsia="Times New Roman" w:hAnsi="Times New Roman" w:cs="Times New Roman"/>
          <w:sz w:val="24"/>
        </w:rPr>
        <w:t xml:space="preserve"> </w:t>
      </w:r>
    </w:p>
    <w:p w:rsidR="00025683" w:rsidRDefault="007C2AAB">
      <w:pPr>
        <w:numPr>
          <w:ilvl w:val="0"/>
          <w:numId w:val="147"/>
        </w:numPr>
        <w:spacing w:line="355" w:lineRule="auto"/>
        <w:ind w:right="264"/>
      </w:pPr>
      <w:r>
        <w:t>Tendrá la consideración de infracción tipificada en la presente ordenanza a los efectos de la aplicación de la sanción correspondiente cada infracción separada en el tiempo o el espacio.</w:t>
      </w:r>
      <w:r>
        <w:rPr>
          <w:rFonts w:ascii="Times New Roman" w:eastAsia="Times New Roman" w:hAnsi="Times New Roman" w:cs="Times New Roman"/>
          <w:sz w:val="24"/>
        </w:rPr>
        <w:t xml:space="preserve"> </w:t>
      </w:r>
    </w:p>
    <w:p w:rsidR="00025683" w:rsidRDefault="007C2AAB">
      <w:pPr>
        <w:spacing w:after="157" w:line="259" w:lineRule="auto"/>
        <w:ind w:left="245" w:firstLine="0"/>
        <w:jc w:val="left"/>
      </w:pPr>
      <w:r>
        <w:rPr>
          <w:b/>
        </w:rPr>
        <w:t xml:space="preserve"> </w:t>
      </w:r>
    </w:p>
    <w:p w:rsidR="00025683" w:rsidRDefault="007C2AAB">
      <w:pPr>
        <w:spacing w:after="170"/>
        <w:ind w:left="240" w:right="197"/>
      </w:pPr>
      <w:r>
        <w:rPr>
          <w:b/>
        </w:rPr>
        <w:t>Artículo</w:t>
      </w:r>
      <w:r>
        <w:rPr>
          <w:b/>
        </w:rPr>
        <w:t>. 82.  Responsabilidad por los daños causados.</w:t>
      </w:r>
      <w:r>
        <w:rPr>
          <w:rFonts w:ascii="Times New Roman" w:eastAsia="Times New Roman" w:hAnsi="Times New Roman" w:cs="Times New Roman"/>
          <w:sz w:val="24"/>
        </w:rPr>
        <w:t xml:space="preserve"> </w:t>
      </w:r>
    </w:p>
    <w:p w:rsidR="00025683" w:rsidRDefault="007C2AAB">
      <w:pPr>
        <w:numPr>
          <w:ilvl w:val="0"/>
          <w:numId w:val="148"/>
        </w:numPr>
        <w:spacing w:after="169" w:line="358" w:lineRule="auto"/>
        <w:ind w:right="269"/>
      </w:pPr>
      <w:r>
        <w:t>Con independencia de la sanción económica que se pueda imponer mediante el oportuno procedimiento administrativo sancionador contra aquellas personas que incumplan lo preceptuado en esta ordenanza, la autorid</w:t>
      </w:r>
      <w:r>
        <w:t>ad municipal exigirá, en su caso, al causante del deterioro o infractor la reparación de los daños causados. Todo ello sin perjuicio de la obligación de la persona infractora de indemnizar por los daños causados que podrán ser determinados por el órgano mu</w:t>
      </w:r>
      <w:r>
        <w:t>nicipal competente previa instrucción del oportuno expediente</w:t>
      </w:r>
      <w:r>
        <w:rPr>
          <w:rFonts w:ascii="Times New Roman" w:eastAsia="Times New Roman" w:hAnsi="Times New Roman" w:cs="Times New Roman"/>
          <w:sz w:val="24"/>
        </w:rPr>
        <w:t xml:space="preserve"> </w:t>
      </w:r>
    </w:p>
    <w:p w:rsidR="00025683" w:rsidRDefault="007C2AAB">
      <w:pPr>
        <w:numPr>
          <w:ilvl w:val="0"/>
          <w:numId w:val="148"/>
        </w:numPr>
        <w:spacing w:after="168" w:line="358" w:lineRule="auto"/>
        <w:ind w:right="269"/>
      </w:pPr>
      <w:r>
        <w:t>El Ayuntamiento podrá realizar subsidiariamente los trabajos que, según la ordenanza, deba efectuar la persona responsable de la infracción, imputándole el coste de los servicios prestados, sin</w:t>
      </w:r>
      <w:r>
        <w:t xml:space="preserve"> perjuicio de las sanciones que correspondan. En el caso de menores de edad o personas tuteladas legalmente responderán los progenitores o quienes ostenten su patria potestad o tutela, sin perjuicio de las sanciones que, en su caso, procedan.</w:t>
      </w:r>
      <w:r>
        <w:rPr>
          <w:rFonts w:ascii="Times New Roman" w:eastAsia="Times New Roman" w:hAnsi="Times New Roman" w:cs="Times New Roman"/>
          <w:sz w:val="24"/>
        </w:rPr>
        <w:t xml:space="preserve"> </w:t>
      </w:r>
    </w:p>
    <w:p w:rsidR="00025683" w:rsidRDefault="007C2AAB">
      <w:pPr>
        <w:numPr>
          <w:ilvl w:val="0"/>
          <w:numId w:val="148"/>
        </w:numPr>
        <w:spacing w:after="169" w:line="359" w:lineRule="auto"/>
        <w:ind w:right="269"/>
      </w:pPr>
      <w:r>
        <w:rPr>
          <w:rFonts w:ascii="Calibri" w:eastAsia="Calibri" w:hAnsi="Calibri" w:cs="Calibri"/>
          <w:noProof/>
        </w:rPr>
        <mc:AlternateContent>
          <mc:Choice Requires="wpg">
            <w:drawing>
              <wp:anchor distT="0" distB="0" distL="114300" distR="114300" simplePos="0" relativeHeight="25197670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3999" name="Group 4239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229" name="Rectangle 4422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w:t>
                              </w:r>
                              <w:r>
                                <w:rPr>
                                  <w:sz w:val="12"/>
                                </w:rPr>
                                <w:t xml:space="preserve">dación: 3J3KYNW3CJM74AZ6SEHNT4KKY </w:t>
                              </w:r>
                            </w:p>
                          </w:txbxContent>
                        </wps:txbx>
                        <wps:bodyPr horzOverflow="overflow" vert="horz" lIns="0" tIns="0" rIns="0" bIns="0" rtlCol="0">
                          <a:noAutofit/>
                        </wps:bodyPr>
                      </wps:wsp>
                      <wps:wsp>
                        <wps:cNvPr id="44230" name="Rectangle 4423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4231" name="Rectangle 4423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296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3999" style="width:18.7031pt;height:264.21pt;position:absolute;mso-position-horizontal-relative:page;mso-position-horizontal:absolute;margin-left:662.928pt;mso-position-vertical-relative:page;margin-top:507.75pt;" coordsize="2375,33554">
                <v:rect id="Rectangle 4422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423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23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296 de 350 </w:t>
                        </w:r>
                      </w:p>
                    </w:txbxContent>
                  </v:textbox>
                </v:rect>
                <w10:wrap type="square"/>
              </v:group>
            </w:pict>
          </mc:Fallback>
        </mc:AlternateContent>
      </w:r>
      <w:r>
        <w:t xml:space="preserve">Quienes tengan responsabilidad están obligados a la restitución de los bienes a su estado original o a la imputación del coste de la eliminación de las pintadas, reparación o sustitución del bien si fuese necesario. En el supuesto de menores de edad serán </w:t>
      </w:r>
      <w:r>
        <w:t>responsables quienes ostenten su patria potestad o tutela. Podrá preverse con carácter accesorio el decomiso y, en su caso, la destrucción del material usado en la realización de pintadas, grafitis e inscripciones.</w:t>
      </w:r>
      <w:r>
        <w:rPr>
          <w:rFonts w:ascii="Times New Roman" w:eastAsia="Times New Roman" w:hAnsi="Times New Roman" w:cs="Times New Roman"/>
          <w:sz w:val="24"/>
        </w:rPr>
        <w:t xml:space="preserve"> </w:t>
      </w:r>
    </w:p>
    <w:p w:rsidR="00025683" w:rsidRDefault="007C2AAB">
      <w:pPr>
        <w:numPr>
          <w:ilvl w:val="0"/>
          <w:numId w:val="148"/>
        </w:numPr>
        <w:spacing w:after="133" w:line="357" w:lineRule="auto"/>
        <w:ind w:right="269"/>
      </w:pPr>
      <w:r>
        <w:t xml:space="preserve">El coste del servicio correspondiente a </w:t>
      </w:r>
      <w:r>
        <w:t>la limpieza de vías y espacios públicos que resulte necesaria debido a las acciones contrarias a lo dispuesto en esta ordenanza será imputado a las personas responsables de dichos actos, sin perjuicio de las sanciones que pudieran imponerse.</w:t>
      </w:r>
      <w:r>
        <w:rPr>
          <w:rFonts w:ascii="Times New Roman" w:eastAsia="Times New Roman" w:hAnsi="Times New Roman" w:cs="Times New Roman"/>
          <w:sz w:val="24"/>
        </w:rPr>
        <w:t xml:space="preserve"> </w:t>
      </w:r>
    </w:p>
    <w:p w:rsidR="00025683" w:rsidRDefault="007C2AAB">
      <w:pPr>
        <w:spacing w:after="155" w:line="259" w:lineRule="auto"/>
        <w:ind w:left="245" w:firstLine="0"/>
        <w:jc w:val="left"/>
      </w:pPr>
      <w:r>
        <w:rPr>
          <w:b/>
        </w:rPr>
        <w:t xml:space="preserve"> </w:t>
      </w:r>
    </w:p>
    <w:p w:rsidR="00025683" w:rsidRDefault="007C2AAB">
      <w:pPr>
        <w:spacing w:after="170"/>
        <w:ind w:left="240" w:right="197"/>
      </w:pPr>
      <w:r>
        <w:rPr>
          <w:b/>
        </w:rPr>
        <w:t>Artículo. 8</w:t>
      </w:r>
      <w:r>
        <w:rPr>
          <w:b/>
        </w:rPr>
        <w:t>3.  Infracciones administrativas y su clasificación.</w:t>
      </w:r>
      <w:r>
        <w:rPr>
          <w:rFonts w:ascii="Times New Roman" w:eastAsia="Times New Roman" w:hAnsi="Times New Roman" w:cs="Times New Roman"/>
          <w:sz w:val="24"/>
        </w:rPr>
        <w:t xml:space="preserve"> </w:t>
      </w:r>
    </w:p>
    <w:p w:rsidR="00025683" w:rsidRDefault="007C2AAB">
      <w:pPr>
        <w:numPr>
          <w:ilvl w:val="0"/>
          <w:numId w:val="149"/>
        </w:numPr>
        <w:spacing w:after="182" w:line="375" w:lineRule="auto"/>
        <w:ind w:right="200"/>
      </w:pPr>
      <w:r>
        <w:t xml:space="preserve">Tendrán la consideración de infracciones administrativas las acciones u omisiones que contravengan lo dispuesto en la presente ordenanza </w:t>
      </w:r>
    </w:p>
    <w:p w:rsidR="00025683" w:rsidRDefault="007C2AAB">
      <w:pPr>
        <w:numPr>
          <w:ilvl w:val="0"/>
          <w:numId w:val="149"/>
        </w:numPr>
        <w:spacing w:after="135" w:line="354" w:lineRule="auto"/>
        <w:ind w:right="200"/>
      </w:pPr>
      <w:r>
        <w:t xml:space="preserve">Las infracciones administrativas se clasifican en leves, graves </w:t>
      </w:r>
      <w:r>
        <w:t>y muy graves de conformidad con lo dispuesto en los siguientes Artículos.</w:t>
      </w:r>
      <w:r>
        <w:rPr>
          <w:rFonts w:ascii="Times New Roman" w:eastAsia="Times New Roman" w:hAnsi="Times New Roman" w:cs="Times New Roman"/>
          <w:sz w:val="24"/>
        </w:rPr>
        <w:t xml:space="preserve"> </w:t>
      </w:r>
    </w:p>
    <w:p w:rsidR="00025683" w:rsidRDefault="007C2AAB">
      <w:pPr>
        <w:spacing w:after="157" w:line="259" w:lineRule="auto"/>
        <w:ind w:left="245" w:firstLine="0"/>
        <w:jc w:val="left"/>
      </w:pPr>
      <w:r>
        <w:rPr>
          <w:b/>
        </w:rPr>
        <w:t xml:space="preserve"> </w:t>
      </w:r>
    </w:p>
    <w:p w:rsidR="00025683" w:rsidRDefault="007C2AAB">
      <w:pPr>
        <w:spacing w:after="170"/>
        <w:ind w:left="240" w:right="197"/>
      </w:pPr>
      <w:r>
        <w:rPr>
          <w:b/>
        </w:rPr>
        <w:t>Artículo. 84.  Prescripción de infracciones y sanciones</w:t>
      </w:r>
      <w:r>
        <w:t>.</w:t>
      </w:r>
      <w:r>
        <w:rPr>
          <w:rFonts w:ascii="Times New Roman" w:eastAsia="Times New Roman" w:hAnsi="Times New Roman" w:cs="Times New Roman"/>
          <w:sz w:val="24"/>
        </w:rPr>
        <w:t xml:space="preserve"> </w:t>
      </w:r>
    </w:p>
    <w:p w:rsidR="00025683" w:rsidRDefault="007C2AAB">
      <w:pPr>
        <w:numPr>
          <w:ilvl w:val="0"/>
          <w:numId w:val="150"/>
        </w:numPr>
        <w:spacing w:after="369"/>
        <w:ind w:right="200"/>
      </w:pPr>
      <w:r>
        <w:t xml:space="preserve">Con carácter general, las infracciones reguladas en esta ordenanza prescribirán a los tres </w:t>
      </w:r>
      <w:r>
        <w:t xml:space="preserve">años las muy graves, a los dos años las graves y a los seis meses las leves </w:t>
      </w:r>
    </w:p>
    <w:p w:rsidR="00025683" w:rsidRDefault="007C2AAB">
      <w:pPr>
        <w:numPr>
          <w:ilvl w:val="0"/>
          <w:numId w:val="150"/>
        </w:numPr>
        <w:spacing w:after="174" w:line="354" w:lineRule="auto"/>
        <w:ind w:right="200"/>
      </w:pPr>
      <w:r>
        <w:t>Las sanciones impuestas por faltas muy graves prescribirán a los tres años, las graves a los dos años y las leves al año.</w:t>
      </w:r>
      <w:r>
        <w:rPr>
          <w:rFonts w:ascii="Times New Roman" w:eastAsia="Times New Roman" w:hAnsi="Times New Roman" w:cs="Times New Roman"/>
          <w:sz w:val="24"/>
        </w:rPr>
        <w:t xml:space="preserve"> </w:t>
      </w:r>
    </w:p>
    <w:p w:rsidR="00025683" w:rsidRDefault="007C2AAB">
      <w:pPr>
        <w:numPr>
          <w:ilvl w:val="0"/>
          <w:numId w:val="150"/>
        </w:numPr>
        <w:spacing w:line="358" w:lineRule="auto"/>
        <w:ind w:right="200"/>
      </w:pPr>
      <w:r>
        <w:t>El plazo de prescripción de las infracciones comenzará a contarse desde el día en que la infracción se hubiera cometido y el de las sanciones desde el día siguiente a aquel en que sea ejecutable la resolución por la que se impone la sanción o haya transcur</w:t>
      </w:r>
      <w:r>
        <w:t>rido el plazo para recurrirla.</w:t>
      </w:r>
      <w:r>
        <w:rPr>
          <w:rFonts w:ascii="Times New Roman" w:eastAsia="Times New Roman" w:hAnsi="Times New Roman" w:cs="Times New Roman"/>
          <w:sz w:val="24"/>
        </w:rPr>
        <w:t xml:space="preserve"> </w:t>
      </w:r>
    </w:p>
    <w:p w:rsidR="00025683" w:rsidRDefault="007C2AAB">
      <w:pPr>
        <w:spacing w:after="153" w:line="259" w:lineRule="auto"/>
        <w:ind w:left="245" w:firstLine="0"/>
        <w:jc w:val="left"/>
      </w:pPr>
      <w:r>
        <w:t xml:space="preserve"> </w:t>
      </w:r>
    </w:p>
    <w:p w:rsidR="00025683" w:rsidRDefault="007C2AAB">
      <w:pPr>
        <w:spacing w:after="109" w:line="259" w:lineRule="auto"/>
        <w:ind w:left="245" w:firstLine="0"/>
        <w:jc w:val="left"/>
      </w:pPr>
      <w:r>
        <w:t xml:space="preserve"> </w:t>
      </w:r>
    </w:p>
    <w:p w:rsidR="00025683" w:rsidRDefault="007C2AAB">
      <w:pPr>
        <w:spacing w:after="93"/>
        <w:ind w:left="240" w:right="197"/>
      </w:pPr>
      <w:r>
        <w:rPr>
          <w:b/>
        </w:rPr>
        <w:t>Artículo. 83. Régimen aplicable a las infracciones y sanciones.</w:t>
      </w:r>
      <w:r>
        <w:rPr>
          <w:rFonts w:ascii="Times New Roman" w:eastAsia="Times New Roman" w:hAnsi="Times New Roman" w:cs="Times New Roman"/>
          <w:sz w:val="24"/>
        </w:rPr>
        <w:t xml:space="preserve"> </w:t>
      </w:r>
    </w:p>
    <w:p w:rsidR="00025683" w:rsidRDefault="007C2AAB">
      <w:pPr>
        <w:spacing w:after="224" w:line="352" w:lineRule="auto"/>
        <w:ind w:left="245"/>
      </w:pPr>
      <w:r>
        <w:t>Las infracciones cometidas contra lo dispuesto en esta ordenanza estarán sometidas al régimen sancionador regulado en la LPAC (RCL 2015, 1477) , en la LRJS</w:t>
      </w:r>
      <w:r>
        <w:t>P (RCL 2015, 1478, 2076), así como en la Ley 7/1985, de 2 de abril (RCL 1985, 799, 1372) , Reguladora de las Bases de Régimen Local</w:t>
      </w:r>
      <w:r>
        <w:rPr>
          <w:rFonts w:ascii="Times New Roman" w:eastAsia="Times New Roman" w:hAnsi="Times New Roman" w:cs="Times New Roman"/>
          <w:sz w:val="24"/>
        </w:rPr>
        <w:t xml:space="preserve"> </w:t>
      </w:r>
    </w:p>
    <w:p w:rsidR="00025683" w:rsidRDefault="007C2AAB">
      <w:pPr>
        <w:spacing w:after="68"/>
        <w:ind w:left="240" w:right="197"/>
      </w:pPr>
      <w:r>
        <w:rPr>
          <w:b/>
        </w:rPr>
        <w:t>Capítulo II. Infracciones.</w:t>
      </w:r>
      <w:r>
        <w:rPr>
          <w:rFonts w:ascii="Times New Roman" w:eastAsia="Times New Roman" w:hAnsi="Times New Roman" w:cs="Times New Roman"/>
          <w:sz w:val="24"/>
        </w:rPr>
        <w:t xml:space="preserve"> </w:t>
      </w:r>
    </w:p>
    <w:p w:rsidR="00025683" w:rsidRDefault="007C2AAB">
      <w:pPr>
        <w:spacing w:after="112" w:line="259" w:lineRule="auto"/>
        <w:ind w:left="245" w:firstLine="0"/>
        <w:jc w:val="left"/>
      </w:pPr>
      <w:r>
        <w:rPr>
          <w:rFonts w:ascii="Calibri" w:eastAsia="Calibri" w:hAnsi="Calibri" w:cs="Calibri"/>
          <w:noProof/>
        </w:rPr>
        <mc:AlternateContent>
          <mc:Choice Requires="wpg">
            <w:drawing>
              <wp:anchor distT="0" distB="0" distL="114300" distR="114300" simplePos="0" relativeHeight="25197772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3548" name="Group 4235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506" name="Rectangle 4450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4507" name="Rectangle 4450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4508" name="Rectangle 4450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297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3548" style="width:18.7031pt;height:264.21pt;position:absolute;mso-position-horizontal-relative:page;mso-position-horizontal:absolute;margin-left:662.928pt;mso-position-vertical-relative:page;margin-top:507.75pt;" coordsize="2375,33554">
                <v:rect id="Rectangle 4450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450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50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297 de 350 </w:t>
                        </w:r>
                      </w:p>
                    </w:txbxContent>
                  </v:textbox>
                </v:rect>
                <w10:wrap type="square"/>
              </v:group>
            </w:pict>
          </mc:Fallback>
        </mc:AlternateContent>
      </w:r>
      <w:r>
        <w:rPr>
          <w:b/>
        </w:rPr>
        <w:t xml:space="preserve"> </w:t>
      </w:r>
    </w:p>
    <w:p w:rsidR="00025683" w:rsidRDefault="007C2AAB">
      <w:pPr>
        <w:spacing w:after="168"/>
        <w:ind w:left="240" w:right="197"/>
      </w:pPr>
      <w:r>
        <w:rPr>
          <w:b/>
        </w:rPr>
        <w:t>Artículo. 85. Clasificación de las infracciones.</w:t>
      </w:r>
      <w:r>
        <w:rPr>
          <w:rFonts w:ascii="Times New Roman" w:eastAsia="Times New Roman" w:hAnsi="Times New Roman" w:cs="Times New Roman"/>
          <w:sz w:val="24"/>
        </w:rPr>
        <w:t xml:space="preserve"> </w:t>
      </w:r>
    </w:p>
    <w:p w:rsidR="00025683" w:rsidRDefault="007C2AAB">
      <w:pPr>
        <w:numPr>
          <w:ilvl w:val="0"/>
          <w:numId w:val="151"/>
        </w:numPr>
        <w:spacing w:after="180" w:line="377" w:lineRule="auto"/>
        <w:ind w:right="200"/>
      </w:pPr>
      <w:r>
        <w:t xml:space="preserve">Es infracción muy grave incumplir las obligaciones en </w:t>
      </w:r>
      <w:r>
        <w:t xml:space="preserve">relación con los actos públicos regulados en esta ordenanza </w:t>
      </w:r>
    </w:p>
    <w:p w:rsidR="00025683" w:rsidRDefault="007C2AAB">
      <w:pPr>
        <w:numPr>
          <w:ilvl w:val="0"/>
          <w:numId w:val="151"/>
        </w:numPr>
        <w:ind w:right="200"/>
      </w:pPr>
      <w:r>
        <w:t>Infracciones graves:</w:t>
      </w:r>
      <w:r>
        <w:rPr>
          <w:rFonts w:ascii="Times New Roman" w:eastAsia="Times New Roman" w:hAnsi="Times New Roman" w:cs="Times New Roman"/>
          <w:sz w:val="24"/>
        </w:rPr>
        <w:t xml:space="preserve"> </w:t>
      </w:r>
    </w:p>
    <w:p w:rsidR="00025683" w:rsidRDefault="007C2AAB">
      <w:pPr>
        <w:spacing w:after="138" w:line="259" w:lineRule="auto"/>
        <w:ind w:left="245" w:firstLine="0"/>
        <w:jc w:val="left"/>
      </w:pPr>
      <w:r>
        <w:t xml:space="preserve"> </w:t>
      </w:r>
    </w:p>
    <w:p w:rsidR="00025683" w:rsidRDefault="007C2AAB">
      <w:pPr>
        <w:numPr>
          <w:ilvl w:val="2"/>
          <w:numId w:val="152"/>
        </w:numPr>
        <w:spacing w:line="357" w:lineRule="auto"/>
        <w:ind w:right="200" w:hanging="360"/>
      </w:pPr>
      <w:r>
        <w:t>Ensuciar el espacio público como consecuencia del estado, mantenimiento o limpieza de cualquier tipo de vehículo o maquinaria.</w:t>
      </w:r>
      <w:r>
        <w:rPr>
          <w:rFonts w:ascii="Times New Roman" w:eastAsia="Times New Roman" w:hAnsi="Times New Roman" w:cs="Times New Roman"/>
          <w:sz w:val="24"/>
        </w:rPr>
        <w:t xml:space="preserve"> </w:t>
      </w:r>
    </w:p>
    <w:p w:rsidR="00025683" w:rsidRDefault="007C2AAB">
      <w:pPr>
        <w:numPr>
          <w:ilvl w:val="2"/>
          <w:numId w:val="152"/>
        </w:numPr>
        <w:spacing w:line="354" w:lineRule="auto"/>
        <w:ind w:right="200" w:hanging="360"/>
      </w:pPr>
      <w:r>
        <w:t>Realizar obras o almacenar cualquier tipo d</w:t>
      </w:r>
      <w:r>
        <w:t>e material de construcción produciendo suciedad en los espacios públicos.</w:t>
      </w:r>
      <w:r>
        <w:rPr>
          <w:rFonts w:ascii="Times New Roman" w:eastAsia="Times New Roman" w:hAnsi="Times New Roman" w:cs="Times New Roman"/>
          <w:sz w:val="24"/>
        </w:rPr>
        <w:t xml:space="preserve"> </w:t>
      </w:r>
    </w:p>
    <w:p w:rsidR="00025683" w:rsidRDefault="007C2AAB">
      <w:pPr>
        <w:numPr>
          <w:ilvl w:val="2"/>
          <w:numId w:val="152"/>
        </w:numPr>
        <w:spacing w:after="162"/>
        <w:ind w:right="200" w:hanging="360"/>
      </w:pPr>
      <w:r>
        <w:t>Realizar tareas de carga y descarga incumpliendo lo dispuesto en esta ordenanza.</w:t>
      </w:r>
      <w:r>
        <w:rPr>
          <w:rFonts w:ascii="Times New Roman" w:eastAsia="Times New Roman" w:hAnsi="Times New Roman" w:cs="Times New Roman"/>
          <w:sz w:val="24"/>
        </w:rPr>
        <w:t xml:space="preserve"> </w:t>
      </w:r>
    </w:p>
    <w:p w:rsidR="00025683" w:rsidRDefault="007C2AAB">
      <w:pPr>
        <w:numPr>
          <w:ilvl w:val="2"/>
          <w:numId w:val="152"/>
        </w:numPr>
        <w:spacing w:after="149"/>
        <w:ind w:right="200" w:hanging="360"/>
      </w:pPr>
      <w:r>
        <w:t>Dar de comer a animales generando suciedad.</w:t>
      </w:r>
      <w:r>
        <w:rPr>
          <w:rFonts w:ascii="Times New Roman" w:eastAsia="Times New Roman" w:hAnsi="Times New Roman" w:cs="Times New Roman"/>
          <w:sz w:val="24"/>
        </w:rPr>
        <w:t xml:space="preserve"> </w:t>
      </w:r>
    </w:p>
    <w:p w:rsidR="00025683" w:rsidRDefault="007C2AAB">
      <w:pPr>
        <w:numPr>
          <w:ilvl w:val="2"/>
          <w:numId w:val="152"/>
        </w:numPr>
        <w:spacing w:after="224" w:line="357" w:lineRule="auto"/>
        <w:ind w:right="200" w:hanging="360"/>
      </w:pPr>
      <w:r>
        <w:t xml:space="preserve">No proceder a la retirada de contenedores o sacos </w:t>
      </w:r>
      <w:r>
        <w:t>industriales solicitada por los servicios municipales.</w:t>
      </w:r>
      <w:r>
        <w:rPr>
          <w:rFonts w:ascii="Times New Roman" w:eastAsia="Times New Roman" w:hAnsi="Times New Roman" w:cs="Times New Roman"/>
          <w:sz w:val="24"/>
        </w:rPr>
        <w:t xml:space="preserve"> </w:t>
      </w:r>
    </w:p>
    <w:p w:rsidR="00025683" w:rsidRDefault="007C2AAB">
      <w:pPr>
        <w:numPr>
          <w:ilvl w:val="2"/>
          <w:numId w:val="152"/>
        </w:numPr>
        <w:spacing w:line="375" w:lineRule="auto"/>
        <w:ind w:right="200" w:hanging="360"/>
      </w:pPr>
      <w:r>
        <w:t xml:space="preserve">El incumplimiento de las obligaciones de separación en origen, en el interior de los establecimientos, establecidas en esta Ordenanza. </w:t>
      </w:r>
    </w:p>
    <w:p w:rsidR="00025683" w:rsidRDefault="007C2AAB">
      <w:pPr>
        <w:numPr>
          <w:ilvl w:val="2"/>
          <w:numId w:val="152"/>
        </w:numPr>
        <w:spacing w:line="357" w:lineRule="auto"/>
        <w:ind w:right="200" w:hanging="360"/>
      </w:pPr>
      <w:r>
        <w:t>El incumplimiento de las obligaciones de separación en origen de</w:t>
      </w:r>
      <w:r>
        <w:t xml:space="preserve"> residuos de envases, de residuos de papel cartón no envases y biorresiduos, en eventos públicos, establecidas en esta Ordenanza.</w:t>
      </w:r>
      <w:r>
        <w:rPr>
          <w:rFonts w:ascii="Times New Roman" w:eastAsia="Times New Roman" w:hAnsi="Times New Roman" w:cs="Times New Roman"/>
          <w:sz w:val="24"/>
        </w:rPr>
        <w:t xml:space="preserve"> </w:t>
      </w:r>
    </w:p>
    <w:p w:rsidR="00025683" w:rsidRDefault="007C2AAB">
      <w:pPr>
        <w:numPr>
          <w:ilvl w:val="2"/>
          <w:numId w:val="152"/>
        </w:numPr>
        <w:spacing w:after="159"/>
        <w:ind w:right="200" w:hanging="360"/>
      </w:pPr>
      <w:r>
        <w:t>No tapar el contenedor o saco de RCD durante el período establecido.</w:t>
      </w:r>
      <w:r>
        <w:rPr>
          <w:rFonts w:ascii="Times New Roman" w:eastAsia="Times New Roman" w:hAnsi="Times New Roman" w:cs="Times New Roman"/>
          <w:sz w:val="24"/>
        </w:rPr>
        <w:t xml:space="preserve"> </w:t>
      </w:r>
    </w:p>
    <w:p w:rsidR="00025683" w:rsidRDefault="007C2AAB">
      <w:pPr>
        <w:numPr>
          <w:ilvl w:val="2"/>
          <w:numId w:val="152"/>
        </w:numPr>
        <w:spacing w:line="354" w:lineRule="auto"/>
        <w:ind w:right="200" w:hanging="360"/>
      </w:pPr>
      <w:r>
        <w:t>No retirar los contenedores o sacos industriales cuando</w:t>
      </w:r>
      <w:r>
        <w:t xml:space="preserve"> alcancen su nivel máximo de llenado.</w:t>
      </w:r>
      <w:r>
        <w:rPr>
          <w:rFonts w:ascii="Times New Roman" w:eastAsia="Times New Roman" w:hAnsi="Times New Roman" w:cs="Times New Roman"/>
          <w:sz w:val="24"/>
        </w:rPr>
        <w:t xml:space="preserve"> </w:t>
      </w:r>
    </w:p>
    <w:p w:rsidR="00025683" w:rsidRDefault="007C2AAB">
      <w:pPr>
        <w:numPr>
          <w:ilvl w:val="2"/>
          <w:numId w:val="152"/>
        </w:numPr>
        <w:spacing w:line="357" w:lineRule="auto"/>
        <w:ind w:right="200" w:hanging="360"/>
      </w:pPr>
      <w:r>
        <w:t>Sobrellenar o suplementar por cualquier medio la capacidad máxima de llenado de los contenedores o sacos de RCD.</w:t>
      </w:r>
      <w:r>
        <w:rPr>
          <w:rFonts w:ascii="Times New Roman" w:eastAsia="Times New Roman" w:hAnsi="Times New Roman" w:cs="Times New Roman"/>
          <w:sz w:val="24"/>
        </w:rPr>
        <w:t xml:space="preserve"> </w:t>
      </w:r>
    </w:p>
    <w:p w:rsidR="00025683" w:rsidRDefault="007C2AAB">
      <w:pPr>
        <w:numPr>
          <w:ilvl w:val="2"/>
          <w:numId w:val="152"/>
        </w:numPr>
        <w:spacing w:line="354" w:lineRule="auto"/>
        <w:ind w:right="200" w:hanging="360"/>
      </w:pPr>
      <w:r>
        <w:t>Instalar contenedores, recipientes o sacos industriales destinados a la recogida de residuos sin comuni</w:t>
      </w:r>
      <w:r>
        <w:t>cación previa o autorización.</w:t>
      </w:r>
      <w:r>
        <w:rPr>
          <w:rFonts w:ascii="Times New Roman" w:eastAsia="Times New Roman" w:hAnsi="Times New Roman" w:cs="Times New Roman"/>
          <w:sz w:val="24"/>
        </w:rPr>
        <w:t xml:space="preserve"> </w:t>
      </w:r>
    </w:p>
    <w:p w:rsidR="00025683" w:rsidRDefault="007C2AAB">
      <w:pPr>
        <w:numPr>
          <w:ilvl w:val="2"/>
          <w:numId w:val="152"/>
        </w:numPr>
        <w:spacing w:line="357" w:lineRule="auto"/>
        <w:ind w:right="200" w:hanging="360"/>
      </w:pPr>
      <w:r>
        <w:t>Facilitar a los servicios municipales datos inexactos o falsos, así como omitir cualquier dato o manifestación de carácter esencial.</w:t>
      </w:r>
      <w:r>
        <w:rPr>
          <w:rFonts w:ascii="Times New Roman" w:eastAsia="Times New Roman" w:hAnsi="Times New Roman" w:cs="Times New Roman"/>
          <w:sz w:val="24"/>
        </w:rPr>
        <w:t xml:space="preserve"> </w:t>
      </w:r>
    </w:p>
    <w:p w:rsidR="00025683" w:rsidRDefault="007C2AAB">
      <w:pPr>
        <w:numPr>
          <w:ilvl w:val="2"/>
          <w:numId w:val="152"/>
        </w:numPr>
        <w:spacing w:after="157"/>
        <w:ind w:right="200" w:hanging="360"/>
      </w:pPr>
      <w:r>
        <w:t>Trasladar el mobiliario urbano destinado a la recogida de residuos sin autorización.</w:t>
      </w:r>
      <w:r>
        <w:rPr>
          <w:rFonts w:ascii="Times New Roman" w:eastAsia="Times New Roman" w:hAnsi="Times New Roman" w:cs="Times New Roman"/>
          <w:sz w:val="24"/>
        </w:rPr>
        <w:t xml:space="preserve"> </w:t>
      </w:r>
    </w:p>
    <w:p w:rsidR="00025683" w:rsidRDefault="007C2AAB">
      <w:pPr>
        <w:numPr>
          <w:ilvl w:val="2"/>
          <w:numId w:val="152"/>
        </w:numPr>
        <w:spacing w:line="355" w:lineRule="auto"/>
        <w:ind w:right="200" w:hanging="360"/>
      </w:pPr>
      <w:r>
        <w:t>Obstruir las labores de inspección o incumplir el deber de colaboración previsto en la presente ordenanza.</w:t>
      </w:r>
      <w:r>
        <w:rPr>
          <w:rFonts w:ascii="Times New Roman" w:eastAsia="Times New Roman" w:hAnsi="Times New Roman" w:cs="Times New Roman"/>
          <w:sz w:val="24"/>
        </w:rPr>
        <w:t xml:space="preserve"> </w:t>
      </w:r>
    </w:p>
    <w:p w:rsidR="00025683" w:rsidRDefault="007C2AAB">
      <w:pPr>
        <w:numPr>
          <w:ilvl w:val="2"/>
          <w:numId w:val="152"/>
        </w:numPr>
        <w:spacing w:line="357" w:lineRule="auto"/>
        <w:ind w:right="200" w:hanging="360"/>
      </w:pPr>
      <w:r>
        <w:rPr>
          <w:rFonts w:ascii="Calibri" w:eastAsia="Calibri" w:hAnsi="Calibri" w:cs="Calibri"/>
          <w:noProof/>
        </w:rPr>
        <mc:AlternateContent>
          <mc:Choice Requires="wpg">
            <w:drawing>
              <wp:anchor distT="0" distB="0" distL="114300" distR="114300" simplePos="0" relativeHeight="25197875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5990" name="Group 4259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4823" name="Rectangle 4482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4824" name="Rectangle 4482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4825" name="Rectangle 4482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298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5990" style="width:18.7031pt;height:264.21pt;position:absolute;mso-position-horizontal-relative:page;mso-position-horizontal:absolute;margin-left:662.928pt;mso-position-vertical-relative:page;margin-top:507.75pt;" coordsize="2375,33554">
                <v:rect id="Rectangle 4482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482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482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298 de 350 </w:t>
                        </w:r>
                      </w:p>
                    </w:txbxContent>
                  </v:textbox>
                </v:rect>
                <w10:wrap type="square"/>
              </v:group>
            </w:pict>
          </mc:Fallback>
        </mc:AlternateContent>
      </w:r>
      <w:r>
        <w:t>Depositar muebles, grandes electrodomésticos o enseres en los recipientes destinados a los residuos domésticos, así como en contenedores o sacos de obra o deposi</w:t>
      </w:r>
      <w:r>
        <w:t>tarlos junto a estos.</w:t>
      </w:r>
      <w:r>
        <w:rPr>
          <w:rFonts w:ascii="Times New Roman" w:eastAsia="Times New Roman" w:hAnsi="Times New Roman" w:cs="Times New Roman"/>
          <w:sz w:val="24"/>
        </w:rPr>
        <w:t xml:space="preserve"> </w:t>
      </w:r>
    </w:p>
    <w:p w:rsidR="00025683" w:rsidRDefault="007C2AAB">
      <w:pPr>
        <w:numPr>
          <w:ilvl w:val="2"/>
          <w:numId w:val="152"/>
        </w:numPr>
        <w:spacing w:line="356" w:lineRule="auto"/>
        <w:ind w:right="200" w:hanging="360"/>
      </w:pPr>
      <w:r>
        <w:t>Depositar en los espacios públicos los recipientes o residuos que sean gestionados por entes privados.</w:t>
      </w:r>
      <w:r>
        <w:rPr>
          <w:rFonts w:ascii="Times New Roman" w:eastAsia="Times New Roman" w:hAnsi="Times New Roman" w:cs="Times New Roman"/>
          <w:sz w:val="24"/>
        </w:rPr>
        <w:t xml:space="preserve"> </w:t>
      </w:r>
    </w:p>
    <w:p w:rsidR="00025683" w:rsidRDefault="007C2AAB">
      <w:pPr>
        <w:numPr>
          <w:ilvl w:val="2"/>
          <w:numId w:val="152"/>
        </w:numPr>
        <w:spacing w:line="359" w:lineRule="auto"/>
        <w:ind w:right="200" w:hanging="360"/>
      </w:pPr>
      <w:r>
        <w:t>Obstruir la realización de las caracterizaciones de residuos y materiales que determine el Ayuntamiento vinculadas al otorgamient</w:t>
      </w:r>
      <w:r>
        <w:t>o de las autorizaciones de tratamiento de residuos o a las instalaciones municipales.</w:t>
      </w:r>
      <w:r>
        <w:rPr>
          <w:rFonts w:ascii="Times New Roman" w:eastAsia="Times New Roman" w:hAnsi="Times New Roman" w:cs="Times New Roman"/>
          <w:sz w:val="24"/>
        </w:rPr>
        <w:t xml:space="preserve"> </w:t>
      </w:r>
    </w:p>
    <w:p w:rsidR="00025683" w:rsidRDefault="007C2AAB">
      <w:pPr>
        <w:numPr>
          <w:ilvl w:val="2"/>
          <w:numId w:val="152"/>
        </w:numPr>
        <w:spacing w:line="355" w:lineRule="auto"/>
        <w:ind w:right="200" w:hanging="360"/>
      </w:pPr>
      <w:r>
        <w:t>Incumplir las condiciones establecidas en las autorizaciones de tratamiento en el Parque de residuos no gestionados por los servicios municipales de recogida.</w:t>
      </w:r>
      <w:r>
        <w:rPr>
          <w:rFonts w:ascii="Times New Roman" w:eastAsia="Times New Roman" w:hAnsi="Times New Roman" w:cs="Times New Roman"/>
          <w:sz w:val="24"/>
        </w:rPr>
        <w:t xml:space="preserve"> </w:t>
      </w:r>
    </w:p>
    <w:p w:rsidR="00025683" w:rsidRDefault="007C2AAB">
      <w:pPr>
        <w:numPr>
          <w:ilvl w:val="2"/>
          <w:numId w:val="152"/>
        </w:numPr>
        <w:spacing w:after="236" w:line="375" w:lineRule="auto"/>
        <w:ind w:right="200" w:hanging="360"/>
      </w:pPr>
      <w:r>
        <w:t>Verter re</w:t>
      </w:r>
      <w:r>
        <w:t xml:space="preserve">siduos de forma descontrolada en los lugares no destinados para ello, promoviendo la aparición o crecimiento de vertederos y escombreras ilegales. </w:t>
      </w:r>
    </w:p>
    <w:p w:rsidR="00025683" w:rsidRDefault="007C2AAB">
      <w:pPr>
        <w:numPr>
          <w:ilvl w:val="0"/>
          <w:numId w:val="151"/>
        </w:numPr>
        <w:ind w:right="200"/>
      </w:pPr>
      <w:r>
        <w:t>Infracciones leves:</w:t>
      </w:r>
      <w:r>
        <w:rPr>
          <w:rFonts w:ascii="Times New Roman" w:eastAsia="Times New Roman" w:hAnsi="Times New Roman" w:cs="Times New Roman"/>
          <w:sz w:val="24"/>
        </w:rPr>
        <w:t xml:space="preserve"> </w:t>
      </w:r>
    </w:p>
    <w:p w:rsidR="00025683" w:rsidRDefault="007C2AAB">
      <w:pPr>
        <w:spacing w:after="139" w:line="259" w:lineRule="auto"/>
        <w:ind w:left="245" w:firstLine="0"/>
        <w:jc w:val="left"/>
      </w:pPr>
      <w:r>
        <w:t xml:space="preserve"> </w:t>
      </w:r>
    </w:p>
    <w:p w:rsidR="00025683" w:rsidRDefault="007C2AAB">
      <w:pPr>
        <w:numPr>
          <w:ilvl w:val="1"/>
          <w:numId w:val="151"/>
        </w:numPr>
        <w:spacing w:line="378" w:lineRule="auto"/>
        <w:ind w:right="200" w:hanging="360"/>
      </w:pPr>
      <w:r>
        <w:t>Manipular, rebuscar o extraer residuos depositados en recipientes instalados en los e</w:t>
      </w:r>
      <w:r>
        <w:t xml:space="preserve">spacios públicos. </w:t>
      </w:r>
    </w:p>
    <w:p w:rsidR="00025683" w:rsidRDefault="007C2AAB">
      <w:pPr>
        <w:numPr>
          <w:ilvl w:val="1"/>
          <w:numId w:val="151"/>
        </w:numPr>
        <w:spacing w:after="144" w:line="375" w:lineRule="auto"/>
        <w:ind w:right="200" w:hanging="360"/>
      </w:pPr>
      <w:r>
        <w:t xml:space="preserve">No colocar elementos para el depósito de residuos al realizar actividades que supongan un uso común especial y privativo de las vías y espacios públicos de titularidad municipal. </w:t>
      </w:r>
    </w:p>
    <w:p w:rsidR="00025683" w:rsidRDefault="007C2AAB">
      <w:pPr>
        <w:numPr>
          <w:ilvl w:val="1"/>
          <w:numId w:val="151"/>
        </w:numPr>
        <w:spacing w:line="358" w:lineRule="auto"/>
        <w:ind w:right="200" w:hanging="360"/>
      </w:pPr>
      <w:r>
        <w:t xml:space="preserve">No limpiar el espacio público al realizar un uso </w:t>
      </w:r>
      <w:r>
        <w:t>común especial y privativo de las vías y espacios públicos de titularidad municipal que, por su escasa cuantía o entidad no merezca la calificación de grave.</w:t>
      </w:r>
      <w:r>
        <w:rPr>
          <w:rFonts w:ascii="Times New Roman" w:eastAsia="Times New Roman" w:hAnsi="Times New Roman" w:cs="Times New Roman"/>
          <w:sz w:val="24"/>
        </w:rPr>
        <w:t xml:space="preserve"> </w:t>
      </w:r>
    </w:p>
    <w:p w:rsidR="00025683" w:rsidRDefault="007C2AAB">
      <w:pPr>
        <w:numPr>
          <w:ilvl w:val="1"/>
          <w:numId w:val="151"/>
        </w:numPr>
        <w:spacing w:after="154"/>
        <w:ind w:right="200" w:hanging="360"/>
      </w:pPr>
      <w:r>
        <w:t>Incumplir las obligaciones de limpieza de los espacios públicos motivadas por obras.</w:t>
      </w:r>
      <w:r>
        <w:rPr>
          <w:rFonts w:ascii="Times New Roman" w:eastAsia="Times New Roman" w:hAnsi="Times New Roman" w:cs="Times New Roman"/>
          <w:sz w:val="24"/>
        </w:rPr>
        <w:t xml:space="preserve"> </w:t>
      </w:r>
    </w:p>
    <w:p w:rsidR="00025683" w:rsidRDefault="007C2AAB">
      <w:pPr>
        <w:numPr>
          <w:ilvl w:val="1"/>
          <w:numId w:val="151"/>
        </w:numPr>
        <w:spacing w:after="152"/>
        <w:ind w:right="200" w:hanging="360"/>
      </w:pPr>
      <w:r>
        <w:t>No lavar lo</w:t>
      </w:r>
      <w:r>
        <w:t>s bajos de los vehículos que acceden a la vía pública desde zonas de obras.</w:t>
      </w:r>
      <w:r>
        <w:rPr>
          <w:rFonts w:ascii="Times New Roman" w:eastAsia="Times New Roman" w:hAnsi="Times New Roman" w:cs="Times New Roman"/>
          <w:sz w:val="24"/>
        </w:rPr>
        <w:t xml:space="preserve"> </w:t>
      </w:r>
    </w:p>
    <w:p w:rsidR="00025683" w:rsidRDefault="007C2AAB">
      <w:pPr>
        <w:numPr>
          <w:ilvl w:val="1"/>
          <w:numId w:val="151"/>
        </w:numPr>
        <w:spacing w:after="154"/>
        <w:ind w:right="200" w:hanging="360"/>
      </w:pPr>
      <w:r>
        <w:t>Verter agua al espacio público procedente del riego de las plantas.</w:t>
      </w:r>
      <w:r>
        <w:rPr>
          <w:rFonts w:ascii="Times New Roman" w:eastAsia="Times New Roman" w:hAnsi="Times New Roman" w:cs="Times New Roman"/>
          <w:sz w:val="24"/>
        </w:rPr>
        <w:t xml:space="preserve"> </w:t>
      </w:r>
    </w:p>
    <w:p w:rsidR="00025683" w:rsidRDefault="007C2AAB">
      <w:pPr>
        <w:numPr>
          <w:ilvl w:val="1"/>
          <w:numId w:val="151"/>
        </w:numPr>
        <w:spacing w:line="354" w:lineRule="auto"/>
        <w:ind w:right="200" w:hanging="360"/>
      </w:pPr>
      <w:r>
        <w:t>Verter agua al espacio público procedente de la limpieza de terrazas de edificios o similares.</w:t>
      </w:r>
      <w:r>
        <w:rPr>
          <w:rFonts w:ascii="Times New Roman" w:eastAsia="Times New Roman" w:hAnsi="Times New Roman" w:cs="Times New Roman"/>
          <w:sz w:val="24"/>
        </w:rPr>
        <w:t xml:space="preserve"> </w:t>
      </w:r>
    </w:p>
    <w:p w:rsidR="00025683" w:rsidRDefault="007C2AAB">
      <w:pPr>
        <w:numPr>
          <w:ilvl w:val="1"/>
          <w:numId w:val="151"/>
        </w:numPr>
        <w:spacing w:line="354" w:lineRule="auto"/>
        <w:ind w:right="200" w:hanging="360"/>
      </w:pPr>
      <w:r>
        <w:t>No devolver lo</w:t>
      </w:r>
      <w:r>
        <w:t>s cubos de recogida de residuos en caso de cese de actividad, así como su traslado fuera del término municipal.</w:t>
      </w:r>
      <w:r>
        <w:rPr>
          <w:rFonts w:ascii="Times New Roman" w:eastAsia="Times New Roman" w:hAnsi="Times New Roman" w:cs="Times New Roman"/>
          <w:sz w:val="24"/>
        </w:rPr>
        <w:t xml:space="preserve"> </w:t>
      </w:r>
    </w:p>
    <w:p w:rsidR="00025683" w:rsidRDefault="007C2AAB">
      <w:pPr>
        <w:numPr>
          <w:ilvl w:val="1"/>
          <w:numId w:val="151"/>
        </w:numPr>
        <w:spacing w:line="355" w:lineRule="auto"/>
        <w:ind w:right="200" w:hanging="360"/>
      </w:pPr>
      <w:r>
        <w:t>Presentar los residuos sin cumplir lo dispuesto en la presente ordenanza siempre que no tenga la consideración de infracción grave.</w:t>
      </w:r>
      <w:r>
        <w:rPr>
          <w:rFonts w:ascii="Times New Roman" w:eastAsia="Times New Roman" w:hAnsi="Times New Roman" w:cs="Times New Roman"/>
          <w:sz w:val="24"/>
        </w:rPr>
        <w:t xml:space="preserve"> </w:t>
      </w:r>
    </w:p>
    <w:p w:rsidR="00025683" w:rsidRDefault="007C2AAB">
      <w:pPr>
        <w:numPr>
          <w:ilvl w:val="1"/>
          <w:numId w:val="151"/>
        </w:numPr>
        <w:spacing w:after="160"/>
        <w:ind w:right="200" w:hanging="360"/>
      </w:pPr>
      <w:r>
        <w:t>No hacer u</w:t>
      </w:r>
      <w:r>
        <w:t>so de los recipientes destinados a la recogida de residuos.</w:t>
      </w:r>
      <w:r>
        <w:rPr>
          <w:rFonts w:ascii="Times New Roman" w:eastAsia="Times New Roman" w:hAnsi="Times New Roman" w:cs="Times New Roman"/>
          <w:sz w:val="24"/>
        </w:rPr>
        <w:t xml:space="preserve"> </w:t>
      </w:r>
    </w:p>
    <w:p w:rsidR="00025683" w:rsidRDefault="007C2AAB">
      <w:pPr>
        <w:numPr>
          <w:ilvl w:val="1"/>
          <w:numId w:val="151"/>
        </w:numPr>
        <w:spacing w:line="354" w:lineRule="auto"/>
        <w:ind w:right="200" w:hanging="360"/>
      </w:pPr>
      <w:r>
        <w:t>La falta de conservación y limpieza de los recipientes destinados a la recogida de residuos.</w:t>
      </w:r>
      <w:r>
        <w:rPr>
          <w:rFonts w:ascii="Times New Roman" w:eastAsia="Times New Roman" w:hAnsi="Times New Roman" w:cs="Times New Roman"/>
          <w:sz w:val="24"/>
        </w:rPr>
        <w:t xml:space="preserve"> </w:t>
      </w:r>
    </w:p>
    <w:p w:rsidR="00025683" w:rsidRDefault="007C2AAB">
      <w:pPr>
        <w:numPr>
          <w:ilvl w:val="1"/>
          <w:numId w:val="151"/>
        </w:numPr>
        <w:spacing w:line="355" w:lineRule="auto"/>
        <w:ind w:right="200" w:hanging="360"/>
      </w:pPr>
      <w:r>
        <w:rPr>
          <w:rFonts w:ascii="Calibri" w:eastAsia="Calibri" w:hAnsi="Calibri" w:cs="Calibri"/>
          <w:noProof/>
        </w:rPr>
        <mc:AlternateContent>
          <mc:Choice Requires="wpg">
            <w:drawing>
              <wp:anchor distT="0" distB="0" distL="114300" distR="114300" simplePos="0" relativeHeight="25197977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3746" name="Group 4237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224" name="Rectangle 4522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5225" name="Rectangle 4522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5226" name="Rectangle 4522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299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3746" style="width:18.7031pt;height:264.21pt;position:absolute;mso-position-horizontal-relative:page;mso-position-horizontal:absolute;margin-left:662.928pt;mso-position-vertical-relative:page;margin-top:507.75pt;" coordsize="2375,33554">
                <v:rect id="Rectangle 4522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522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522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299 de 350 </w:t>
                        </w:r>
                      </w:p>
                    </w:txbxContent>
                  </v:textbox>
                </v:rect>
                <w10:wrap type="square"/>
              </v:group>
            </w:pict>
          </mc:Fallback>
        </mc:AlternateContent>
      </w:r>
      <w:r>
        <w:t>Colocar los recipientes destinados a la recogida de residuos en el espacio público o retirarlos fuera del tiempo establecido.</w:t>
      </w:r>
      <w:r>
        <w:rPr>
          <w:rFonts w:ascii="Times New Roman" w:eastAsia="Times New Roman" w:hAnsi="Times New Roman" w:cs="Times New Roman"/>
          <w:sz w:val="24"/>
        </w:rPr>
        <w:t xml:space="preserve"> </w:t>
      </w:r>
    </w:p>
    <w:p w:rsidR="00025683" w:rsidRDefault="007C2AAB">
      <w:pPr>
        <w:numPr>
          <w:ilvl w:val="1"/>
          <w:numId w:val="151"/>
        </w:numPr>
        <w:spacing w:line="354" w:lineRule="auto"/>
        <w:ind w:right="200" w:hanging="360"/>
      </w:pPr>
      <w:r>
        <w:t xml:space="preserve">Utilizar otros recipientes </w:t>
      </w:r>
      <w:r>
        <w:t>destinados a la recogida de residuos distintos a los contemplados en la presente ordenanza.</w:t>
      </w:r>
      <w:r>
        <w:rPr>
          <w:rFonts w:ascii="Times New Roman" w:eastAsia="Times New Roman" w:hAnsi="Times New Roman" w:cs="Times New Roman"/>
          <w:sz w:val="24"/>
        </w:rPr>
        <w:t xml:space="preserve"> </w:t>
      </w:r>
    </w:p>
    <w:p w:rsidR="00025683" w:rsidRDefault="007C2AAB">
      <w:pPr>
        <w:numPr>
          <w:ilvl w:val="1"/>
          <w:numId w:val="151"/>
        </w:numPr>
        <w:spacing w:line="357" w:lineRule="auto"/>
        <w:ind w:right="200" w:hanging="360"/>
      </w:pPr>
      <w:r>
        <w:t>Instalar, retirar o sustituir contenedores o sacos de RCD incumpliendo lo dispuesto en esta ordenanza cuando no tenga el carácter de infracción grave.</w:t>
      </w:r>
      <w:r>
        <w:rPr>
          <w:rFonts w:ascii="Times New Roman" w:eastAsia="Times New Roman" w:hAnsi="Times New Roman" w:cs="Times New Roman"/>
          <w:sz w:val="24"/>
        </w:rPr>
        <w:t xml:space="preserve"> </w:t>
      </w:r>
    </w:p>
    <w:p w:rsidR="00025683" w:rsidRDefault="007C2AAB">
      <w:pPr>
        <w:numPr>
          <w:ilvl w:val="1"/>
          <w:numId w:val="151"/>
        </w:numPr>
        <w:spacing w:after="226"/>
        <w:ind w:right="200" w:hanging="360"/>
      </w:pPr>
      <w:r>
        <w:t>Incumplir e</w:t>
      </w:r>
      <w:r>
        <w:t>l horario establecido al depositar los residuos de vidrio.</w:t>
      </w:r>
      <w:r>
        <w:rPr>
          <w:rFonts w:ascii="Times New Roman" w:eastAsia="Times New Roman" w:hAnsi="Times New Roman" w:cs="Times New Roman"/>
          <w:sz w:val="24"/>
        </w:rPr>
        <w:t xml:space="preserve"> </w:t>
      </w:r>
    </w:p>
    <w:p w:rsidR="00025683" w:rsidRDefault="007C2AAB">
      <w:pPr>
        <w:numPr>
          <w:ilvl w:val="1"/>
          <w:numId w:val="151"/>
        </w:numPr>
        <w:spacing w:line="377" w:lineRule="auto"/>
        <w:ind w:right="200" w:hanging="360"/>
      </w:pPr>
      <w:r>
        <w:t xml:space="preserve">Incumplir la obligación por parte de los establecimientos comerciales de utilizar el sistema de recogida de residuos puerta a puerta estando obligados a ello. </w:t>
      </w:r>
    </w:p>
    <w:p w:rsidR="00025683" w:rsidRDefault="007C2AAB">
      <w:pPr>
        <w:numPr>
          <w:ilvl w:val="1"/>
          <w:numId w:val="151"/>
        </w:numPr>
        <w:spacing w:line="357" w:lineRule="auto"/>
        <w:ind w:right="200" w:hanging="360"/>
      </w:pPr>
      <w:r>
        <w:t>Incumplir la obligación por parte de</w:t>
      </w:r>
      <w:r>
        <w:t xml:space="preserve"> los y las comerciantes de venta ambulante de recoger y dejar limpio de residuos, basuras y desperdicios la superficie ocupada y su entorno y retirar todo el material sobrante haciéndose cargo de su traslado y gestión.</w:t>
      </w:r>
      <w:r>
        <w:rPr>
          <w:rFonts w:ascii="Times New Roman" w:eastAsia="Times New Roman" w:hAnsi="Times New Roman" w:cs="Times New Roman"/>
          <w:sz w:val="24"/>
        </w:rPr>
        <w:t xml:space="preserve"> </w:t>
      </w:r>
    </w:p>
    <w:p w:rsidR="00025683" w:rsidRDefault="007C2AAB">
      <w:pPr>
        <w:numPr>
          <w:ilvl w:val="1"/>
          <w:numId w:val="151"/>
        </w:numPr>
        <w:spacing w:line="358" w:lineRule="auto"/>
        <w:ind w:right="200" w:hanging="360"/>
      </w:pPr>
      <w:r>
        <w:t>Incumplir la obligación por parte de</w:t>
      </w:r>
      <w:r>
        <w:t xml:space="preserve"> las personas titulares de la actividad de terrazas, bares o barras instaladas en espacios públicos en vía pública, de disponer, en cada mesa, de recipientes destinados a la recogida de residuos, así como no efectuar su vaciado.</w:t>
      </w:r>
      <w:r>
        <w:rPr>
          <w:rFonts w:ascii="Times New Roman" w:eastAsia="Times New Roman" w:hAnsi="Times New Roman" w:cs="Times New Roman"/>
          <w:sz w:val="24"/>
        </w:rPr>
        <w:t xml:space="preserve"> </w:t>
      </w:r>
    </w:p>
    <w:p w:rsidR="00025683" w:rsidRDefault="007C2AAB">
      <w:pPr>
        <w:numPr>
          <w:ilvl w:val="1"/>
          <w:numId w:val="151"/>
        </w:numPr>
        <w:spacing w:after="39" w:line="358" w:lineRule="auto"/>
        <w:ind w:right="200" w:hanging="360"/>
      </w:pPr>
      <w:r>
        <w:t>Incumplir la obligación po</w:t>
      </w:r>
      <w:r>
        <w:t>r parte de las empresas encargadas de la conservación y explotación de las marquesinas de las paradas de autobús de los servicios de transporte público regular o general de disponer de, al menos, una papelera o recipiente para el depósito de residuos en ca</w:t>
      </w:r>
      <w:r>
        <w:t xml:space="preserve">da parada. </w:t>
      </w:r>
    </w:p>
    <w:p w:rsidR="00025683" w:rsidRDefault="007C2AAB">
      <w:pPr>
        <w:numPr>
          <w:ilvl w:val="1"/>
          <w:numId w:val="151"/>
        </w:numPr>
        <w:spacing w:line="357" w:lineRule="auto"/>
        <w:ind w:right="200" w:hanging="360"/>
      </w:pPr>
      <w:r>
        <w:t>Incumplir la obligación por parte de los titulares de edificios de general acceso público de disponer de cenicero en sus accesos.</w:t>
      </w:r>
      <w:r>
        <w:rPr>
          <w:rFonts w:ascii="Times New Roman" w:eastAsia="Times New Roman" w:hAnsi="Times New Roman" w:cs="Times New Roman"/>
          <w:sz w:val="24"/>
        </w:rPr>
        <w:t xml:space="preserve"> </w:t>
      </w:r>
    </w:p>
    <w:p w:rsidR="00025683" w:rsidRDefault="007C2AAB">
      <w:pPr>
        <w:numPr>
          <w:ilvl w:val="1"/>
          <w:numId w:val="151"/>
        </w:numPr>
        <w:spacing w:line="358" w:lineRule="auto"/>
        <w:ind w:right="200" w:hanging="360"/>
      </w:pPr>
      <w:r>
        <w:t>Realizar necesidades fisiológicas en vías o espacios públicos contraviniendo lo dispuesto en la Ordenanza de Conv</w:t>
      </w:r>
      <w:r>
        <w:t>ivencia del Municipio. Además, dicha ordenanza contempla la posibilidad de sustituir estas sanciones por trabajos en beneficio de la comunidad o sesiones socioeducativas, especialmente en el caso de infracciones leves.</w:t>
      </w:r>
      <w:r>
        <w:rPr>
          <w:rFonts w:ascii="Times New Roman" w:eastAsia="Times New Roman" w:hAnsi="Times New Roman" w:cs="Times New Roman"/>
          <w:sz w:val="24"/>
        </w:rPr>
        <w:t xml:space="preserve"> </w:t>
      </w:r>
    </w:p>
    <w:p w:rsidR="00025683" w:rsidRDefault="007C2AAB">
      <w:pPr>
        <w:numPr>
          <w:ilvl w:val="1"/>
          <w:numId w:val="151"/>
        </w:numPr>
        <w:spacing w:after="33" w:line="365" w:lineRule="auto"/>
        <w:ind w:right="200" w:hanging="360"/>
      </w:pPr>
      <w:r>
        <w:t>escupir en la vía pública, considerándolo una infracción leve .La Ordenanza de Convivencia del Municipio prohíbe expresamente escupir en espacios públicos por razones de higiene y salubridad, con el objetivo de preservar la limpieza del entorno urbano y fo</w:t>
      </w:r>
      <w:r>
        <w:t xml:space="preserve">mentar el respeto hacia los demás ciudadanos. </w:t>
      </w:r>
    </w:p>
    <w:p w:rsidR="00025683" w:rsidRDefault="007C2AAB">
      <w:pPr>
        <w:numPr>
          <w:ilvl w:val="1"/>
          <w:numId w:val="151"/>
        </w:numPr>
        <w:spacing w:after="236" w:line="375" w:lineRule="auto"/>
        <w:ind w:right="200" w:hanging="360"/>
      </w:pPr>
      <w:r>
        <w:t xml:space="preserve">Todas aquellas conductas contrarias a lo dispuesto en esta ordenanza que no tengan la consideración de graves o muy graves. </w:t>
      </w:r>
    </w:p>
    <w:p w:rsidR="00025683" w:rsidRDefault="007C2AAB">
      <w:pPr>
        <w:spacing w:after="64"/>
        <w:ind w:left="240" w:right="197"/>
      </w:pPr>
      <w:r>
        <w:rPr>
          <w:rFonts w:ascii="Calibri" w:eastAsia="Calibri" w:hAnsi="Calibri" w:cs="Calibri"/>
          <w:noProof/>
        </w:rPr>
        <mc:AlternateContent>
          <mc:Choice Requires="wpg">
            <w:drawing>
              <wp:anchor distT="0" distB="0" distL="114300" distR="114300" simplePos="0" relativeHeight="25198080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5544" name="Group 4255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457" name="Rectangle 4545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5458" name="Rectangle 4545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https://candelaria.se</w:t>
                              </w:r>
                              <w:r>
                                <w:rPr>
                                  <w:sz w:val="12"/>
                                </w:rPr>
                                <w:t xml:space="preserve">delectronica.es/ </w:t>
                              </w:r>
                            </w:p>
                          </w:txbxContent>
                        </wps:txbx>
                        <wps:bodyPr horzOverflow="overflow" vert="horz" lIns="0" tIns="0" rIns="0" bIns="0" rtlCol="0">
                          <a:noAutofit/>
                        </wps:bodyPr>
                      </wps:wsp>
                      <wps:wsp>
                        <wps:cNvPr id="45459" name="Rectangle 4545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300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5544" style="width:18.7031pt;height:264.21pt;position:absolute;mso-position-horizontal-relative:page;mso-position-horizontal:absolute;margin-left:662.928pt;mso-position-vertical-relative:page;margin-top:507.75pt;" coordsize="2375,33554">
                <v:rect id="Rectangle 4545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545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545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300 de 350 </w:t>
                        </w:r>
                      </w:p>
                    </w:txbxContent>
                  </v:textbox>
                </v:rect>
                <w10:wrap type="square"/>
              </v:group>
            </w:pict>
          </mc:Fallback>
        </mc:AlternateContent>
      </w:r>
      <w:r>
        <w:rPr>
          <w:b/>
        </w:rPr>
        <w:t>Capítulo III. Sanciones</w:t>
      </w:r>
      <w:r>
        <w:rPr>
          <w:rFonts w:ascii="Times New Roman" w:eastAsia="Times New Roman" w:hAnsi="Times New Roman" w:cs="Times New Roman"/>
          <w:sz w:val="24"/>
        </w:rPr>
        <w:t xml:space="preserve"> </w:t>
      </w:r>
    </w:p>
    <w:p w:rsidR="00025683" w:rsidRDefault="007C2AAB">
      <w:pPr>
        <w:spacing w:after="114" w:line="259" w:lineRule="auto"/>
        <w:ind w:left="245" w:firstLine="0"/>
        <w:jc w:val="left"/>
      </w:pPr>
      <w:r>
        <w:rPr>
          <w:b/>
        </w:rPr>
        <w:t xml:space="preserve"> </w:t>
      </w:r>
    </w:p>
    <w:p w:rsidR="00025683" w:rsidRDefault="007C2AAB">
      <w:pPr>
        <w:spacing w:after="104"/>
        <w:ind w:left="240" w:right="197"/>
      </w:pPr>
      <w:r>
        <w:rPr>
          <w:b/>
        </w:rPr>
        <w:t>Artículo. 86. Sanciones.</w:t>
      </w:r>
      <w:r>
        <w:rPr>
          <w:rFonts w:ascii="Times New Roman" w:eastAsia="Times New Roman" w:hAnsi="Times New Roman" w:cs="Times New Roman"/>
          <w:sz w:val="24"/>
        </w:rPr>
        <w:t xml:space="preserve"> </w:t>
      </w:r>
    </w:p>
    <w:p w:rsidR="00025683" w:rsidRDefault="007C2AAB">
      <w:pPr>
        <w:spacing w:line="359" w:lineRule="auto"/>
        <w:ind w:left="245" w:right="649"/>
      </w:pPr>
      <w:r>
        <w:t>Las infracciones previstas en esta ordenanza serán sancionadas de la siguiente forma:</w:t>
      </w:r>
      <w:r>
        <w:rPr>
          <w:rFonts w:ascii="Times New Roman" w:eastAsia="Times New Roman" w:hAnsi="Times New Roman" w:cs="Times New Roman"/>
          <w:sz w:val="24"/>
        </w:rPr>
        <w:t xml:space="preserve"> </w:t>
      </w:r>
      <w:r>
        <w:t>a)</w:t>
      </w:r>
      <w:r>
        <w:t xml:space="preserve"> Infracciones leves: Multa hasta 1500 euros.  </w:t>
      </w:r>
    </w:p>
    <w:p w:rsidR="00025683" w:rsidRDefault="007C2AAB">
      <w:pPr>
        <w:numPr>
          <w:ilvl w:val="0"/>
          <w:numId w:val="153"/>
        </w:numPr>
        <w:spacing w:after="109"/>
        <w:ind w:right="200" w:hanging="257"/>
      </w:pPr>
      <w:r>
        <w:t xml:space="preserve">Infracciones graves: Multa de 1501 a 3000 euros.  </w:t>
      </w:r>
    </w:p>
    <w:p w:rsidR="00025683" w:rsidRDefault="007C2AAB">
      <w:pPr>
        <w:numPr>
          <w:ilvl w:val="0"/>
          <w:numId w:val="153"/>
        </w:numPr>
        <w:spacing w:after="112"/>
        <w:ind w:right="200" w:hanging="257"/>
      </w:pPr>
      <w:r>
        <w:t xml:space="preserve">Infracciones muy graves: Multa de 3001 a 6000 euros. </w:t>
      </w:r>
    </w:p>
    <w:p w:rsidR="00025683" w:rsidRDefault="007C2AAB">
      <w:pPr>
        <w:spacing w:after="109" w:line="259" w:lineRule="auto"/>
        <w:ind w:left="245" w:firstLine="0"/>
        <w:jc w:val="left"/>
      </w:pPr>
      <w:r>
        <w:t xml:space="preserve"> </w:t>
      </w:r>
    </w:p>
    <w:p w:rsidR="00025683" w:rsidRDefault="007C2AAB">
      <w:pPr>
        <w:spacing w:after="173"/>
        <w:ind w:left="240" w:right="197"/>
      </w:pPr>
      <w:r>
        <w:rPr>
          <w:b/>
        </w:rPr>
        <w:t>Artículo.87. Criterios de graduación de las sanciones</w:t>
      </w:r>
      <w:r>
        <w:t>.</w:t>
      </w:r>
      <w:r>
        <w:rPr>
          <w:rFonts w:ascii="Times New Roman" w:eastAsia="Times New Roman" w:hAnsi="Times New Roman" w:cs="Times New Roman"/>
          <w:sz w:val="24"/>
        </w:rPr>
        <w:t xml:space="preserve"> </w:t>
      </w:r>
    </w:p>
    <w:p w:rsidR="00025683" w:rsidRDefault="007C2AAB">
      <w:pPr>
        <w:numPr>
          <w:ilvl w:val="0"/>
          <w:numId w:val="154"/>
        </w:numPr>
        <w:spacing w:after="168" w:line="358" w:lineRule="auto"/>
        <w:ind w:right="235"/>
      </w:pPr>
      <w:r>
        <w:t>Para determinar la cuantía de la sanción se atenderá a las circunstancias concurrentes en los hechos que las motivaron. En concreto, la naturaleza de la infracción, el perjuicio causado, reiteración, reincidencia, grado de intencionalidad, así como aquella</w:t>
      </w:r>
      <w:r>
        <w:t>s causas que puedan considerarse agravantes tales como la presencia de menores, tipo de residuo, lugar de los hechos, entre otros</w:t>
      </w:r>
      <w:r>
        <w:rPr>
          <w:rFonts w:ascii="Times New Roman" w:eastAsia="Times New Roman" w:hAnsi="Times New Roman" w:cs="Times New Roman"/>
          <w:sz w:val="24"/>
        </w:rPr>
        <w:t xml:space="preserve"> </w:t>
      </w:r>
    </w:p>
    <w:p w:rsidR="00025683" w:rsidRDefault="007C2AAB">
      <w:pPr>
        <w:numPr>
          <w:ilvl w:val="0"/>
          <w:numId w:val="154"/>
        </w:numPr>
        <w:spacing w:after="146" w:line="357" w:lineRule="auto"/>
        <w:ind w:right="235"/>
      </w:pPr>
      <w:r>
        <w:t>También se considerarán causas agravantes las conductas prohibidas que afecten a edificios o monumentos de carácter histórico</w:t>
      </w:r>
      <w:r>
        <w:t>.</w:t>
      </w:r>
      <w:r>
        <w:rPr>
          <w:rFonts w:ascii="Times New Roman" w:eastAsia="Times New Roman" w:hAnsi="Times New Roman" w:cs="Times New Roman"/>
          <w:sz w:val="24"/>
        </w:rPr>
        <w:t xml:space="preserve"> </w:t>
      </w:r>
    </w:p>
    <w:p w:rsidR="00025683" w:rsidRDefault="007C2AAB">
      <w:pPr>
        <w:spacing w:after="12"/>
        <w:ind w:left="240" w:right="197"/>
      </w:pPr>
      <w:r>
        <w:rPr>
          <w:b/>
        </w:rPr>
        <w:t>Artículo. 88.  Especificación de conductas.</w:t>
      </w:r>
      <w:r>
        <w:rPr>
          <w:rFonts w:ascii="Times New Roman" w:eastAsia="Times New Roman" w:hAnsi="Times New Roman" w:cs="Times New Roman"/>
          <w:sz w:val="24"/>
        </w:rPr>
        <w:t xml:space="preserve"> </w:t>
      </w:r>
    </w:p>
    <w:p w:rsidR="00025683" w:rsidRDefault="007C2AAB">
      <w:pPr>
        <w:spacing w:after="180" w:line="349" w:lineRule="auto"/>
        <w:ind w:left="245" w:right="275"/>
      </w:pPr>
      <w:r>
        <w:t>De acuerdo con lo previsto en el Artículo 27.3 de la LRJSP se entienden incluidas en las acciones tipificadas como leves de acuerdo con el Artículo 108.4 b) de la LRSC, en relación con el apartado 3 b) y c) d</w:t>
      </w:r>
      <w:r>
        <w:t>el mismo Artículo, las siguientes conductas:</w:t>
      </w:r>
      <w:r>
        <w:rPr>
          <w:rFonts w:ascii="Times New Roman" w:eastAsia="Times New Roman" w:hAnsi="Times New Roman" w:cs="Times New Roman"/>
          <w:sz w:val="24"/>
        </w:rPr>
        <w:t xml:space="preserve"> </w:t>
      </w:r>
    </w:p>
    <w:p w:rsidR="00025683" w:rsidRDefault="007C2AAB">
      <w:pPr>
        <w:numPr>
          <w:ilvl w:val="0"/>
          <w:numId w:val="155"/>
        </w:numPr>
        <w:spacing w:after="194" w:line="367" w:lineRule="auto"/>
        <w:ind w:right="269"/>
      </w:pPr>
      <w:r>
        <w:t>Incumplir las obligaciones de limpieza de las zonas particulares de uso común, así como abandonar en el espacio público los productos de escasa cuantía o entidad procedentes del barrido de limpieza producido po</w:t>
      </w:r>
      <w:r>
        <w:t xml:space="preserve">r los particulares. </w:t>
      </w:r>
    </w:p>
    <w:p w:rsidR="00025683" w:rsidRDefault="007C2AAB">
      <w:pPr>
        <w:numPr>
          <w:ilvl w:val="0"/>
          <w:numId w:val="155"/>
        </w:numPr>
        <w:spacing w:after="170" w:line="357" w:lineRule="auto"/>
        <w:ind w:right="269"/>
      </w:pPr>
      <w:r>
        <w:t xml:space="preserve">Depositar los residuos de escasa cuantía o entidad fuera de los elementos del mobiliario urbano destinado a tal fin, así como depositar en las papeleras instaladas en los espacios públicos los residuos para los que no estén destinadas </w:t>
      </w:r>
      <w:r>
        <w:t>y, en especial, las bolsas con residuos domiciliarios.</w:t>
      </w:r>
      <w:r>
        <w:rPr>
          <w:rFonts w:ascii="Times New Roman" w:eastAsia="Times New Roman" w:hAnsi="Times New Roman" w:cs="Times New Roman"/>
          <w:sz w:val="24"/>
        </w:rPr>
        <w:t xml:space="preserve"> </w:t>
      </w:r>
    </w:p>
    <w:p w:rsidR="00025683" w:rsidRDefault="007C2AAB">
      <w:pPr>
        <w:numPr>
          <w:ilvl w:val="0"/>
          <w:numId w:val="155"/>
        </w:numPr>
        <w:spacing w:after="201" w:line="355" w:lineRule="auto"/>
        <w:ind w:right="269"/>
      </w:pPr>
      <w:r>
        <w:t>Arrojar, abandonar o verter residuos que ensucien los espacios públicos que por su escasa cuantía o entidad no merezcan la consideración de graves.</w:t>
      </w:r>
      <w:r>
        <w:rPr>
          <w:rFonts w:ascii="Times New Roman" w:eastAsia="Times New Roman" w:hAnsi="Times New Roman" w:cs="Times New Roman"/>
          <w:sz w:val="24"/>
        </w:rPr>
        <w:t xml:space="preserve"> </w:t>
      </w:r>
    </w:p>
    <w:p w:rsidR="00025683" w:rsidRDefault="007C2AAB">
      <w:pPr>
        <w:spacing w:after="171"/>
        <w:ind w:left="240" w:right="197"/>
      </w:pPr>
      <w:r>
        <w:rPr>
          <w:rFonts w:ascii="Calibri" w:eastAsia="Calibri" w:hAnsi="Calibri" w:cs="Calibri"/>
          <w:noProof/>
        </w:rPr>
        <mc:AlternateContent>
          <mc:Choice Requires="wpg">
            <w:drawing>
              <wp:anchor distT="0" distB="0" distL="114300" distR="114300" simplePos="0" relativeHeight="25198182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3461" name="Group 42346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675" name="Rectangle 4567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5676" name="Rectangle 4567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5677" name="Rectangle 4567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301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3461" style="width:18.7031pt;height:264.21pt;position:absolute;mso-position-horizontal-relative:page;mso-position-horizontal:absolute;margin-left:662.928pt;mso-position-vertical-relative:page;margin-top:507.75pt;" coordsize="2375,33554">
                <v:rect id="Rectangle 4567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567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567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301 de 350 </w:t>
                        </w:r>
                      </w:p>
                    </w:txbxContent>
                  </v:textbox>
                </v:rect>
                <w10:wrap type="square"/>
              </v:group>
            </w:pict>
          </mc:Fallback>
        </mc:AlternateContent>
      </w:r>
      <w:r>
        <w:rPr>
          <w:b/>
        </w:rPr>
        <w:t>Artículo.89. Medidas provisionales.</w:t>
      </w:r>
      <w:r>
        <w:rPr>
          <w:rFonts w:ascii="Times New Roman" w:eastAsia="Times New Roman" w:hAnsi="Times New Roman" w:cs="Times New Roman"/>
          <w:sz w:val="24"/>
        </w:rPr>
        <w:t xml:space="preserve"> </w:t>
      </w:r>
    </w:p>
    <w:p w:rsidR="00025683" w:rsidRDefault="007C2AAB">
      <w:pPr>
        <w:numPr>
          <w:ilvl w:val="0"/>
          <w:numId w:val="156"/>
        </w:numPr>
        <w:spacing w:after="170" w:line="358" w:lineRule="auto"/>
        <w:ind w:right="59"/>
      </w:pPr>
      <w:r>
        <w:t xml:space="preserve">En aplicación de la normativa vigente, se podrán adoptar las medidas </w:t>
      </w:r>
      <w:r>
        <w:t>provisionales que se estimen oportunas para asegurar la eficacia de la resolución que pudiera recaer, incluida la intervención cautelar y retirada de materiales</w:t>
      </w:r>
      <w:r>
        <w:rPr>
          <w:rFonts w:ascii="Times New Roman" w:eastAsia="Times New Roman" w:hAnsi="Times New Roman" w:cs="Times New Roman"/>
          <w:sz w:val="24"/>
        </w:rPr>
        <w:t xml:space="preserve"> </w:t>
      </w:r>
    </w:p>
    <w:p w:rsidR="00025683" w:rsidRDefault="007C2AAB">
      <w:pPr>
        <w:numPr>
          <w:ilvl w:val="0"/>
          <w:numId w:val="156"/>
        </w:numPr>
        <w:spacing w:after="146" w:line="357" w:lineRule="auto"/>
        <w:ind w:right="59"/>
      </w:pPr>
      <w:r>
        <w:t>Dichas medidas provisionales, que no tendrán carácter de sanción, serán las previstas en la no</w:t>
      </w:r>
      <w:r>
        <w:t>rmativa de aplicación y, en todo caso, deberán ser proporcionales al daño que se pretende evitar.</w:t>
      </w:r>
      <w:r>
        <w:rPr>
          <w:rFonts w:ascii="Times New Roman" w:eastAsia="Times New Roman" w:hAnsi="Times New Roman" w:cs="Times New Roman"/>
          <w:sz w:val="24"/>
        </w:rPr>
        <w:t xml:space="preserve"> </w:t>
      </w:r>
    </w:p>
    <w:p w:rsidR="00025683" w:rsidRDefault="007C2AAB">
      <w:pPr>
        <w:spacing w:after="110" w:line="259" w:lineRule="auto"/>
        <w:ind w:left="248" w:firstLine="0"/>
        <w:jc w:val="left"/>
      </w:pPr>
      <w:r>
        <w:rPr>
          <w:rFonts w:ascii="Times New Roman" w:eastAsia="Times New Roman" w:hAnsi="Times New Roman" w:cs="Times New Roman"/>
          <w:sz w:val="24"/>
        </w:rPr>
        <w:t xml:space="preserve"> </w:t>
      </w:r>
    </w:p>
    <w:p w:rsidR="00025683" w:rsidRDefault="007C2AAB">
      <w:pPr>
        <w:spacing w:after="224"/>
        <w:ind w:left="240" w:right="197"/>
      </w:pPr>
      <w:r>
        <w:rPr>
          <w:b/>
        </w:rPr>
        <w:t>DISPOSICIÓN ADICIONAL PRIMERA.</w:t>
      </w:r>
      <w:r>
        <w:rPr>
          <w:rFonts w:ascii="Times New Roman" w:eastAsia="Times New Roman" w:hAnsi="Times New Roman" w:cs="Times New Roman"/>
          <w:sz w:val="24"/>
        </w:rPr>
        <w:t xml:space="preserve"> </w:t>
      </w:r>
    </w:p>
    <w:p w:rsidR="00025683" w:rsidRDefault="007C2AAB">
      <w:pPr>
        <w:spacing w:after="12"/>
        <w:ind w:left="240" w:right="197"/>
      </w:pPr>
      <w:r>
        <w:rPr>
          <w:b/>
        </w:rPr>
        <w:t>Políticas de igualdad.</w:t>
      </w:r>
      <w:r>
        <w:rPr>
          <w:rFonts w:ascii="Times New Roman" w:eastAsia="Times New Roman" w:hAnsi="Times New Roman" w:cs="Times New Roman"/>
          <w:sz w:val="24"/>
        </w:rPr>
        <w:t xml:space="preserve"> </w:t>
      </w:r>
    </w:p>
    <w:p w:rsidR="00025683" w:rsidRDefault="007C2AAB">
      <w:pPr>
        <w:spacing w:after="103" w:line="259" w:lineRule="auto"/>
        <w:ind w:left="248" w:firstLine="0"/>
        <w:jc w:val="left"/>
      </w:pPr>
      <w:r>
        <w:rPr>
          <w:b/>
        </w:rPr>
        <w:t xml:space="preserve"> </w:t>
      </w:r>
    </w:p>
    <w:p w:rsidR="00025683" w:rsidRDefault="007C2AAB">
      <w:pPr>
        <w:spacing w:line="352" w:lineRule="auto"/>
        <w:ind w:left="248" w:right="57"/>
      </w:pPr>
      <w:r>
        <w:t>De conformidad con el Artículo 14.11 de la Ley Orgánica 3/2007, de 22 de marzo, para la igualdad efectiva de mujeres y hombres, todas las denominaciones que se hagan en género masculino para referirse a personas se entenderán referidas tanto a mujeres como</w:t>
      </w:r>
      <w:r>
        <w:t xml:space="preserve"> a hombres, de acuerdo con los criterios establecidos por la Real Academia Española.</w:t>
      </w:r>
      <w:r>
        <w:rPr>
          <w:rFonts w:ascii="Times New Roman" w:eastAsia="Times New Roman" w:hAnsi="Times New Roman" w:cs="Times New Roman"/>
          <w:sz w:val="24"/>
        </w:rPr>
        <w:t xml:space="preserve"> </w:t>
      </w:r>
    </w:p>
    <w:p w:rsidR="00025683" w:rsidRDefault="00025683">
      <w:pPr>
        <w:sectPr w:rsidR="00025683">
          <w:headerReference w:type="even" r:id="rId139"/>
          <w:headerReference w:type="default" r:id="rId140"/>
          <w:footerReference w:type="even" r:id="rId141"/>
          <w:footerReference w:type="default" r:id="rId142"/>
          <w:headerReference w:type="first" r:id="rId143"/>
          <w:footerReference w:type="first" r:id="rId144"/>
          <w:pgSz w:w="14167" w:h="16819"/>
          <w:pgMar w:top="2100" w:right="2260" w:bottom="1703" w:left="2305" w:header="420" w:footer="580" w:gutter="0"/>
          <w:cols w:space="720"/>
          <w:titlePg/>
        </w:sectPr>
      </w:pP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64"/>
        <w:ind w:left="240" w:right="197"/>
      </w:pPr>
      <w:r>
        <w:rPr>
          <w:b/>
        </w:rPr>
        <w:t>DISPOSICIÓN ADICIONAL SEGUNDA.</w:t>
      </w:r>
      <w:r>
        <w:rPr>
          <w:rFonts w:ascii="Times New Roman" w:eastAsia="Times New Roman" w:hAnsi="Times New Roman" w:cs="Times New Roman"/>
          <w:sz w:val="24"/>
        </w:rPr>
        <w:t xml:space="preserve"> </w:t>
      </w:r>
    </w:p>
    <w:p w:rsidR="00025683" w:rsidRDefault="007C2AAB">
      <w:pPr>
        <w:spacing w:after="232" w:line="259" w:lineRule="auto"/>
        <w:ind w:left="240" w:firstLine="0"/>
        <w:jc w:val="left"/>
      </w:pPr>
      <w:r>
        <w:rPr>
          <w:b/>
        </w:rPr>
        <w:t xml:space="preserve"> </w:t>
      </w:r>
    </w:p>
    <w:p w:rsidR="00025683" w:rsidRDefault="007C2AAB">
      <w:pPr>
        <w:spacing w:after="12"/>
        <w:ind w:left="240" w:right="197"/>
      </w:pPr>
      <w:r>
        <w:rPr>
          <w:b/>
        </w:rPr>
        <w:t xml:space="preserve">Protección de datos </w:t>
      </w:r>
      <w:r>
        <w:rPr>
          <w:b/>
        </w:rPr>
        <w:t>de carácter personal.</w:t>
      </w:r>
      <w:r>
        <w:rPr>
          <w:rFonts w:ascii="Times New Roman" w:eastAsia="Times New Roman" w:hAnsi="Times New Roman" w:cs="Times New Roman"/>
          <w:sz w:val="24"/>
        </w:rPr>
        <w:t xml:space="preserve"> </w:t>
      </w:r>
    </w:p>
    <w:p w:rsidR="00025683" w:rsidRDefault="007C2AAB">
      <w:pPr>
        <w:spacing w:after="103" w:line="259" w:lineRule="auto"/>
        <w:ind w:left="240" w:firstLine="0"/>
        <w:jc w:val="left"/>
      </w:pPr>
      <w:r>
        <w:rPr>
          <w:b/>
        </w:rPr>
        <w:t xml:space="preserve"> </w:t>
      </w:r>
    </w:p>
    <w:p w:rsidR="00025683" w:rsidRDefault="007C2AAB">
      <w:pPr>
        <w:spacing w:after="203" w:line="339" w:lineRule="auto"/>
        <w:ind w:left="240" w:right="200"/>
      </w:pPr>
      <w:r>
        <w:t>En el marco de esta ordenanza serán objeto de especial protección los datos personales contenidos en la información que use el Ayuntamiento y sus organismos públicos vinculados</w:t>
      </w:r>
      <w:r>
        <w:rPr>
          <w:rFonts w:ascii="Times New Roman" w:eastAsia="Times New Roman" w:hAnsi="Times New Roman" w:cs="Times New Roman"/>
          <w:sz w:val="24"/>
        </w:rPr>
        <w:t xml:space="preserve"> </w:t>
      </w:r>
    </w:p>
    <w:p w:rsidR="00025683" w:rsidRDefault="007C2AAB">
      <w:pPr>
        <w:spacing w:after="99" w:line="350" w:lineRule="auto"/>
        <w:ind w:left="240" w:right="324"/>
      </w:pPr>
      <w:r>
        <w:t>o dependientes, garantizando en todo caso, los derech</w:t>
      </w:r>
      <w:r>
        <w:t>os inherentes a la protección de los datos personales, para lo cual se establecerán las medidas de seguridad que impidan cualquier trazabilidad personal no amparada por la finalidad o el consentimiento.</w:t>
      </w:r>
      <w:r>
        <w:rPr>
          <w:rFonts w:ascii="Times New Roman" w:eastAsia="Times New Roman" w:hAnsi="Times New Roman" w:cs="Times New Roman"/>
          <w:sz w:val="24"/>
        </w:rPr>
        <w:t xml:space="preserve"> </w:t>
      </w:r>
    </w:p>
    <w:p w:rsidR="00025683" w:rsidRDefault="007C2AAB">
      <w:pPr>
        <w:spacing w:after="222" w:line="356" w:lineRule="auto"/>
        <w:ind w:left="240" w:right="318"/>
      </w:pPr>
      <w:r>
        <w:rPr>
          <w:rFonts w:ascii="Calibri" w:eastAsia="Calibri" w:hAnsi="Calibri" w:cs="Calibri"/>
          <w:noProof/>
        </w:rPr>
        <mc:AlternateContent>
          <mc:Choice Requires="wpg">
            <w:drawing>
              <wp:anchor distT="0" distB="0" distL="114300" distR="114300" simplePos="0" relativeHeight="25198284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5478" name="Group 42547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5880" name="Rectangle 4588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5881" name="Rectangle 4588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w:t>
                              </w:r>
                              <w:r>
                                <w:rPr>
                                  <w:sz w:val="12"/>
                                </w:rPr>
                                <w:t xml:space="preserve">ificación: https://candelaria.sedelectronica.es/ </w:t>
                              </w:r>
                            </w:p>
                          </w:txbxContent>
                        </wps:txbx>
                        <wps:bodyPr horzOverflow="overflow" vert="horz" lIns="0" tIns="0" rIns="0" bIns="0" rtlCol="0">
                          <a:noAutofit/>
                        </wps:bodyPr>
                      </wps:wsp>
                      <wps:wsp>
                        <wps:cNvPr id="45882" name="Rectangle 4588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302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5478" style="width:18.7031pt;height:264.21pt;position:absolute;mso-position-horizontal-relative:page;mso-position-horizontal:absolute;margin-left:662.928pt;mso-position-vertical-relative:page;margin-top:507.75pt;" coordsize="2375,33554">
                <v:rect id="Rectangle 4588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588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588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302 de 350 </w:t>
                        </w:r>
                      </w:p>
                    </w:txbxContent>
                  </v:textbox>
                </v:rect>
                <w10:wrap type="square"/>
              </v:group>
            </w:pict>
          </mc:Fallback>
        </mc:AlternateContent>
      </w:r>
      <w:r>
        <w:t>Con carácter general se estará al cumplimiento del Reglamento (UE) 2016/679 del Parlamento Europeo y del Cons</w:t>
      </w:r>
      <w:r>
        <w:t>ejo y de la Ley 3/2018, de 5 de diciembre, de Protección de Datos Personales y garantía de los derechos digitales, especialmente en lo que respecta a los principios de protección de datos, legitimación de los tratamientos, derechos de las personas afectada</w:t>
      </w:r>
      <w:r>
        <w:t>s, protección de datos desde el diseño y por defecto, encargados de tratamiento, brechas de seguridad y medidas de seguridad resultantes de la realización de los correspondientes análisis de riesgos y, en su caso, evaluaciones de impacto.</w:t>
      </w:r>
      <w:r>
        <w:rPr>
          <w:rFonts w:ascii="Times New Roman" w:eastAsia="Times New Roman" w:hAnsi="Times New Roman" w:cs="Times New Roman"/>
          <w:sz w:val="24"/>
        </w:rPr>
        <w:t xml:space="preserve"> </w:t>
      </w:r>
    </w:p>
    <w:p w:rsidR="00025683" w:rsidRDefault="007C2AAB">
      <w:pPr>
        <w:spacing w:after="222"/>
        <w:ind w:left="240" w:right="197"/>
      </w:pPr>
      <w:r>
        <w:rPr>
          <w:b/>
        </w:rPr>
        <w:t>DISPOSICIÓN DERO</w:t>
      </w:r>
      <w:r>
        <w:rPr>
          <w:b/>
        </w:rPr>
        <w:t>GATORIA ÚNICA.</w:t>
      </w:r>
      <w:r>
        <w:rPr>
          <w:rFonts w:ascii="Times New Roman" w:eastAsia="Times New Roman" w:hAnsi="Times New Roman" w:cs="Times New Roman"/>
          <w:sz w:val="24"/>
        </w:rPr>
        <w:t xml:space="preserve"> </w:t>
      </w:r>
    </w:p>
    <w:p w:rsidR="00025683" w:rsidRDefault="007C2AAB">
      <w:pPr>
        <w:spacing w:after="12"/>
        <w:ind w:left="240" w:right="197"/>
      </w:pPr>
      <w:r>
        <w:rPr>
          <w:b/>
        </w:rPr>
        <w:t>Derogación normativa</w:t>
      </w:r>
      <w:r>
        <w:rPr>
          <w:rFonts w:ascii="Times New Roman" w:eastAsia="Times New Roman" w:hAnsi="Times New Roman" w:cs="Times New Roman"/>
          <w:sz w:val="24"/>
        </w:rPr>
        <w:t xml:space="preserve"> </w:t>
      </w:r>
    </w:p>
    <w:p w:rsidR="00025683" w:rsidRDefault="007C2AAB">
      <w:pPr>
        <w:spacing w:after="100" w:line="259" w:lineRule="auto"/>
        <w:ind w:left="240" w:firstLine="0"/>
        <w:jc w:val="left"/>
      </w:pPr>
      <w:r>
        <w:rPr>
          <w:b/>
        </w:rPr>
        <w:t xml:space="preserve"> </w:t>
      </w:r>
    </w:p>
    <w:p w:rsidR="00025683" w:rsidRDefault="007C2AAB">
      <w:pPr>
        <w:spacing w:after="251" w:line="358" w:lineRule="auto"/>
        <w:ind w:left="240" w:right="200"/>
      </w:pPr>
      <w:r>
        <w:t xml:space="preserve">Quedan derogadas cuantas disposiciones se opongan, contradigan, o resulten incompatibles con lo establecido en la presente ordenanza. </w:t>
      </w:r>
    </w:p>
    <w:p w:rsidR="00025683" w:rsidRDefault="007C2AAB">
      <w:pPr>
        <w:spacing w:after="224"/>
        <w:ind w:left="240" w:right="197"/>
      </w:pPr>
      <w:r>
        <w:rPr>
          <w:b/>
        </w:rPr>
        <w:t>DISPOSICIÓN FINAL PRIMERA.</w:t>
      </w:r>
      <w:r>
        <w:rPr>
          <w:rFonts w:ascii="Times New Roman" w:eastAsia="Times New Roman" w:hAnsi="Times New Roman" w:cs="Times New Roman"/>
          <w:sz w:val="24"/>
        </w:rPr>
        <w:t xml:space="preserve"> </w:t>
      </w:r>
    </w:p>
    <w:p w:rsidR="00025683" w:rsidRDefault="007C2AAB">
      <w:pPr>
        <w:spacing w:after="12"/>
        <w:ind w:left="240" w:right="197"/>
      </w:pPr>
      <w:r>
        <w:rPr>
          <w:b/>
        </w:rPr>
        <w:t>Título competencial</w:t>
      </w:r>
      <w:r>
        <w:rPr>
          <w:rFonts w:ascii="Times New Roman" w:eastAsia="Times New Roman" w:hAnsi="Times New Roman" w:cs="Times New Roman"/>
          <w:sz w:val="24"/>
        </w:rPr>
        <w:t xml:space="preserve"> </w:t>
      </w:r>
    </w:p>
    <w:p w:rsidR="00025683" w:rsidRDefault="007C2AAB">
      <w:pPr>
        <w:spacing w:after="103" w:line="259" w:lineRule="auto"/>
        <w:ind w:left="240" w:firstLine="0"/>
        <w:jc w:val="left"/>
      </w:pPr>
      <w:r>
        <w:rPr>
          <w:b/>
        </w:rPr>
        <w:t xml:space="preserve"> </w:t>
      </w:r>
    </w:p>
    <w:p w:rsidR="00025683" w:rsidRDefault="007C2AAB">
      <w:pPr>
        <w:spacing w:line="359" w:lineRule="auto"/>
        <w:ind w:left="240" w:right="200"/>
      </w:pPr>
      <w:r>
        <w:t>Esta ordenanza se dicta en ejercicio de las competencias atribuidas al Ayuntamiento en materia de limpieza, recogida y tratamiento de residuos, al amparo de lo dispuesto en los Artículos 25.2.b) y 26.1.a), b) y d) de la Ley 7/1985, de 2 de abril, Regulador</w:t>
      </w:r>
      <w:r>
        <w:t xml:space="preserve">a de las Bases de Régimen Local, así como en el Artículos 12.5 de la LRSC. </w:t>
      </w:r>
    </w:p>
    <w:p w:rsidR="00025683" w:rsidRDefault="007C2AAB">
      <w:pPr>
        <w:spacing w:after="12"/>
        <w:ind w:left="240" w:right="197"/>
      </w:pPr>
      <w:r>
        <w:rPr>
          <w:b/>
        </w:rPr>
        <w:t>DISPOSICIÓN FINAL SEGUNDA.</w:t>
      </w:r>
      <w:r>
        <w:rPr>
          <w:rFonts w:ascii="Times New Roman" w:eastAsia="Times New Roman" w:hAnsi="Times New Roman" w:cs="Times New Roman"/>
          <w:sz w:val="24"/>
        </w:rPr>
        <w:t xml:space="preserve"> </w:t>
      </w:r>
    </w:p>
    <w:p w:rsidR="00025683" w:rsidRDefault="007C2AAB">
      <w:pPr>
        <w:spacing w:after="114" w:line="259" w:lineRule="auto"/>
        <w:ind w:left="240" w:firstLine="0"/>
        <w:jc w:val="left"/>
      </w:pPr>
      <w:r>
        <w:t xml:space="preserve"> </w:t>
      </w:r>
    </w:p>
    <w:p w:rsidR="00025683" w:rsidRDefault="007C2AAB">
      <w:pPr>
        <w:spacing w:after="88"/>
        <w:ind w:left="240" w:right="200"/>
      </w:pPr>
      <w:r>
        <w:t>Interpretación y desarrollo de la ordenanza</w:t>
      </w:r>
      <w:r>
        <w:rPr>
          <w:rFonts w:ascii="Times New Roman" w:eastAsia="Times New Roman" w:hAnsi="Times New Roman" w:cs="Times New Roman"/>
          <w:sz w:val="24"/>
        </w:rPr>
        <w:t xml:space="preserve"> </w:t>
      </w:r>
    </w:p>
    <w:p w:rsidR="00025683" w:rsidRDefault="007C2AAB">
      <w:pPr>
        <w:spacing w:after="100" w:line="259" w:lineRule="auto"/>
        <w:ind w:left="240" w:firstLine="0"/>
        <w:jc w:val="left"/>
      </w:pPr>
      <w:r>
        <w:t xml:space="preserve"> </w:t>
      </w:r>
    </w:p>
    <w:p w:rsidR="00025683" w:rsidRDefault="007C2AAB">
      <w:pPr>
        <w:spacing w:after="253" w:line="358" w:lineRule="auto"/>
        <w:ind w:left="240" w:right="200"/>
      </w:pPr>
      <w:r>
        <w:t>La alcaldía y la Junta de Gobierno determinarán, en su ámbito competencial respectivo, el órgano superi</w:t>
      </w:r>
      <w:r>
        <w:t xml:space="preserve">or o directivo competente para: </w:t>
      </w:r>
    </w:p>
    <w:p w:rsidR="00025683" w:rsidRDefault="007C2AAB">
      <w:pPr>
        <w:numPr>
          <w:ilvl w:val="0"/>
          <w:numId w:val="157"/>
        </w:numPr>
        <w:ind w:right="200"/>
      </w:pPr>
      <w:r>
        <w:t>Interpretar y resolver cuantas cuestiones surjan de la interpretación de esta ordenanza.</w:t>
      </w:r>
      <w:r>
        <w:rPr>
          <w:rFonts w:ascii="Times New Roman" w:eastAsia="Times New Roman" w:hAnsi="Times New Roman" w:cs="Times New Roman"/>
          <w:sz w:val="24"/>
        </w:rPr>
        <w:t xml:space="preserve"> </w:t>
      </w:r>
    </w:p>
    <w:p w:rsidR="00025683" w:rsidRDefault="007C2AAB">
      <w:pPr>
        <w:spacing w:after="139" w:line="259" w:lineRule="auto"/>
        <w:ind w:left="240" w:firstLine="0"/>
        <w:jc w:val="left"/>
      </w:pPr>
      <w:r>
        <w:t xml:space="preserve"> </w:t>
      </w:r>
    </w:p>
    <w:p w:rsidR="00025683" w:rsidRDefault="007C2AAB">
      <w:pPr>
        <w:numPr>
          <w:ilvl w:val="0"/>
          <w:numId w:val="157"/>
        </w:numPr>
        <w:spacing w:after="216" w:line="357" w:lineRule="auto"/>
        <w:ind w:right="200"/>
      </w:pPr>
      <w:r>
        <w:t xml:space="preserve">Aprobar los acuerdos, decretos y resoluciones complementarios que sean necesarios </w:t>
      </w:r>
      <w:r>
        <w:t>para el desarrollo y cumplimiento de la ordenanza, que no podrán tener carácter normativo.</w:t>
      </w:r>
      <w:r>
        <w:rPr>
          <w:rFonts w:ascii="Times New Roman" w:eastAsia="Times New Roman" w:hAnsi="Times New Roman" w:cs="Times New Roman"/>
          <w:sz w:val="24"/>
        </w:rPr>
        <w:t xml:space="preserve"> </w:t>
      </w:r>
    </w:p>
    <w:p w:rsidR="00025683" w:rsidRDefault="007C2AAB">
      <w:pPr>
        <w:spacing w:after="12"/>
        <w:ind w:left="240" w:right="197"/>
      </w:pPr>
      <w:r>
        <w:rPr>
          <w:b/>
        </w:rPr>
        <w:t>DISPOSICIÓN FINAL TERCERA.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Comunicación, publicación y entrada en vigor </w:t>
      </w:r>
    </w:p>
    <w:p w:rsidR="00025683" w:rsidRDefault="007C2AAB">
      <w:pPr>
        <w:spacing w:after="139" w:line="259" w:lineRule="auto"/>
        <w:ind w:left="240" w:firstLine="0"/>
        <w:jc w:val="left"/>
      </w:pPr>
      <w:r>
        <w:t xml:space="preserve"> </w:t>
      </w:r>
    </w:p>
    <w:p w:rsidR="00025683" w:rsidRDefault="007C2AAB">
      <w:pPr>
        <w:numPr>
          <w:ilvl w:val="0"/>
          <w:numId w:val="158"/>
        </w:numPr>
        <w:spacing w:after="132" w:line="388" w:lineRule="auto"/>
        <w:ind w:right="200"/>
      </w:pPr>
      <w:r>
        <w:t>El acuerdo de aprobación definitiva de la presente ordenanza se publicará íntegramente</w:t>
      </w:r>
      <w:r>
        <w:t xml:space="preserve"> en el Boletín Oficial de La Provincia y en el “Boletín del Ayuntamiento”.</w:t>
      </w:r>
      <w:r>
        <w:rPr>
          <w:rFonts w:ascii="Times New Roman" w:eastAsia="Times New Roman" w:hAnsi="Times New Roman" w:cs="Times New Roman"/>
          <w:sz w:val="24"/>
        </w:rPr>
        <w:t xml:space="preserve"> </w:t>
      </w:r>
    </w:p>
    <w:p w:rsidR="00025683" w:rsidRDefault="007C2AAB">
      <w:pPr>
        <w:numPr>
          <w:ilvl w:val="0"/>
          <w:numId w:val="158"/>
        </w:numPr>
        <w:spacing w:after="174" w:line="354" w:lineRule="auto"/>
        <w:ind w:right="200"/>
      </w:pPr>
      <w:r>
        <w:rPr>
          <w:rFonts w:ascii="Calibri" w:eastAsia="Calibri" w:hAnsi="Calibri" w:cs="Calibri"/>
          <w:noProof/>
        </w:rPr>
        <mc:AlternateContent>
          <mc:Choice Requires="wpg">
            <w:drawing>
              <wp:anchor distT="0" distB="0" distL="114300" distR="114300" simplePos="0" relativeHeight="25198387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6500" name="Group 4265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160" name="Rectangle 4616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6161" name="Rectangle 4616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162" name="Rectangle 4616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303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6500" style="width:18.7031pt;height:264.21pt;position:absolute;mso-position-horizontal-relative:page;mso-position-horizontal:absolute;margin-left:662.928pt;mso-position-vertical-relative:page;margin-top:507.75pt;" coordsize="2375,33554">
                <v:rect id="Rectangle 4616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616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16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303 de 350 </w:t>
                        </w:r>
                      </w:p>
                    </w:txbxContent>
                  </v:textbox>
                </v:rect>
                <w10:wrap type="square"/>
              </v:group>
            </w:pict>
          </mc:Fallback>
        </mc:AlternateContent>
      </w:r>
      <w:r>
        <w:t>La ordenanza entrará en vigor al día siguiente de su publicación en el Boletín Oficial de La Provincia.</w:t>
      </w:r>
      <w:r>
        <w:rPr>
          <w:rFonts w:ascii="Times New Roman" w:eastAsia="Times New Roman" w:hAnsi="Times New Roman" w:cs="Times New Roman"/>
          <w:sz w:val="24"/>
        </w:rPr>
        <w:t xml:space="preserve"> </w:t>
      </w:r>
    </w:p>
    <w:p w:rsidR="00025683" w:rsidRDefault="007C2AAB">
      <w:pPr>
        <w:numPr>
          <w:ilvl w:val="0"/>
          <w:numId w:val="158"/>
        </w:numPr>
        <w:spacing w:after="174" w:line="355" w:lineRule="auto"/>
        <w:ind w:right="200"/>
      </w:pPr>
      <w:r>
        <w:t>Sin perjuicio de lo anterior, el acuerdo de aprobación s</w:t>
      </w:r>
      <w:r>
        <w:t>e remitirá a la Administración General del Estado y a la Administración de la Comunidad Autónoma de Canarias.</w:t>
      </w:r>
      <w:r>
        <w:rPr>
          <w:rFonts w:ascii="Times New Roman" w:eastAsia="Times New Roman" w:hAnsi="Times New Roman" w:cs="Times New Roman"/>
          <w:sz w:val="24"/>
        </w:rPr>
        <w:t xml:space="preserve"> </w:t>
      </w:r>
    </w:p>
    <w:p w:rsidR="00025683" w:rsidRDefault="007C2AAB">
      <w:pPr>
        <w:spacing w:after="185" w:line="375" w:lineRule="auto"/>
        <w:ind w:left="240" w:right="200"/>
      </w:pPr>
      <w:r>
        <w:rPr>
          <w:rFonts w:ascii="Calibri" w:eastAsia="Calibri" w:hAnsi="Calibri" w:cs="Calibri"/>
          <w:sz w:val="24"/>
        </w:rPr>
        <w:t>2.</w:t>
      </w:r>
      <w:r>
        <w:rPr>
          <w:sz w:val="24"/>
        </w:rPr>
        <w:t xml:space="preserve"> </w:t>
      </w:r>
      <w:r>
        <w:t xml:space="preserve">No obstante, lo previsto en el apartado anterior, se establecen plazos específicos para la entrada en vigor de las siguientes cuestiones: </w:t>
      </w:r>
    </w:p>
    <w:p w:rsidR="00025683" w:rsidRDefault="007C2AAB">
      <w:pPr>
        <w:numPr>
          <w:ilvl w:val="0"/>
          <w:numId w:val="159"/>
        </w:numPr>
        <w:spacing w:after="174" w:line="355" w:lineRule="auto"/>
        <w:ind w:right="200"/>
      </w:pPr>
      <w:r>
        <w:t xml:space="preserve">La </w:t>
      </w:r>
      <w:r>
        <w:t>obligación de instalar las papeleras que figuran en el Artículo 10 apartados 4 y 6, entrará en vigor a los 2 años de la publicación de la presente ordenanza.</w:t>
      </w:r>
      <w:r>
        <w:rPr>
          <w:rFonts w:ascii="Times New Roman" w:eastAsia="Times New Roman" w:hAnsi="Times New Roman" w:cs="Times New Roman"/>
          <w:sz w:val="24"/>
        </w:rPr>
        <w:t xml:space="preserve"> </w:t>
      </w:r>
    </w:p>
    <w:p w:rsidR="00025683" w:rsidRDefault="007C2AAB">
      <w:pPr>
        <w:numPr>
          <w:ilvl w:val="0"/>
          <w:numId w:val="159"/>
        </w:numPr>
        <w:spacing w:after="170" w:line="358" w:lineRule="auto"/>
        <w:ind w:right="200"/>
      </w:pPr>
      <w:r>
        <w:t>La separación, depósito y recogida de residuos de plástico, metal y brik, establecida en el Artíc</w:t>
      </w:r>
      <w:r>
        <w:t>ulo 48, se aplicará en el plazo máximo de 12 meses, periodo en el que se informará a la ciudadanía y se adaptarán los procesos de tratamiento. Hasta ese momento, en el contenedor amarillo se depositarán los mismos residuos que se venían depositando hasta l</w:t>
      </w:r>
      <w:r>
        <w:t>a entrada en vigor de la presente ordenanza.</w:t>
      </w:r>
      <w:r>
        <w:rPr>
          <w:rFonts w:ascii="Times New Roman" w:eastAsia="Times New Roman" w:hAnsi="Times New Roman" w:cs="Times New Roman"/>
          <w:sz w:val="24"/>
        </w:rPr>
        <w:t xml:space="preserve"> </w:t>
      </w:r>
    </w:p>
    <w:p w:rsidR="00025683" w:rsidRDefault="007C2AAB">
      <w:pPr>
        <w:numPr>
          <w:ilvl w:val="0"/>
          <w:numId w:val="159"/>
        </w:numPr>
        <w:spacing w:line="387" w:lineRule="auto"/>
        <w:ind w:right="200"/>
      </w:pPr>
      <w:r>
        <w:t>Lo dispuesto en los Artículos 58.6 a) y 58.7 entrará en vigor a los 6 meses desde la entrada en vigor de esta ordenanza.”.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38" w:line="259" w:lineRule="auto"/>
        <w:ind w:left="240" w:firstLine="0"/>
        <w:jc w:val="left"/>
      </w:pPr>
      <w:r>
        <w:rPr>
          <w:b/>
        </w:rPr>
        <w:t xml:space="preserve"> </w:t>
      </w:r>
    </w:p>
    <w:p w:rsidR="00025683" w:rsidRDefault="007C2AAB">
      <w:pPr>
        <w:spacing w:after="4" w:line="245" w:lineRule="auto"/>
        <w:ind w:left="250" w:right="59" w:hanging="10"/>
      </w:pPr>
      <w:r>
        <w:rPr>
          <w:b/>
          <w:sz w:val="28"/>
        </w:rPr>
        <w:t xml:space="preserve">9.- </w:t>
      </w:r>
      <w:r>
        <w:rPr>
          <w:b/>
          <w:sz w:val="28"/>
          <w:u w:val="single" w:color="000000"/>
        </w:rPr>
        <w:t>Expediente 10930/2025</w:t>
      </w:r>
      <w:r>
        <w:rPr>
          <w:b/>
          <w:sz w:val="28"/>
        </w:rPr>
        <w:t>. Propuesta de la Alcaldesa-</w:t>
      </w:r>
      <w:r>
        <w:rPr>
          <w:b/>
          <w:sz w:val="28"/>
        </w:rPr>
        <w:t>Presidenta al Pleno de Aprobación inicial del Reglamento de Participación Ciudadana del Ayuntamiento de Candelaria.</w:t>
      </w:r>
      <w:r>
        <w:rPr>
          <w:rFonts w:ascii="Times New Roman" w:eastAsia="Times New Roman" w:hAnsi="Times New Roman" w:cs="Times New Roman"/>
          <w:sz w:val="28"/>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62"/>
      </w:pPr>
      <w:r>
        <w:rPr>
          <w:b/>
        </w:rPr>
        <w:t xml:space="preserve">Consta en el expediente Informe de Secretaría General, emitido por Don Octavio Manuel Fernández Hernández, Secretario General, de fecha 15 de diciembre de 2025, del siguiente tenor literal: </w:t>
      </w:r>
    </w:p>
    <w:p w:rsidR="00025683" w:rsidRDefault="007C2AAB">
      <w:pPr>
        <w:spacing w:after="0" w:line="259" w:lineRule="auto"/>
        <w:ind w:left="240" w:firstLine="0"/>
        <w:jc w:val="left"/>
      </w:pPr>
      <w:r>
        <w:rPr>
          <w:b/>
        </w:rPr>
        <w:t xml:space="preserve"> </w:t>
      </w:r>
    </w:p>
    <w:p w:rsidR="00025683" w:rsidRDefault="007C2AAB">
      <w:pPr>
        <w:spacing w:after="23" w:line="259" w:lineRule="auto"/>
        <w:ind w:left="240" w:firstLine="0"/>
        <w:jc w:val="left"/>
      </w:pPr>
      <w:r>
        <w:rPr>
          <w:b/>
          <w:color w:val="FF0000"/>
        </w:rPr>
        <w:t xml:space="preserve"> </w:t>
      </w:r>
    </w:p>
    <w:p w:rsidR="00025683" w:rsidRDefault="007C2AAB">
      <w:pPr>
        <w:pStyle w:val="Ttulo4"/>
        <w:ind w:left="274" w:right="90"/>
      </w:pPr>
      <w:r>
        <w:t xml:space="preserve">“INFORME DE SECRETARÍA GENERAL </w:t>
      </w:r>
    </w:p>
    <w:p w:rsidR="00025683" w:rsidRDefault="007C2AAB">
      <w:pPr>
        <w:spacing w:after="0" w:line="259" w:lineRule="auto"/>
        <w:ind w:left="243" w:firstLine="0"/>
        <w:jc w:val="center"/>
      </w:pPr>
      <w:r>
        <w:t xml:space="preserve"> </w:t>
      </w:r>
    </w:p>
    <w:p w:rsidR="00025683" w:rsidRDefault="007C2AAB">
      <w:pPr>
        <w:spacing w:after="12"/>
        <w:ind w:left="240" w:right="57"/>
      </w:pPr>
      <w:r>
        <w:rPr>
          <w:b/>
        </w:rPr>
        <w:t>Visto el expediente relativ</w:t>
      </w:r>
      <w:r>
        <w:rPr>
          <w:b/>
        </w:rPr>
        <w:t xml:space="preserve">o al Reglamento de Participación Ciudadana del municipio de Candelaria el Secretario General, Octavio Manuel Fernández Hernández y la Técnico de Administración General, Helena Larrinaga Doval, emiten el siguiente INFORME: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t xml:space="preserve"> </w:t>
      </w:r>
    </w:p>
    <w:p w:rsidR="00025683" w:rsidRDefault="007C2AAB">
      <w:pPr>
        <w:pStyle w:val="Ttulo4"/>
        <w:ind w:left="274" w:right="31"/>
      </w:pPr>
      <w:r>
        <w:t xml:space="preserve">ANTECEDENTES </w:t>
      </w:r>
    </w:p>
    <w:p w:rsidR="00025683" w:rsidRDefault="007C2AAB">
      <w:pPr>
        <w:spacing w:after="0" w:line="259" w:lineRule="auto"/>
        <w:ind w:left="295" w:firstLine="0"/>
        <w:jc w:val="center"/>
      </w:pPr>
      <w:r>
        <w:t xml:space="preserve"> </w:t>
      </w:r>
    </w:p>
    <w:p w:rsidR="00025683" w:rsidRDefault="007C2AAB">
      <w:pPr>
        <w:ind w:left="240"/>
      </w:pPr>
      <w:r>
        <w:rPr>
          <w:rFonts w:ascii="Calibri" w:eastAsia="Calibri" w:hAnsi="Calibri" w:cs="Calibri"/>
          <w:noProof/>
        </w:rPr>
        <mc:AlternateContent>
          <mc:Choice Requires="wpg">
            <w:drawing>
              <wp:anchor distT="0" distB="0" distL="114300" distR="114300" simplePos="0" relativeHeight="25198489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6577" name="Group 4265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286" name="Rectangle 4628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6287" name="Rectangle 4628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288" name="Rectangle 4628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304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6577" style="width:18.7031pt;height:264.21pt;position:absolute;mso-position-horizontal-relative:page;mso-position-horizontal:absolute;margin-left:662.928pt;mso-position-vertical-relative:page;margin-top:507.75pt;" coordsize="2375,33554">
                <v:rect id="Rectangle 4628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628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28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304 de 350 </w:t>
                        </w:r>
                      </w:p>
                    </w:txbxContent>
                  </v:textbox>
                </v:rect>
                <w10:wrap type="square"/>
              </v:group>
            </w:pict>
          </mc:Fallback>
        </mc:AlternateContent>
      </w:r>
      <w:r>
        <w:rPr>
          <w:b/>
        </w:rPr>
        <w:t xml:space="preserve">       PRIMERO.- </w:t>
      </w:r>
      <w:r>
        <w:t>Consta en el expediente Providencia suscrit</w:t>
      </w:r>
      <w:r>
        <w:t>a el 4 de noviembre de 2025, por la Concejala Delegada de Atención y Participación Ciudadana.</w:t>
      </w:r>
      <w:r>
        <w:rPr>
          <w:rFonts w:ascii="Times New Roman" w:eastAsia="Times New Roman" w:hAnsi="Times New Roman" w:cs="Times New Roman"/>
          <w:sz w:val="24"/>
        </w:rPr>
        <w:t xml:space="preserve"> </w:t>
      </w:r>
    </w:p>
    <w:p w:rsidR="00025683" w:rsidRDefault="007C2AAB">
      <w:pPr>
        <w:spacing w:after="0" w:line="259" w:lineRule="auto"/>
        <w:ind w:left="255" w:firstLine="0"/>
        <w:jc w:val="left"/>
      </w:pPr>
      <w:r>
        <w:t xml:space="preserve"> </w:t>
      </w:r>
    </w:p>
    <w:p w:rsidR="00025683" w:rsidRDefault="007C2AAB">
      <w:pPr>
        <w:ind w:left="240" w:right="55"/>
      </w:pPr>
      <w:r>
        <w:rPr>
          <w:b/>
        </w:rPr>
        <w:t xml:space="preserve">       SEGUNDO.- </w:t>
      </w:r>
      <w:r>
        <w:t>Consta en el expediente Anuncio del trámite de consulta previa sobre proyecto de Reglamento Municipal de Participación Ciudadana suscrito por la Concejala Delegada de Atención y Participación Ciudadana el 5 de noviembre de 2025, en la que de conformidad co</w:t>
      </w:r>
      <w:r>
        <w:t>n lo previsto en el artículo 133.1 de la Ley 39/2015, de 1 de octubre de Procedimiento Administrativo Común de las Administraciones Públicas, se recaba la opinión de los sujetos y organizaciones más representativas potencialmente afectados por la futura no</w:t>
      </w:r>
      <w:r>
        <w:t>rma en relación a los problemas que se pretenden solucionar con la iniciativa; La necesidad y oportunidad de su aprobación; Los objetivos de la norma y las posibles soluciones alternativas regulatorias y no regulatorias.</w:t>
      </w:r>
      <w:r>
        <w:rPr>
          <w:rFonts w:ascii="Times New Roman" w:eastAsia="Times New Roman" w:hAnsi="Times New Roman" w:cs="Times New Roman"/>
          <w:sz w:val="24"/>
        </w:rPr>
        <w:t xml:space="preserve"> </w:t>
      </w:r>
    </w:p>
    <w:p w:rsidR="00025683" w:rsidRDefault="007C2AAB">
      <w:pPr>
        <w:spacing w:after="239" w:line="259" w:lineRule="auto"/>
        <w:ind w:left="240" w:firstLine="0"/>
        <w:jc w:val="left"/>
      </w:pPr>
      <w:r>
        <w:t xml:space="preserve"> </w:t>
      </w:r>
    </w:p>
    <w:p w:rsidR="00025683" w:rsidRDefault="007C2AAB">
      <w:pPr>
        <w:spacing w:after="234"/>
        <w:ind w:left="240" w:right="541"/>
      </w:pPr>
      <w:r>
        <w:t xml:space="preserve">       </w:t>
      </w:r>
      <w:r>
        <w:rPr>
          <w:b/>
        </w:rPr>
        <w:t xml:space="preserve">TERCERO.- </w:t>
      </w:r>
      <w:r>
        <w:t xml:space="preserve">Consta informe </w:t>
      </w:r>
      <w:r>
        <w:t>suscrito por la dinamizadora de participación ciudadana el 28 de noviembre de 2025 en el que se indica que el resultado de la publicación de consulta pública previa sobre el Reglamento de Participación ciudadana, no ha registrado ninguna aportación a travé</w:t>
      </w:r>
      <w:r>
        <w:t>s del Registro General del Ayuntamiento, ni en el tablón de anuncios y edictos, ni a través de portal web municipal en su sección de participación pública en proyectos normativos desde el 5 de noviembre hasta el 26 de noviembre de 2025, siendo objeto de 33</w:t>
      </w:r>
      <w:r>
        <w:t xml:space="preserve"> visitas, con 5 votos positivos y ningún voto negativo, en este último.</w:t>
      </w:r>
      <w:r>
        <w:rPr>
          <w:rFonts w:ascii="Times New Roman" w:eastAsia="Times New Roman" w:hAnsi="Times New Roman" w:cs="Times New Roman"/>
          <w:sz w:val="24"/>
        </w:rPr>
        <w:t xml:space="preserve"> </w:t>
      </w:r>
    </w:p>
    <w:p w:rsidR="00025683" w:rsidRDefault="007C2AAB">
      <w:pPr>
        <w:ind w:left="240" w:right="57"/>
      </w:pPr>
      <w:r>
        <w:rPr>
          <w:b/>
        </w:rPr>
        <w:t xml:space="preserve">       CUARTO.- </w:t>
      </w:r>
      <w:r>
        <w:t>Consta informe técnico en el expediente en el que se expone el proceso participativo que se ha llevado a cabo desde 23 de abril, con la recogida de propuestas, hasta 3</w:t>
      </w:r>
      <w:r>
        <w:t xml:space="preserve"> noviembre con la devolución a la ciudadanía de las mismas, suscrito por la dinamizadora de participación ciudadana, Dña. Concepción Sicilia González, y donde se indica la idoneidad de aprobar el Reglamento de Participación Ciudadana que ha tenido en cuent</w:t>
      </w:r>
      <w:r>
        <w:t xml:space="preserve">a la opinión ciudadana, como garantiza la normativa correspondiente, respetando el marco competencial municipal, sin incrementar el gasto más allá de los recursos asignado y su redacción es adecuada. Asimismo, encontramos en el expediente las actas de las </w:t>
      </w:r>
      <w:r>
        <w:t>Mesas Comunitarias, como el informe suscrito por la Asociación Educación para la Convivencia Mosaico Canarias, documentos de apoyo a este informe.</w:t>
      </w:r>
      <w:r>
        <w:rPr>
          <w:rFonts w:ascii="Times New Roman" w:eastAsia="Times New Roman" w:hAnsi="Times New Roman" w:cs="Times New Roman"/>
          <w:sz w:val="24"/>
        </w:rPr>
        <w:t xml:space="preserve"> </w:t>
      </w:r>
    </w:p>
    <w:p w:rsidR="00025683" w:rsidRDefault="007C2AAB">
      <w:pPr>
        <w:spacing w:after="0" w:line="259" w:lineRule="auto"/>
        <w:ind w:left="255" w:firstLine="0"/>
        <w:jc w:val="left"/>
      </w:pPr>
      <w:r>
        <w:t xml:space="preserve"> </w:t>
      </w:r>
    </w:p>
    <w:p w:rsidR="00025683" w:rsidRDefault="007C2AAB">
      <w:pPr>
        <w:spacing w:after="0" w:line="259" w:lineRule="auto"/>
        <w:ind w:left="255" w:firstLine="0"/>
        <w:jc w:val="left"/>
      </w:pPr>
      <w:r>
        <w:t xml:space="preserve"> </w:t>
      </w:r>
    </w:p>
    <w:p w:rsidR="00025683" w:rsidRDefault="007C2AAB">
      <w:pPr>
        <w:pStyle w:val="Ttulo4"/>
        <w:ind w:left="274" w:right="43"/>
      </w:pPr>
      <w:r>
        <w:t xml:space="preserve">FUNDAMENTOS DE DERECHO </w:t>
      </w:r>
    </w:p>
    <w:p w:rsidR="00025683" w:rsidRDefault="007C2AAB">
      <w:pPr>
        <w:spacing w:after="0" w:line="259" w:lineRule="auto"/>
        <w:ind w:left="286" w:firstLine="0"/>
        <w:jc w:val="center"/>
      </w:pPr>
      <w:r>
        <w:t xml:space="preserve"> </w:t>
      </w:r>
    </w:p>
    <w:p w:rsidR="00025683" w:rsidRDefault="007C2AAB">
      <w:pPr>
        <w:ind w:left="240" w:right="58"/>
      </w:pPr>
      <w:r>
        <w:rPr>
          <w:b/>
        </w:rPr>
        <w:t xml:space="preserve">    </w:t>
      </w:r>
      <w:r>
        <w:rPr>
          <w:b/>
        </w:rPr>
        <w:t>Primero. En la Ley 7/2015, de 1 de abril, de Municipios de Canarias: en su artículo 21 obliga a tener un reglamento que regule los procedimientos y órganos competentes para garantizar la participación de la ciudadanía</w:t>
      </w:r>
      <w:r>
        <w:t>, por lo que es un instrumento adecuado</w:t>
      </w:r>
      <w:r>
        <w:t xml:space="preserve"> para regular las formas y órganos de participación ciudadana, disposición administrativa de rango inferior a la Ley, de exclusiva y mejor aplicación en el municipio de Candelaria, para así completar la normativa de aplicación, dada su peculiaridad y difer</w:t>
      </w:r>
      <w:r>
        <w:t>enciación con respecto a las Leyes y Reglamentos de ámbito de aplicación más amplio.</w:t>
      </w:r>
      <w:r>
        <w:rPr>
          <w:rFonts w:ascii="Times New Roman" w:eastAsia="Times New Roman" w:hAnsi="Times New Roman" w:cs="Times New Roman"/>
          <w:sz w:val="24"/>
        </w:rPr>
        <w:t xml:space="preserve"> </w:t>
      </w:r>
    </w:p>
    <w:p w:rsidR="00025683" w:rsidRDefault="007C2AAB">
      <w:pPr>
        <w:spacing w:after="0" w:line="259" w:lineRule="auto"/>
        <w:ind w:left="248" w:firstLine="0"/>
        <w:jc w:val="left"/>
      </w:pPr>
      <w:r>
        <w:t xml:space="preserve"> </w:t>
      </w:r>
    </w:p>
    <w:p w:rsidR="00025683" w:rsidRDefault="007C2AAB">
      <w:pPr>
        <w:spacing w:after="12"/>
        <w:ind w:left="240" w:right="56"/>
      </w:pPr>
      <w:r>
        <w:rPr>
          <w:b/>
        </w:rPr>
        <w:t xml:space="preserve">    A tenor del artículo 49 de la Ley 7/1985, de 2 de abril, Reguladora de las Bases de Régimen Local, complementado por los artículos 55 a 59 del Real Decreto Legislat</w:t>
      </w:r>
      <w:r>
        <w:rPr>
          <w:b/>
        </w:rPr>
        <w:t>ivo 781/1986, de 18 de abril, por el que se aprueba el Texto Refundido de las Disposiciones Legales Vigentes en Materia de Régimen Local, la aprobación de las ordenanzas locales se ajustará al siguiente procedimiento:</w:t>
      </w:r>
      <w:r>
        <w:rPr>
          <w:rFonts w:ascii="Times New Roman" w:eastAsia="Times New Roman" w:hAnsi="Times New Roman" w:cs="Times New Roman"/>
          <w:sz w:val="24"/>
        </w:rPr>
        <w:t xml:space="preserve"> </w:t>
      </w:r>
    </w:p>
    <w:p w:rsidR="00025683" w:rsidRDefault="007C2AAB">
      <w:pPr>
        <w:spacing w:after="31" w:line="259" w:lineRule="auto"/>
        <w:ind w:left="240" w:firstLine="0"/>
        <w:jc w:val="left"/>
      </w:pPr>
      <w:r>
        <w:t xml:space="preserve"> </w:t>
      </w:r>
    </w:p>
    <w:p w:rsidR="00025683" w:rsidRDefault="007C2AAB">
      <w:pPr>
        <w:numPr>
          <w:ilvl w:val="0"/>
          <w:numId w:val="160"/>
        </w:numPr>
        <w:ind w:hanging="360"/>
      </w:pPr>
      <w:r>
        <w:t xml:space="preserve">Aprobación inicial por el Pleno </w:t>
      </w:r>
    </w:p>
    <w:p w:rsidR="00025683" w:rsidRDefault="007C2AAB">
      <w:pPr>
        <w:spacing w:after="0" w:line="259" w:lineRule="auto"/>
        <w:ind w:left="240" w:firstLine="0"/>
        <w:jc w:val="left"/>
      </w:pPr>
      <w:r>
        <w:t xml:space="preserve"> </w:t>
      </w:r>
    </w:p>
    <w:p w:rsidR="00025683" w:rsidRDefault="007C2AAB">
      <w:pPr>
        <w:numPr>
          <w:ilvl w:val="0"/>
          <w:numId w:val="160"/>
        </w:numPr>
        <w:ind w:hanging="360"/>
      </w:pPr>
      <w:r>
        <w:rPr>
          <w:rFonts w:ascii="Calibri" w:eastAsia="Calibri" w:hAnsi="Calibri" w:cs="Calibri"/>
          <w:noProof/>
        </w:rPr>
        <mc:AlternateContent>
          <mc:Choice Requires="wpg">
            <w:drawing>
              <wp:anchor distT="0" distB="0" distL="114300" distR="114300" simplePos="0" relativeHeight="25198592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4112" name="Group 4241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411" name="Rectangle 4641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6412" name="Rectangle 4641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413" name="Rectangle 4641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305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4112" style="width:18.7031pt;height:264.21pt;position:absolute;mso-position-horizontal-relative:page;mso-position-horizontal:absolute;margin-left:662.928pt;mso-position-vertical-relative:page;margin-top:507.75pt;" coordsize="2375,33554">
                <v:rect id="Rectangle 4641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641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41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305 de 350 </w:t>
                        </w:r>
                      </w:p>
                    </w:txbxContent>
                  </v:textbox>
                </v:rect>
                <w10:wrap type="square"/>
              </v:group>
            </w:pict>
          </mc:Fallback>
        </mc:AlternateContent>
      </w:r>
      <w:r>
        <w:t xml:space="preserve">Información Pública y audiencia a los interesados por el </w:t>
      </w:r>
      <w:r>
        <w:t xml:space="preserve">plazo mínimo de treinta días para la presentación de reclamaciones y sugerencias. </w:t>
      </w:r>
    </w:p>
    <w:p w:rsidR="00025683" w:rsidRDefault="007C2AAB">
      <w:pPr>
        <w:spacing w:after="0" w:line="259" w:lineRule="auto"/>
        <w:ind w:left="240" w:firstLine="0"/>
        <w:jc w:val="left"/>
      </w:pPr>
      <w:r>
        <w:t xml:space="preserve"> </w:t>
      </w:r>
    </w:p>
    <w:p w:rsidR="00025683" w:rsidRDefault="007C2AAB">
      <w:pPr>
        <w:numPr>
          <w:ilvl w:val="0"/>
          <w:numId w:val="160"/>
        </w:numPr>
        <w:ind w:hanging="360"/>
      </w:pPr>
      <w:r>
        <w:t xml:space="preserve">Resolución de todas las reclamaciones y sugerencias presentadas dentro del plazo y aprobación definitiva por el Pleno.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ind w:left="255"/>
      </w:pPr>
      <w:r>
        <w:t xml:space="preserve">     </w:t>
      </w:r>
      <w:r>
        <w:t>En el caso de que no se hubiera presentado ninguna reclamación o sugerencia, se entenderá definitivamente adoptado el acuerdo hasta entonces provisional</w:t>
      </w:r>
      <w:r>
        <w:rPr>
          <w:color w:val="FF0000"/>
        </w:rPr>
        <w:t>.</w:t>
      </w:r>
      <w:r>
        <w:rPr>
          <w:rFonts w:ascii="Times New Roman" w:eastAsia="Times New Roman" w:hAnsi="Times New Roman" w:cs="Times New Roman"/>
          <w:sz w:val="24"/>
        </w:rPr>
        <w:t xml:space="preserve"> </w:t>
      </w:r>
    </w:p>
    <w:p w:rsidR="00025683" w:rsidRDefault="007C2AAB">
      <w:pPr>
        <w:spacing w:after="0" w:line="259" w:lineRule="auto"/>
        <w:ind w:left="255" w:firstLine="0"/>
        <w:jc w:val="left"/>
      </w:pPr>
      <w:r>
        <w:rPr>
          <w:color w:val="FF0000"/>
        </w:rPr>
        <w:t xml:space="preserve"> </w:t>
      </w:r>
    </w:p>
    <w:p w:rsidR="00025683" w:rsidRDefault="007C2AAB">
      <w:pPr>
        <w:spacing w:after="0" w:line="259" w:lineRule="auto"/>
        <w:ind w:left="255" w:firstLine="0"/>
        <w:jc w:val="left"/>
      </w:pPr>
      <w:r>
        <w:rPr>
          <w:color w:val="FF0000"/>
        </w:rPr>
        <w:t xml:space="preserve"> </w:t>
      </w:r>
    </w:p>
    <w:p w:rsidR="00025683" w:rsidRDefault="007C2AAB">
      <w:pPr>
        <w:spacing w:after="12"/>
        <w:ind w:left="240" w:right="57"/>
      </w:pPr>
      <w:r>
        <w:rPr>
          <w:b/>
        </w:rPr>
        <w:t xml:space="preserve">     Segundo. En relación al informe técnico municipal se hace constar que indica que el Reglamen</w:t>
      </w:r>
      <w:r>
        <w:rPr>
          <w:b/>
        </w:rPr>
        <w:t xml:space="preserve">to de Participación Ciudadana es compatible con la normativa correspondiente, </w:t>
      </w:r>
      <w:r>
        <w:t>ya que el Reglamento respeta el marco competencial municipal, no implica incremento de gasto más allá de los recursos asignados y su redacción se considera adecuada.</w:t>
      </w:r>
      <w:r>
        <w:rPr>
          <w:rFonts w:ascii="Times New Roman" w:eastAsia="Times New Roman" w:hAnsi="Times New Roman" w:cs="Times New Roman"/>
          <w:sz w:val="24"/>
        </w:rPr>
        <w:t xml:space="preserve"> </w:t>
      </w:r>
    </w:p>
    <w:p w:rsidR="00025683" w:rsidRDefault="007C2AAB">
      <w:pPr>
        <w:spacing w:after="0" w:line="259" w:lineRule="auto"/>
        <w:ind w:left="255" w:firstLine="0"/>
        <w:jc w:val="left"/>
      </w:pPr>
      <w:r>
        <w:t xml:space="preserve"> </w:t>
      </w:r>
    </w:p>
    <w:p w:rsidR="00025683" w:rsidRDefault="007C2AAB">
      <w:pPr>
        <w:spacing w:after="12"/>
        <w:ind w:left="240" w:right="61"/>
      </w:pPr>
      <w:r>
        <w:rPr>
          <w:b/>
        </w:rPr>
        <w:t xml:space="preserve">     </w:t>
      </w:r>
      <w:r>
        <w:rPr>
          <w:b/>
        </w:rPr>
        <w:t xml:space="preserve">Tercero. En cuanto a los instrumentos de participación ciudadana que el Reglamento contempla cumple con las previsiones legales establecidas en los artículos 24 y 69 al 73 de la Ley de Bases del Régimen local que son los siguientes: </w:t>
      </w:r>
    </w:p>
    <w:p w:rsidR="00025683" w:rsidRDefault="007C2AAB">
      <w:pPr>
        <w:spacing w:after="0" w:line="259" w:lineRule="auto"/>
        <w:ind w:left="255" w:firstLine="0"/>
        <w:jc w:val="left"/>
      </w:pPr>
      <w:r>
        <w:t xml:space="preserve"> </w:t>
      </w:r>
    </w:p>
    <w:p w:rsidR="00025683" w:rsidRDefault="007C2AAB">
      <w:pPr>
        <w:spacing w:after="12"/>
        <w:ind w:left="240" w:right="197"/>
      </w:pPr>
      <w:r>
        <w:rPr>
          <w:b/>
        </w:rPr>
        <w:t xml:space="preserve">     Artículo 24 de </w:t>
      </w:r>
      <w:r>
        <w:rPr>
          <w:b/>
        </w:rPr>
        <w:t xml:space="preserve">la Ley de Bases del Régimen local: </w:t>
      </w:r>
    </w:p>
    <w:p w:rsidR="00025683" w:rsidRDefault="007C2AAB">
      <w:pPr>
        <w:spacing w:after="0" w:line="259" w:lineRule="auto"/>
        <w:ind w:left="255" w:firstLine="0"/>
        <w:jc w:val="left"/>
      </w:pPr>
      <w:r>
        <w:t xml:space="preserve"> </w:t>
      </w:r>
    </w:p>
    <w:p w:rsidR="00025683" w:rsidRDefault="007C2AAB">
      <w:pPr>
        <w:numPr>
          <w:ilvl w:val="0"/>
          <w:numId w:val="161"/>
        </w:numPr>
        <w:spacing w:line="238" w:lineRule="auto"/>
        <w:ind w:right="49"/>
      </w:pPr>
      <w:r>
        <w:rPr>
          <w:i/>
        </w:rPr>
        <w:t>Para facilitar la participación ciudadana en la gestión de los asuntos locales y mejorar ésta, los municipios podrán establecer órganos territoriales de gestión desconcentrada, con la organización, funciones y competen</w:t>
      </w:r>
      <w:r>
        <w:rPr>
          <w:i/>
        </w:rPr>
        <w:t xml:space="preserve">cias que cada ayuntamiento les confiera, atendiendo a las características del asentamiento de la población en el término municipal, sin perjuicio de la unidad de gobierno y gestión del municipio.  </w:t>
      </w:r>
    </w:p>
    <w:p w:rsidR="00025683" w:rsidRDefault="007C2AAB">
      <w:pPr>
        <w:spacing w:after="0" w:line="259" w:lineRule="auto"/>
        <w:ind w:left="255" w:firstLine="0"/>
        <w:jc w:val="left"/>
      </w:pPr>
      <w:r>
        <w:t xml:space="preserve"> </w:t>
      </w:r>
    </w:p>
    <w:p w:rsidR="00025683" w:rsidRDefault="007C2AAB">
      <w:pPr>
        <w:numPr>
          <w:ilvl w:val="0"/>
          <w:numId w:val="161"/>
        </w:numPr>
        <w:spacing w:line="238" w:lineRule="auto"/>
        <w:ind w:right="49"/>
      </w:pPr>
      <w:r>
        <w:rPr>
          <w:i/>
        </w:rPr>
        <w:t>En los municipios señalados en el artículo 121 será de a</w:t>
      </w:r>
      <w:r>
        <w:rPr>
          <w:i/>
        </w:rPr>
        <w:t xml:space="preserve">plicación el régimen de gestión desconcentrada establecido en el artículo 128. </w:t>
      </w:r>
    </w:p>
    <w:p w:rsidR="00025683" w:rsidRDefault="007C2AAB">
      <w:pPr>
        <w:spacing w:after="0" w:line="259" w:lineRule="auto"/>
        <w:ind w:left="255" w:firstLine="0"/>
        <w:jc w:val="left"/>
      </w:pPr>
      <w:r>
        <w:rPr>
          <w:i/>
        </w:rPr>
        <w:t xml:space="preserve"> </w:t>
      </w:r>
    </w:p>
    <w:p w:rsidR="00025683" w:rsidRDefault="007C2AAB">
      <w:pPr>
        <w:spacing w:after="0" w:line="259" w:lineRule="auto"/>
        <w:ind w:left="255" w:firstLine="0"/>
        <w:jc w:val="left"/>
      </w:pPr>
      <w:r>
        <w:t xml:space="preserve"> </w:t>
      </w:r>
    </w:p>
    <w:p w:rsidR="00025683" w:rsidRDefault="007C2AAB">
      <w:pPr>
        <w:spacing w:after="12"/>
        <w:ind w:left="240"/>
      </w:pPr>
      <w:r>
        <w:rPr>
          <w:b/>
        </w:rPr>
        <w:t xml:space="preserve">Artículo 69 de la Ley de Bases del Régimen local que establece la prevalencia de la democracia representativa sobre la participación ciudadana. </w:t>
      </w:r>
    </w:p>
    <w:p w:rsidR="00025683" w:rsidRDefault="007C2AAB">
      <w:pPr>
        <w:spacing w:after="0" w:line="259" w:lineRule="auto"/>
        <w:ind w:left="255" w:firstLine="0"/>
        <w:jc w:val="left"/>
      </w:pPr>
      <w:r>
        <w:t xml:space="preserve"> </w:t>
      </w:r>
    </w:p>
    <w:p w:rsidR="00025683" w:rsidRDefault="007C2AAB">
      <w:pPr>
        <w:spacing w:line="238" w:lineRule="auto"/>
        <w:ind w:left="240" w:right="49"/>
      </w:pPr>
      <w:r>
        <w:rPr>
          <w:i/>
        </w:rPr>
        <w:t xml:space="preserve">     </w:t>
      </w:r>
      <w:r>
        <w:rPr>
          <w:i/>
        </w:rPr>
        <w:t xml:space="preserve">1. Las Corporaciones locales facilitarán la más amplia información sobre su actividad y la participación de todos los ciudadanos en la vida local. 2. Las formas, medios y procedimientos de participación que las Corporaciones establezcan en ejercicio de su </w:t>
      </w:r>
      <w:r>
        <w:rPr>
          <w:i/>
        </w:rPr>
        <w:t xml:space="preserve">potestad de autoorganización no podrán en ningún caso menoscabar las facultades de decisión que corresponden a los órganos representativos regulados por la Ley.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12"/>
        <w:ind w:left="240" w:right="197"/>
      </w:pPr>
      <w:r>
        <w:rPr>
          <w:b/>
        </w:rPr>
        <w:t xml:space="preserve">El artículo 70 bis de la LBRL que regula la iniciativa popular: </w:t>
      </w:r>
    </w:p>
    <w:p w:rsidR="00025683" w:rsidRDefault="007C2AAB">
      <w:pPr>
        <w:spacing w:after="0" w:line="259" w:lineRule="auto"/>
        <w:ind w:left="240" w:firstLine="0"/>
        <w:jc w:val="left"/>
      </w:pPr>
      <w:r>
        <w:t xml:space="preserve"> </w:t>
      </w:r>
    </w:p>
    <w:p w:rsidR="00025683" w:rsidRDefault="007C2AAB">
      <w:pPr>
        <w:spacing w:line="238" w:lineRule="auto"/>
        <w:ind w:left="240" w:right="49"/>
      </w:pPr>
      <w:r>
        <w:rPr>
          <w:i/>
        </w:rPr>
        <w:t xml:space="preserve">Artículo 70 bis.  </w:t>
      </w:r>
    </w:p>
    <w:p w:rsidR="00025683" w:rsidRDefault="007C2AAB">
      <w:pPr>
        <w:spacing w:after="0" w:line="259" w:lineRule="auto"/>
        <w:ind w:left="240" w:firstLine="0"/>
        <w:jc w:val="left"/>
      </w:pPr>
      <w:r>
        <w:t xml:space="preserve"> </w:t>
      </w:r>
    </w:p>
    <w:p w:rsidR="00025683" w:rsidRDefault="007C2AAB">
      <w:pPr>
        <w:numPr>
          <w:ilvl w:val="0"/>
          <w:numId w:val="162"/>
        </w:numPr>
        <w:spacing w:line="238" w:lineRule="auto"/>
        <w:ind w:right="24" w:hanging="10"/>
        <w:jc w:val="left"/>
      </w:pPr>
      <w:r>
        <w:rPr>
          <w:i/>
        </w:rPr>
        <w:t>Lo</w:t>
      </w:r>
      <w:r>
        <w:rPr>
          <w:i/>
        </w:rPr>
        <w:t>s ayuntamientos deberán establecer y regular en normas de carácter orgánico procedimientos y órganos adecuados para la efectiva participación de los vecinos en los asuntos de la vida pública local, tanto en el ámbito del municipio en su conjunto como en el</w:t>
      </w:r>
      <w:r>
        <w:rPr>
          <w:i/>
        </w:rPr>
        <w:t xml:space="preserve"> de los distritos, en el supuesto de que existan en el municipio dichas divisiones territoriales. </w:t>
      </w:r>
    </w:p>
    <w:p w:rsidR="00025683" w:rsidRDefault="007C2AAB">
      <w:pPr>
        <w:spacing w:after="0" w:line="259" w:lineRule="auto"/>
        <w:ind w:left="240" w:firstLine="0"/>
        <w:jc w:val="left"/>
      </w:pPr>
      <w:r>
        <w:t xml:space="preserve"> </w:t>
      </w:r>
    </w:p>
    <w:p w:rsidR="00025683" w:rsidRDefault="007C2AAB">
      <w:pPr>
        <w:numPr>
          <w:ilvl w:val="0"/>
          <w:numId w:val="162"/>
        </w:numPr>
        <w:spacing w:after="0" w:line="235" w:lineRule="auto"/>
        <w:ind w:right="24" w:hanging="10"/>
        <w:jc w:val="left"/>
      </w:pPr>
      <w:r>
        <w:rPr>
          <w:rFonts w:ascii="Calibri" w:eastAsia="Calibri" w:hAnsi="Calibri" w:cs="Calibri"/>
          <w:noProof/>
        </w:rPr>
        <mc:AlternateContent>
          <mc:Choice Requires="wpg">
            <w:drawing>
              <wp:anchor distT="0" distB="0" distL="114300" distR="114300" simplePos="0" relativeHeight="25198694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4522" name="Group 4245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522" name="Rectangle 4652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6523" name="Rectangle 4652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524" name="Rectangle 4652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306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4522" style="width:18.7031pt;height:264.21pt;position:absolute;mso-position-horizontal-relative:page;mso-position-horizontal:absolute;margin-left:662.928pt;mso-position-vertical-relative:page;margin-top:507.75pt;" coordsize="2375,33554">
                <v:rect id="Rectangle 4652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652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52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306 de 350 </w:t>
                        </w:r>
                      </w:p>
                    </w:txbxContent>
                  </v:textbox>
                </v:rect>
                <w10:wrap type="square"/>
              </v:group>
            </w:pict>
          </mc:Fallback>
        </mc:AlternateContent>
      </w:r>
      <w:r>
        <w:rPr>
          <w:b/>
          <w:i/>
        </w:rPr>
        <w:t xml:space="preserve">Los vecinos que gocen del derecho de sufragio activo en las elecciones municipales podrán ejercer la iniciativa popular, </w:t>
      </w:r>
      <w:r>
        <w:rPr>
          <w:i/>
        </w:rPr>
        <w:t>presentando propuestas de acuerdos o act</w:t>
      </w:r>
      <w:r>
        <w:rPr>
          <w:i/>
        </w:rPr>
        <w:t xml:space="preserve">uaciones o proyectos de reglamentos en materias de la competencia municipal.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 xml:space="preserve">Dichas iniciativas deberán ir suscritas al menos por el siguiente porcentaje de vecinos del municipio: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numPr>
          <w:ilvl w:val="0"/>
          <w:numId w:val="163"/>
        </w:numPr>
        <w:spacing w:line="238" w:lineRule="auto"/>
        <w:ind w:right="49" w:hanging="259"/>
      </w:pPr>
      <w:r>
        <w:rPr>
          <w:i/>
        </w:rPr>
        <w:t xml:space="preserve">Hasta 5.000 habitantes, el 20 por ciento.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numPr>
          <w:ilvl w:val="0"/>
          <w:numId w:val="163"/>
        </w:numPr>
        <w:spacing w:line="238" w:lineRule="auto"/>
        <w:ind w:right="49" w:hanging="259"/>
      </w:pPr>
      <w:r>
        <w:rPr>
          <w:i/>
        </w:rPr>
        <w:t xml:space="preserve">De 5.001 a 20.000 habitantes, el 15 por ciento.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numPr>
          <w:ilvl w:val="0"/>
          <w:numId w:val="163"/>
        </w:numPr>
        <w:spacing w:line="238" w:lineRule="auto"/>
        <w:ind w:right="49" w:hanging="259"/>
      </w:pPr>
      <w:r>
        <w:rPr>
          <w:i/>
        </w:rPr>
        <w:t xml:space="preserve">A partir de 20.001 habitantes, el 10 por ciento.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Tales iniciativas deberán ser sometidas a debate y votación en el Pleno, sin perjuicio de que sean resueltas por el órgano competente por razón de la m</w:t>
      </w:r>
      <w:r>
        <w:rPr>
          <w:i/>
        </w:rPr>
        <w:t xml:space="preserve">ateria.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 xml:space="preserve">En todo caso, se requerirá el previo informe de legalidad del secretario del ayuntamiento, así como el informe del interventor cuando la iniciativa afecte a derechos y obligaciones de contenido económico del ayuntamiento.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 xml:space="preserve">En los municipios </w:t>
      </w:r>
      <w:r>
        <w:rPr>
          <w:i/>
        </w:rPr>
        <w:t>a que se refiere el artículo 121 de esta ley, el informe de legalidad será emitido por el secretario general del Pleno y cuando la iniciativa afecte a derechos y obligaciones de contenido económico, el informe será emitido por el Interventor general munici</w:t>
      </w:r>
      <w:r>
        <w:rPr>
          <w:i/>
        </w:rPr>
        <w:t xml:space="preserve">pal.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 xml:space="preserve">Lo dispuesto en este apartado se entiende sin perjuicio de la legislación autonómica en esta materia.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Tales iniciativas pueden llevar incorporada una propuesta de consulta popular local, que será tramitada en tal caso por el procedimiento y con los requisitos previstos en el artículo 71.</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12"/>
        <w:ind w:left="240" w:right="197"/>
      </w:pPr>
      <w:r>
        <w:rPr>
          <w:b/>
        </w:rPr>
        <w:t xml:space="preserve">Artículo 70 ter de la Ley de Bases del Régimen local: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1. Las A</w:t>
      </w:r>
      <w:r>
        <w:rPr>
          <w:i/>
        </w:rPr>
        <w:t>dministraciones públicas con competencias de ordenación territorial y urbanística deberán tener a disposición de los ciudadanos o ciudadanas que lo soliciten, copias completas de los instrumentos de ordenación territorial y urbanística vigentes en su ámbit</w:t>
      </w:r>
      <w:r>
        <w:rPr>
          <w:i/>
        </w:rPr>
        <w:t xml:space="preserve">o territorial, de los documentos de gestión y de los convenios urbanísticos. </w:t>
      </w:r>
    </w:p>
    <w:p w:rsidR="00025683" w:rsidRDefault="007C2AAB">
      <w:pPr>
        <w:spacing w:after="0" w:line="259" w:lineRule="auto"/>
        <w:ind w:left="240" w:firstLine="0"/>
        <w:jc w:val="left"/>
      </w:pPr>
      <w:r>
        <w:t xml:space="preserve"> </w:t>
      </w:r>
    </w:p>
    <w:p w:rsidR="00025683" w:rsidRDefault="007C2AAB">
      <w:pPr>
        <w:spacing w:after="12"/>
        <w:ind w:left="240" w:right="197"/>
      </w:pPr>
      <w:r>
        <w:rPr>
          <w:b/>
        </w:rPr>
        <w:t>Artículo 70 quater de la Ley de Bases del Régimen local.</w:t>
      </w:r>
      <w:r>
        <w:rPr>
          <w:rFonts w:ascii="Times New Roman" w:eastAsia="Times New Roman" w:hAnsi="Times New Roman" w:cs="Times New Roman"/>
          <w:sz w:val="24"/>
        </w:rPr>
        <w:t xml:space="preserve"> </w:t>
      </w:r>
    </w:p>
    <w:p w:rsidR="00025683" w:rsidRDefault="007C2AAB">
      <w:pPr>
        <w:spacing w:line="238" w:lineRule="auto"/>
        <w:ind w:left="240" w:right="49"/>
      </w:pPr>
      <w:r>
        <w:rPr>
          <w:i/>
        </w:rPr>
        <w:t>1. Las Entidades Locales deberán adoptar las medidas necesarias para facilitar la accesibilidad de los servicios públi</w:t>
      </w:r>
      <w:r>
        <w:rPr>
          <w:i/>
        </w:rPr>
        <w:t>cos a los vecinos, promoviendo la utilización de las tecnologías de la información y la comunicación en la prestación de los mismos. Para ello, elaborarán planes que tengan por objeto la implementación de mecanismos digitales que faciliten la accesibilidad</w:t>
      </w:r>
      <w:r>
        <w:rPr>
          <w:i/>
        </w:rPr>
        <w:t xml:space="preserve"> de los vecinos y de las empresas a los servicios públicos.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71 de la Ley de Bases del Régimen local sobre las consultas populares locales: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De conformidad con la legislación del Estado y de la Comunidad Autónoma, cuando ésta tenga competencia</w:t>
      </w:r>
      <w:r>
        <w:rPr>
          <w:i/>
        </w:rPr>
        <w:t xml:space="preserve"> estatutariamente atribuida para ello, los Alcaldes, previo acuerdo por mayoría absoluta del Pleno y autorización del Gobierno de la Nación, podrán someter a consulta popular aquellos asuntos de la competencia propia municipal y de carácter local que sean </w:t>
      </w:r>
      <w:r>
        <w:rPr>
          <w:i/>
        </w:rPr>
        <w:t>de especial relevancia para los intereses de los vecinos, con excepción de los relativos a la Hacienda local.</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198796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5328" name="Group 4253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636" name="Rectangle 4663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6637" name="Rectangle 4663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638" name="Rectangle 4663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307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5328" style="width:18.7031pt;height:264.21pt;position:absolute;mso-position-horizontal-relative:page;mso-position-horizontal:absolute;margin-left:662.928pt;mso-position-vertical-relative:page;margin-top:507.75pt;" coordsize="2375,33554">
                <v:rect id="Rectangle 4663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663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63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307 de 350 </w:t>
                        </w:r>
                      </w:p>
                    </w:txbxContent>
                  </v:textbox>
                </v:rect>
                <w10:wrap type="square"/>
              </v:group>
            </w:pict>
          </mc:Fallback>
        </mc:AlternateContent>
      </w:r>
      <w:r>
        <w:rPr>
          <w:b/>
          <w:color w:val="FF0000"/>
        </w:rPr>
        <w:t xml:space="preserve"> </w:t>
      </w:r>
    </w:p>
    <w:p w:rsidR="00025683" w:rsidRDefault="007C2AAB">
      <w:pPr>
        <w:spacing w:line="249" w:lineRule="auto"/>
        <w:ind w:left="2374" w:right="198" w:hanging="10"/>
      </w:pPr>
      <w:r>
        <w:rPr>
          <w:b/>
          <w:sz w:val="23"/>
        </w:rPr>
        <w:t>PROPUESTA DE ACUERDO AL PLENO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44"/>
        <w:ind w:left="240"/>
      </w:pPr>
      <w:r>
        <w:rPr>
          <w:b/>
        </w:rPr>
        <w:t xml:space="preserve">Primero. Aprobación inicial del Reglamento de Participación Ciudadana del Ayuntamiento de Candelaria cuyo tenor literal se inserta a continuación: </w:t>
      </w:r>
    </w:p>
    <w:p w:rsidR="00025683" w:rsidRDefault="007C2AAB">
      <w:pPr>
        <w:spacing w:after="12"/>
        <w:ind w:left="240" w:right="197"/>
      </w:pPr>
      <w:r>
        <w:rPr>
          <w:b/>
        </w:rPr>
        <w:t>(…)</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t xml:space="preserve"> </w:t>
      </w:r>
    </w:p>
    <w:p w:rsidR="00025683" w:rsidRDefault="007C2AAB">
      <w:pPr>
        <w:spacing w:after="12"/>
        <w:ind w:left="240" w:right="59"/>
      </w:pPr>
      <w:r>
        <w:rPr>
          <w:b/>
        </w:rPr>
        <w:t>Segundo. Someter este Reglamento a información pública y audiencia de los interesados, con publicac</w:t>
      </w:r>
      <w:r>
        <w:rPr>
          <w:b/>
        </w:rPr>
        <w:t>ión en el Boletín Oficial de la Provincia y tablón de anuncios del Ayuntamiento, por el plazo de treinta días hábiles, para que puedan presentar reclamaciones o sugerencias, que serán resueltas por el Pleno de la Corporación.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60"/>
      </w:pPr>
      <w:r>
        <w:rPr>
          <w:b/>
        </w:rPr>
        <w:t>Simultáneamente, publicar e</w:t>
      </w:r>
      <w:r>
        <w:rPr>
          <w:b/>
        </w:rPr>
        <w:t>l texto del Reglamento municipal en el portal web del  Ayuntamiento(https://sedeelectronica.candelaria.es/transparencia/participacion/..../), con el objeto de dar audiencia a los ciudadanos afectados y recabar cuantas aportaciones adicionales puedan hacers</w:t>
      </w:r>
      <w:r>
        <w:rPr>
          <w:b/>
        </w:rPr>
        <w:t>e por otras personas o entidades.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59"/>
      </w:pPr>
      <w:r>
        <w:rPr>
          <w:b/>
        </w:rPr>
        <w:t>Tercero. De no presentarse reclamaciones o sugerencias en el plazo señalado en la propuesta anterior, se considerará aprobado definitivamente y el acuerdo de aprobación definitiva tácita del Reglamento, con el texto í</w:t>
      </w:r>
      <w:r>
        <w:rPr>
          <w:b/>
        </w:rPr>
        <w:t>ntegro del mimo, se publicará para su general conocimiento en el Boletín Oficial de la Provincia y, asimismo, estará a disposición de los interesados en la sede electrónica de este Ayuntamiento.”.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1" w:line="249" w:lineRule="auto"/>
        <w:ind w:left="250" w:right="58" w:hanging="10"/>
      </w:pPr>
      <w:r>
        <w:rPr>
          <w:b/>
          <w:sz w:val="24"/>
        </w:rPr>
        <w:t xml:space="preserve">Consta en el expediente propuesta de la Alcaldesa-Presidenta al Pleno de Aprobación inicial del Reglamento de Participación Ciudadana del ayuntamiento de Candelaria, de fecha 15 de diciembre de 2025, que transcrito literalmente dice: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rPr>
        <w:t xml:space="preserve"> </w:t>
      </w:r>
    </w:p>
    <w:p w:rsidR="00025683" w:rsidRDefault="007C2AAB">
      <w:pPr>
        <w:spacing w:after="7" w:line="259" w:lineRule="auto"/>
        <w:ind w:left="240" w:firstLine="0"/>
        <w:jc w:val="left"/>
      </w:pPr>
      <w:r>
        <w:rPr>
          <w:b/>
          <w:color w:val="FF0000"/>
        </w:rPr>
        <w:t xml:space="preserve"> </w:t>
      </w:r>
    </w:p>
    <w:p w:rsidR="00025683" w:rsidRDefault="007C2AAB">
      <w:pPr>
        <w:pStyle w:val="Ttulo4"/>
        <w:ind w:left="274" w:right="86"/>
      </w:pPr>
      <w:r>
        <w:t>“PROPUESTA DE L</w:t>
      </w:r>
      <w:r>
        <w:t xml:space="preserve">A ALCALDESA-PRESIDENTA AL PLENO </w:t>
      </w:r>
    </w:p>
    <w:p w:rsidR="00025683" w:rsidRDefault="007C2AAB">
      <w:pPr>
        <w:spacing w:after="0" w:line="259" w:lineRule="auto"/>
        <w:ind w:left="243" w:firstLine="0"/>
        <w:jc w:val="center"/>
      </w:pPr>
      <w:r>
        <w:t xml:space="preserve"> </w:t>
      </w:r>
    </w:p>
    <w:p w:rsidR="00025683" w:rsidRDefault="007C2AAB">
      <w:pPr>
        <w:spacing w:after="12"/>
        <w:ind w:left="240" w:right="60"/>
      </w:pPr>
      <w:r>
        <w:rPr>
          <w:b/>
        </w:rPr>
        <w:t>Consta en el expediente informe jurídico del Secretario General, Octavio Manuel Fernández Hernández y la Técnico de Administración General, Helena Larrinaga Doval sobre la aprobación inicial del Reglamento de Participació</w:t>
      </w:r>
      <w:r>
        <w:rPr>
          <w:b/>
        </w:rPr>
        <w:t xml:space="preserve">n Ciudadana, que transcrito literalmente dice: </w:t>
      </w:r>
    </w:p>
    <w:p w:rsidR="00025683" w:rsidRDefault="007C2AAB">
      <w:pPr>
        <w:spacing w:after="0" w:line="259" w:lineRule="auto"/>
        <w:ind w:left="240" w:firstLine="0"/>
        <w:jc w:val="left"/>
      </w:pPr>
      <w:r>
        <w:t xml:space="preserve"> </w:t>
      </w:r>
    </w:p>
    <w:p w:rsidR="00025683" w:rsidRDefault="007C2AAB">
      <w:pPr>
        <w:spacing w:line="238" w:lineRule="auto"/>
        <w:ind w:left="240" w:right="49"/>
      </w:pPr>
      <w:r>
        <w:rPr>
          <w:i/>
        </w:rPr>
        <w:t>“Visto el expediente relativo al Reglamento de Participación Ciudadana del municipio de Candelaria el Secretario General, Octavio Manuel Fernández Hernández y la Técnico de Administración General, Helena La</w:t>
      </w:r>
      <w:r>
        <w:rPr>
          <w:i/>
        </w:rPr>
        <w:t xml:space="preserve">rrinaga Doval, emiten el siguiente INFORME: </w:t>
      </w:r>
    </w:p>
    <w:p w:rsidR="00025683" w:rsidRDefault="007C2AAB">
      <w:pPr>
        <w:spacing w:after="0" w:line="259" w:lineRule="auto"/>
        <w:ind w:left="240" w:firstLine="0"/>
        <w:jc w:val="left"/>
      </w:pPr>
      <w:r>
        <w:t xml:space="preserve"> </w:t>
      </w:r>
    </w:p>
    <w:p w:rsidR="00025683" w:rsidRDefault="007C2AAB">
      <w:pPr>
        <w:spacing w:after="0" w:line="259" w:lineRule="auto"/>
        <w:ind w:left="229" w:right="41" w:hanging="10"/>
        <w:jc w:val="center"/>
      </w:pPr>
      <w:r>
        <w:rPr>
          <w:i/>
        </w:rPr>
        <w:t>ANTECEDENTES</w:t>
      </w:r>
      <w:r>
        <w:rPr>
          <w:rFonts w:ascii="Times New Roman" w:eastAsia="Times New Roman" w:hAnsi="Times New Roman" w:cs="Times New Roman"/>
          <w:sz w:val="24"/>
        </w:rPr>
        <w:t xml:space="preserve"> </w:t>
      </w:r>
    </w:p>
    <w:p w:rsidR="00025683" w:rsidRDefault="007C2AAB">
      <w:pPr>
        <w:spacing w:after="0" w:line="259" w:lineRule="auto"/>
        <w:ind w:left="948" w:firstLine="0"/>
        <w:jc w:val="left"/>
      </w:pPr>
      <w:r>
        <w:t xml:space="preserve"> </w:t>
      </w:r>
    </w:p>
    <w:p w:rsidR="00025683" w:rsidRDefault="007C2AAB">
      <w:pPr>
        <w:spacing w:line="238" w:lineRule="auto"/>
        <w:ind w:left="240" w:right="49"/>
      </w:pPr>
      <w:r>
        <w:rPr>
          <w:i/>
        </w:rPr>
        <w:t>PRIMERO.- Consta en el expediente Providencia suscrita el 4 de noviembre de 2025, por la Concejala Delegada de Atención y Participación Ciudadana.</w:t>
      </w:r>
      <w:r>
        <w:rPr>
          <w:rFonts w:ascii="Times New Roman" w:eastAsia="Times New Roman" w:hAnsi="Times New Roman" w:cs="Times New Roman"/>
          <w:sz w:val="24"/>
        </w:rPr>
        <w:t xml:space="preserve"> </w:t>
      </w:r>
    </w:p>
    <w:p w:rsidR="00025683" w:rsidRDefault="007C2AAB">
      <w:pPr>
        <w:spacing w:after="0" w:line="259" w:lineRule="auto"/>
        <w:ind w:left="255" w:firstLine="0"/>
        <w:jc w:val="left"/>
      </w:pPr>
      <w:r>
        <w:rPr>
          <w:rFonts w:ascii="Calibri" w:eastAsia="Calibri" w:hAnsi="Calibri" w:cs="Calibri"/>
          <w:noProof/>
        </w:rPr>
        <mc:AlternateContent>
          <mc:Choice Requires="wpg">
            <w:drawing>
              <wp:anchor distT="0" distB="0" distL="114300" distR="114300" simplePos="0" relativeHeight="25198899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6660" name="Group 4266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763" name="Rectangle 4676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6764" name="Rectangle 4676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765" name="Rectangle 4676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308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6660" style="width:18.7031pt;height:264.21pt;position:absolute;mso-position-horizontal-relative:page;mso-position-horizontal:absolute;margin-left:662.928pt;mso-position-vertical-relative:page;margin-top:507.75pt;" coordsize="2375,33554">
                <v:rect id="Rectangle 4676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676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76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308 de 350 </w:t>
                        </w:r>
                      </w:p>
                    </w:txbxContent>
                  </v:textbox>
                </v:rect>
                <w10:wrap type="square"/>
              </v:group>
            </w:pict>
          </mc:Fallback>
        </mc:AlternateContent>
      </w:r>
      <w:r>
        <w:rPr>
          <w:i/>
        </w:rPr>
        <w:t xml:space="preserve"> </w:t>
      </w:r>
    </w:p>
    <w:p w:rsidR="00025683" w:rsidRDefault="007C2AAB">
      <w:pPr>
        <w:spacing w:line="238" w:lineRule="auto"/>
        <w:ind w:left="240" w:right="49"/>
      </w:pPr>
      <w:r>
        <w:rPr>
          <w:i/>
        </w:rPr>
        <w:t xml:space="preserve">       SEGUNDO.- Consta en el expediente Anuncio del trámi</w:t>
      </w:r>
      <w:r>
        <w:rPr>
          <w:i/>
        </w:rPr>
        <w:t xml:space="preserve">te de consulta previa sobre proyecto de Reglamento Municipal de Participación Ciudadana suscrito por la Concejala Delegada de Atención y Participación Ciudadana el 5 de noviembre de 2025, en la que de conformidad con lo previsto en el artículo 133.1 de la </w:t>
      </w:r>
      <w:r>
        <w:rPr>
          <w:i/>
        </w:rPr>
        <w:t>Ley 39/2015, de 1 de octubre de Procedimiento Administrativo Común de las Administraciones Públicas, se recaba la opinión de los sujetos y organizaciones más representativas potencialmente afectados por la futura norma en relación a los problemas que se pr</w:t>
      </w:r>
      <w:r>
        <w:rPr>
          <w:i/>
        </w:rPr>
        <w:t>etenden solucionar con la iniciativa; La necesidad y oportunidad de su aprobación; Los objetivos de la norma y las posibles soluciones alternativas regulatorias y no regulatorias.</w:t>
      </w:r>
      <w:r>
        <w:rPr>
          <w:rFonts w:ascii="Times New Roman" w:eastAsia="Times New Roman" w:hAnsi="Times New Roman" w:cs="Times New Roman"/>
          <w:sz w:val="24"/>
        </w:rPr>
        <w:t xml:space="preserve"> </w:t>
      </w:r>
    </w:p>
    <w:p w:rsidR="00025683" w:rsidRDefault="007C2AAB">
      <w:pPr>
        <w:spacing w:after="242" w:line="259" w:lineRule="auto"/>
        <w:ind w:left="240" w:firstLine="0"/>
        <w:jc w:val="left"/>
      </w:pPr>
      <w:r>
        <w:rPr>
          <w:i/>
        </w:rPr>
        <w:t xml:space="preserve"> </w:t>
      </w:r>
    </w:p>
    <w:p w:rsidR="00025683" w:rsidRDefault="007C2AAB">
      <w:pPr>
        <w:spacing w:after="246" w:line="238" w:lineRule="auto"/>
        <w:ind w:left="240" w:right="541"/>
      </w:pPr>
      <w:r>
        <w:rPr>
          <w:i/>
        </w:rPr>
        <w:t xml:space="preserve">       TERCERO.- Consta informe suscrito por la dinamizadora de participa</w:t>
      </w:r>
      <w:r>
        <w:rPr>
          <w:i/>
        </w:rPr>
        <w:t xml:space="preserve">ción ciudadana el 28 de noviembre de 2025 en el que se indica que el resultado de la publicación de consulta pública previa sobre el Reglamento de Participación ciudadana, no ha registrado ninguna aportación a través del Registro General del Ayuntamiento, </w:t>
      </w:r>
      <w:r>
        <w:rPr>
          <w:i/>
        </w:rPr>
        <w:t xml:space="preserve">ni en el tablón de anuncios y edictos, ni a través de portal web municipal en su sección de participación pública en proyectos normativos desde el 5 de noviembre hasta el 26 de noviembre de 2025, siendo objeto de 33 visitas, con 5 votos positivos y ningún </w:t>
      </w:r>
      <w:r>
        <w:rPr>
          <w:i/>
        </w:rPr>
        <w:t>voto negativo, en este último.</w:t>
      </w:r>
      <w:r>
        <w:rPr>
          <w:rFonts w:ascii="Times New Roman" w:eastAsia="Times New Roman" w:hAnsi="Times New Roman" w:cs="Times New Roman"/>
          <w:sz w:val="24"/>
        </w:rPr>
        <w:t xml:space="preserve"> </w:t>
      </w:r>
    </w:p>
    <w:p w:rsidR="00025683" w:rsidRDefault="007C2AAB">
      <w:pPr>
        <w:spacing w:after="0" w:line="259" w:lineRule="auto"/>
        <w:ind w:left="255" w:firstLine="0"/>
        <w:jc w:val="left"/>
      </w:pPr>
      <w:r>
        <w:rPr>
          <w:i/>
        </w:rPr>
        <w:t xml:space="preserve">       </w:t>
      </w:r>
    </w:p>
    <w:p w:rsidR="00025683" w:rsidRDefault="007C2AAB">
      <w:pPr>
        <w:spacing w:line="238" w:lineRule="auto"/>
        <w:ind w:left="240" w:right="49"/>
      </w:pPr>
      <w:r>
        <w:rPr>
          <w:i/>
        </w:rPr>
        <w:t xml:space="preserve"> CUARTO.- Consta informe técnico en el expediente en el que se expone el proceso participativo que se ha llevado a cabo desde 23 de abril, con la recogida de propuestas, hasta 3 noviembre con la devolución a la ciuda</w:t>
      </w:r>
      <w:r>
        <w:rPr>
          <w:i/>
        </w:rPr>
        <w:t xml:space="preserve">danía de las mismas, suscrito por la dinamizadora de participación ciudadana, Dña. Concepción Sicilia González, y donde se indica la idoneidad de aprobar el Reglamento de Participación Ciudadana que ha tenido en cuenta la opinión ciudadana, como garantiza </w:t>
      </w:r>
      <w:r>
        <w:rPr>
          <w:i/>
        </w:rPr>
        <w:t>la normativa correspondiente, respetando el marco competencial municipal, sin incrementar el gasto más allá de los recursos asignado y su redacción es adecuada. Asimismo, encontramos en el expediente las actas de las Mesas Comunitarias, como el informe sus</w:t>
      </w:r>
      <w:r>
        <w:rPr>
          <w:i/>
        </w:rPr>
        <w:t>crito por la Asociación Educación para la Convivencia Mosaico Canarias, documentos de apoyo a este informe.</w:t>
      </w:r>
      <w:r>
        <w:rPr>
          <w:rFonts w:ascii="Times New Roman" w:eastAsia="Times New Roman" w:hAnsi="Times New Roman" w:cs="Times New Roman"/>
          <w:sz w:val="24"/>
        </w:rPr>
        <w:t xml:space="preserve"> </w:t>
      </w:r>
    </w:p>
    <w:p w:rsidR="00025683" w:rsidRDefault="007C2AAB">
      <w:pPr>
        <w:spacing w:after="0" w:line="259" w:lineRule="auto"/>
        <w:ind w:left="255" w:firstLine="0"/>
        <w:jc w:val="left"/>
      </w:pPr>
      <w:r>
        <w:rPr>
          <w:i/>
        </w:rPr>
        <w:t xml:space="preserve"> </w:t>
      </w:r>
    </w:p>
    <w:p w:rsidR="00025683" w:rsidRDefault="007C2AAB">
      <w:pPr>
        <w:spacing w:after="0" w:line="259" w:lineRule="auto"/>
        <w:ind w:left="255" w:firstLine="0"/>
        <w:jc w:val="left"/>
      </w:pPr>
      <w:r>
        <w:rPr>
          <w:i/>
        </w:rPr>
        <w:t xml:space="preserve"> </w:t>
      </w:r>
    </w:p>
    <w:p w:rsidR="00025683" w:rsidRDefault="007C2AAB">
      <w:pPr>
        <w:spacing w:after="0" w:line="259" w:lineRule="auto"/>
        <w:ind w:left="229" w:hanging="10"/>
        <w:jc w:val="center"/>
      </w:pPr>
      <w:r>
        <w:rPr>
          <w:i/>
        </w:rPr>
        <w:t xml:space="preserve">FUNDAMENTOS DE DERECHO </w:t>
      </w:r>
    </w:p>
    <w:p w:rsidR="00025683" w:rsidRDefault="007C2AAB">
      <w:pPr>
        <w:spacing w:after="0" w:line="259" w:lineRule="auto"/>
        <w:ind w:left="286" w:firstLine="0"/>
        <w:jc w:val="center"/>
      </w:pPr>
      <w:r>
        <w:rPr>
          <w:i/>
        </w:rPr>
        <w:t xml:space="preserve"> </w:t>
      </w:r>
    </w:p>
    <w:p w:rsidR="00025683" w:rsidRDefault="007C2AAB">
      <w:pPr>
        <w:spacing w:line="238" w:lineRule="auto"/>
        <w:ind w:left="240" w:right="49"/>
      </w:pPr>
      <w:r>
        <w:rPr>
          <w:i/>
        </w:rPr>
        <w:t xml:space="preserve">    </w:t>
      </w:r>
      <w:r>
        <w:rPr>
          <w:i/>
        </w:rPr>
        <w:t>Primero. En la Ley 7/2015, de 1 de abril, de Municipios de Canarias: en su artículo 21 obliga a tener un reglamento que regule los procedimientos y órganos competentes para garantizar la participación de la ciudadanía, por lo que es un instrumento adecuado</w:t>
      </w:r>
      <w:r>
        <w:rPr>
          <w:i/>
        </w:rPr>
        <w:t xml:space="preserve"> para regular las formas y órganos de participación ciudadana, disposición administrativa de rango inferior a la Ley, de exclusiva y mejor aplicación en el municipio de Candelaria, para así completar la normativa de aplicación, dada su peculiaridad y difer</w:t>
      </w:r>
      <w:r>
        <w:rPr>
          <w:i/>
        </w:rPr>
        <w:t>enciación con respecto a las Leyes y Reglamentos de ámbito de aplicación más amplio.</w:t>
      </w:r>
      <w:r>
        <w:rPr>
          <w:rFonts w:ascii="Times New Roman" w:eastAsia="Times New Roman" w:hAnsi="Times New Roman" w:cs="Times New Roman"/>
          <w:sz w:val="24"/>
        </w:rPr>
        <w:t xml:space="preserve"> </w:t>
      </w:r>
    </w:p>
    <w:p w:rsidR="00025683" w:rsidRDefault="007C2AAB">
      <w:pPr>
        <w:spacing w:after="0" w:line="259" w:lineRule="auto"/>
        <w:ind w:left="248" w:firstLine="0"/>
        <w:jc w:val="left"/>
      </w:pPr>
      <w:r>
        <w:rPr>
          <w:i/>
        </w:rPr>
        <w:t xml:space="preserve"> </w:t>
      </w:r>
    </w:p>
    <w:p w:rsidR="00025683" w:rsidRDefault="007C2AAB">
      <w:pPr>
        <w:spacing w:line="238" w:lineRule="auto"/>
        <w:ind w:left="240" w:right="49"/>
      </w:pPr>
      <w:r>
        <w:rPr>
          <w:i/>
        </w:rPr>
        <w:t xml:space="preserve">    A tenor del artículo 49 de la Ley 7/1985, de 2 de abril, Reguladora de las Bases de Régimen Local, complementado por los artículos 55 a 59 del Real Decreto Legislat</w:t>
      </w:r>
      <w:r>
        <w:rPr>
          <w:i/>
        </w:rPr>
        <w:t>ivo 781/1986, de 18 de abril, por el que se aprueba el Texto Refundido de las Disposiciones Legales Vigentes en Materia de Régimen Local, la aprobación de las ordenanzas locales se ajustará al siguiente procedimiento:</w:t>
      </w:r>
      <w:r>
        <w:rPr>
          <w:rFonts w:ascii="Times New Roman" w:eastAsia="Times New Roman" w:hAnsi="Times New Roman" w:cs="Times New Roman"/>
          <w:sz w:val="24"/>
        </w:rPr>
        <w:t xml:space="preserve"> </w:t>
      </w:r>
    </w:p>
    <w:p w:rsidR="00025683" w:rsidRDefault="007C2AAB">
      <w:pPr>
        <w:spacing w:after="28" w:line="259" w:lineRule="auto"/>
        <w:ind w:left="240" w:firstLine="0"/>
        <w:jc w:val="left"/>
      </w:pPr>
      <w:r>
        <w:rPr>
          <w:i/>
        </w:rPr>
        <w:t xml:space="preserve"> </w:t>
      </w:r>
    </w:p>
    <w:p w:rsidR="00025683" w:rsidRDefault="007C2AAB">
      <w:pPr>
        <w:numPr>
          <w:ilvl w:val="0"/>
          <w:numId w:val="164"/>
        </w:numPr>
        <w:spacing w:line="238" w:lineRule="auto"/>
        <w:ind w:right="49" w:hanging="360"/>
      </w:pPr>
      <w:r>
        <w:rPr>
          <w:i/>
        </w:rPr>
        <w:t xml:space="preserve">Aprobación inicial por el Pleno </w:t>
      </w:r>
    </w:p>
    <w:p w:rsidR="00025683" w:rsidRDefault="007C2AAB">
      <w:pPr>
        <w:spacing w:after="0" w:line="259" w:lineRule="auto"/>
        <w:ind w:left="240" w:firstLine="0"/>
        <w:jc w:val="left"/>
      </w:pPr>
      <w:r>
        <w:rPr>
          <w:i/>
        </w:rPr>
        <w:t xml:space="preserve"> </w:t>
      </w:r>
    </w:p>
    <w:p w:rsidR="00025683" w:rsidRDefault="007C2AAB">
      <w:pPr>
        <w:numPr>
          <w:ilvl w:val="0"/>
          <w:numId w:val="164"/>
        </w:numPr>
        <w:spacing w:line="238" w:lineRule="auto"/>
        <w:ind w:right="49" w:hanging="360"/>
      </w:pPr>
      <w:r>
        <w:rPr>
          <w:i/>
        </w:rPr>
        <w:t xml:space="preserve">Información Pública y audiencia a los interesados por el plazo mínimo de treinta días para la presentación de reclamaciones y sugerencias.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199001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6976" name="Group 4269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885" name="Rectangle 4688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6886" name="Rectangle 4688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887" name="Rectangle 4688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309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6976" style="width:18.7031pt;height:264.21pt;position:absolute;mso-position-horizontal-relative:page;mso-position-horizontal:absolute;margin-left:662.928pt;mso-position-vertical-relative:page;margin-top:507.75pt;" coordsize="2375,33554">
                <v:rect id="Rectangle 4688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688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88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309 de 350 </w:t>
                        </w:r>
                      </w:p>
                    </w:txbxContent>
                  </v:textbox>
                </v:rect>
                <w10:wrap type="square"/>
              </v:group>
            </w:pict>
          </mc:Fallback>
        </mc:AlternateContent>
      </w:r>
      <w:r>
        <w:rPr>
          <w:i/>
        </w:rPr>
        <w:t xml:space="preserve"> </w:t>
      </w:r>
    </w:p>
    <w:p w:rsidR="00025683" w:rsidRDefault="007C2AAB">
      <w:pPr>
        <w:numPr>
          <w:ilvl w:val="0"/>
          <w:numId w:val="164"/>
        </w:numPr>
        <w:spacing w:line="238" w:lineRule="auto"/>
        <w:ind w:right="49" w:hanging="360"/>
      </w:pPr>
      <w:r>
        <w:rPr>
          <w:i/>
        </w:rPr>
        <w:t xml:space="preserve">Resolución de todas las reclamaciones y sugerencias presentadas dentro del plazo y aprobación definitiva por el Pleno.  </w:t>
      </w:r>
    </w:p>
    <w:p w:rsidR="00025683" w:rsidRDefault="007C2AAB">
      <w:pPr>
        <w:spacing w:after="0" w:line="259" w:lineRule="auto"/>
        <w:ind w:left="240" w:firstLine="0"/>
        <w:jc w:val="left"/>
      </w:pPr>
      <w:r>
        <w:rPr>
          <w:i/>
          <w:color w:val="FF0000"/>
        </w:rPr>
        <w:t xml:space="preserve"> </w:t>
      </w:r>
    </w:p>
    <w:p w:rsidR="00025683" w:rsidRDefault="007C2AAB">
      <w:pPr>
        <w:spacing w:after="0" w:line="259" w:lineRule="auto"/>
        <w:ind w:left="240" w:firstLine="0"/>
        <w:jc w:val="left"/>
      </w:pPr>
      <w:r>
        <w:rPr>
          <w:i/>
          <w:color w:val="FF0000"/>
        </w:rPr>
        <w:t xml:space="preserve"> </w:t>
      </w:r>
    </w:p>
    <w:p w:rsidR="00025683" w:rsidRDefault="007C2AAB">
      <w:pPr>
        <w:spacing w:line="238" w:lineRule="auto"/>
        <w:ind w:left="255" w:right="49"/>
      </w:pPr>
      <w:r>
        <w:rPr>
          <w:i/>
        </w:rPr>
        <w:t xml:space="preserve">     </w:t>
      </w:r>
      <w:r>
        <w:rPr>
          <w:i/>
        </w:rPr>
        <w:t>En el caso de que no se hubiera presentado ninguna reclamación o sugerencia, se entenderá definitivamente adoptado el acuerdo hasta entonces provisional</w:t>
      </w:r>
      <w:r>
        <w:rPr>
          <w:i/>
          <w:color w:val="FF0000"/>
        </w:rPr>
        <w:t>.</w:t>
      </w:r>
      <w:r>
        <w:rPr>
          <w:rFonts w:ascii="Times New Roman" w:eastAsia="Times New Roman" w:hAnsi="Times New Roman" w:cs="Times New Roman"/>
          <w:sz w:val="24"/>
        </w:rPr>
        <w:t xml:space="preserve"> </w:t>
      </w:r>
    </w:p>
    <w:p w:rsidR="00025683" w:rsidRDefault="007C2AAB">
      <w:pPr>
        <w:spacing w:after="0" w:line="259" w:lineRule="auto"/>
        <w:ind w:left="255" w:firstLine="0"/>
        <w:jc w:val="left"/>
      </w:pPr>
      <w:r>
        <w:rPr>
          <w:i/>
          <w:color w:val="FF0000"/>
        </w:rPr>
        <w:t xml:space="preserve"> </w:t>
      </w:r>
    </w:p>
    <w:p w:rsidR="00025683" w:rsidRDefault="007C2AAB">
      <w:pPr>
        <w:spacing w:after="0" w:line="259" w:lineRule="auto"/>
        <w:ind w:left="255" w:firstLine="0"/>
        <w:jc w:val="left"/>
      </w:pPr>
      <w:r>
        <w:rPr>
          <w:i/>
          <w:color w:val="FF0000"/>
        </w:rPr>
        <w:t xml:space="preserve"> </w:t>
      </w:r>
    </w:p>
    <w:p w:rsidR="00025683" w:rsidRDefault="007C2AAB">
      <w:pPr>
        <w:spacing w:line="238" w:lineRule="auto"/>
        <w:ind w:left="240" w:right="49"/>
      </w:pPr>
      <w:r>
        <w:rPr>
          <w:i/>
        </w:rPr>
        <w:t xml:space="preserve">     Segundo. En relación al informe técnico municipal se hace constar que indica que el Reglamen</w:t>
      </w:r>
      <w:r>
        <w:rPr>
          <w:i/>
        </w:rPr>
        <w:t>to de Participación Ciudadana es compatible con la normativa correspondiente, ya que el Reglamento respeta el marco competencial municipal, no implica incremento de gasto más allá de los recursos asignados y su redacción se considera adecuada.</w:t>
      </w:r>
      <w:r>
        <w:rPr>
          <w:rFonts w:ascii="Times New Roman" w:eastAsia="Times New Roman" w:hAnsi="Times New Roman" w:cs="Times New Roman"/>
          <w:sz w:val="24"/>
        </w:rPr>
        <w:t xml:space="preserve"> </w:t>
      </w:r>
    </w:p>
    <w:p w:rsidR="00025683" w:rsidRDefault="007C2AAB">
      <w:pPr>
        <w:spacing w:after="0" w:line="259" w:lineRule="auto"/>
        <w:ind w:left="255" w:firstLine="0"/>
        <w:jc w:val="left"/>
      </w:pPr>
      <w:r>
        <w:rPr>
          <w:i/>
        </w:rPr>
        <w:t xml:space="preserve"> </w:t>
      </w:r>
    </w:p>
    <w:p w:rsidR="00025683" w:rsidRDefault="007C2AAB">
      <w:pPr>
        <w:spacing w:line="238" w:lineRule="auto"/>
        <w:ind w:left="240" w:right="49"/>
      </w:pPr>
      <w:r>
        <w:rPr>
          <w:i/>
        </w:rPr>
        <w:t xml:space="preserve">     Terc</w:t>
      </w:r>
      <w:r>
        <w:rPr>
          <w:i/>
        </w:rPr>
        <w:t xml:space="preserve">ero. En cuanto a los instrumentos de participación ciudadana que el Reglamento contempla cumple con las previsiones legales establecidas en los artículos 24 y 69 al 73 de la Ley de Bases del Régimen local que son los siguientes: </w:t>
      </w:r>
    </w:p>
    <w:p w:rsidR="00025683" w:rsidRDefault="007C2AAB">
      <w:pPr>
        <w:spacing w:after="0" w:line="259" w:lineRule="auto"/>
        <w:ind w:left="255" w:firstLine="0"/>
        <w:jc w:val="left"/>
      </w:pPr>
      <w:r>
        <w:rPr>
          <w:i/>
        </w:rPr>
        <w:t xml:space="preserve"> </w:t>
      </w:r>
    </w:p>
    <w:p w:rsidR="00025683" w:rsidRDefault="007C2AAB">
      <w:pPr>
        <w:spacing w:line="238" w:lineRule="auto"/>
        <w:ind w:left="255" w:right="49"/>
      </w:pPr>
      <w:r>
        <w:rPr>
          <w:i/>
        </w:rPr>
        <w:t xml:space="preserve">     </w:t>
      </w:r>
      <w:r>
        <w:rPr>
          <w:i/>
        </w:rPr>
        <w:t xml:space="preserve">Artículo 24 de la Ley de Bases del Régimen local: </w:t>
      </w:r>
    </w:p>
    <w:p w:rsidR="00025683" w:rsidRDefault="007C2AAB">
      <w:pPr>
        <w:spacing w:after="0" w:line="259" w:lineRule="auto"/>
        <w:ind w:left="255" w:firstLine="0"/>
        <w:jc w:val="left"/>
      </w:pPr>
      <w:r>
        <w:rPr>
          <w:i/>
        </w:rPr>
        <w:t xml:space="preserve"> </w:t>
      </w:r>
    </w:p>
    <w:p w:rsidR="00025683" w:rsidRDefault="007C2AAB">
      <w:pPr>
        <w:numPr>
          <w:ilvl w:val="0"/>
          <w:numId w:val="165"/>
        </w:numPr>
        <w:spacing w:line="238" w:lineRule="auto"/>
        <w:ind w:right="49"/>
      </w:pPr>
      <w:r>
        <w:rPr>
          <w:i/>
        </w:rPr>
        <w:t>Para facilitar la participación ciudadana en la gestión de los asuntos locales y mejorar ésta, los municipios podrán establecer órganos territoriales de gestión desconcentrada, con la organización, funci</w:t>
      </w:r>
      <w:r>
        <w:rPr>
          <w:i/>
        </w:rPr>
        <w:t xml:space="preserve">ones y competencias que cada ayuntamiento les confiera, atendiendo a las características del asentamiento de la población en el término municipal, sin perjuicio de la unidad de gobierno y gestión del municipio.  </w:t>
      </w:r>
    </w:p>
    <w:p w:rsidR="00025683" w:rsidRDefault="007C2AAB">
      <w:pPr>
        <w:spacing w:after="0" w:line="259" w:lineRule="auto"/>
        <w:ind w:left="255" w:firstLine="0"/>
        <w:jc w:val="left"/>
      </w:pPr>
      <w:r>
        <w:rPr>
          <w:i/>
        </w:rPr>
        <w:t xml:space="preserve"> </w:t>
      </w:r>
    </w:p>
    <w:p w:rsidR="00025683" w:rsidRDefault="007C2AAB">
      <w:pPr>
        <w:numPr>
          <w:ilvl w:val="0"/>
          <w:numId w:val="165"/>
        </w:numPr>
        <w:spacing w:line="238" w:lineRule="auto"/>
        <w:ind w:right="49"/>
      </w:pPr>
      <w:r>
        <w:rPr>
          <w:i/>
        </w:rPr>
        <w:t>En los municipios señalados en el artícul</w:t>
      </w:r>
      <w:r>
        <w:rPr>
          <w:i/>
        </w:rPr>
        <w:t xml:space="preserve">o 121 será de aplicación el régimen de gestión desconcentrada establecido en el artículo 128. </w:t>
      </w:r>
    </w:p>
    <w:p w:rsidR="00025683" w:rsidRDefault="007C2AAB">
      <w:pPr>
        <w:spacing w:after="0" w:line="259" w:lineRule="auto"/>
        <w:ind w:left="255" w:firstLine="0"/>
        <w:jc w:val="left"/>
      </w:pPr>
      <w:r>
        <w:rPr>
          <w:i/>
        </w:rPr>
        <w:t xml:space="preserve"> </w:t>
      </w:r>
    </w:p>
    <w:p w:rsidR="00025683" w:rsidRDefault="007C2AAB">
      <w:pPr>
        <w:spacing w:after="0" w:line="259" w:lineRule="auto"/>
        <w:ind w:left="255" w:firstLine="0"/>
        <w:jc w:val="left"/>
      </w:pPr>
      <w:r>
        <w:rPr>
          <w:i/>
        </w:rPr>
        <w:t xml:space="preserve"> </w:t>
      </w:r>
    </w:p>
    <w:p w:rsidR="00025683" w:rsidRDefault="007C2AAB">
      <w:pPr>
        <w:spacing w:line="238" w:lineRule="auto"/>
        <w:ind w:left="240" w:right="49"/>
      </w:pPr>
      <w:r>
        <w:rPr>
          <w:i/>
        </w:rPr>
        <w:t xml:space="preserve">Artículo 69 de la Ley de Bases del Régimen local que establece la prevalencia de la democracia representativa sobre la participación ciudadana. </w:t>
      </w:r>
    </w:p>
    <w:p w:rsidR="00025683" w:rsidRDefault="007C2AAB">
      <w:pPr>
        <w:spacing w:after="0" w:line="259" w:lineRule="auto"/>
        <w:ind w:left="255" w:firstLine="0"/>
        <w:jc w:val="left"/>
      </w:pPr>
      <w:r>
        <w:rPr>
          <w:i/>
        </w:rPr>
        <w:t xml:space="preserve"> </w:t>
      </w:r>
    </w:p>
    <w:p w:rsidR="00025683" w:rsidRDefault="007C2AAB">
      <w:pPr>
        <w:spacing w:line="238" w:lineRule="auto"/>
        <w:ind w:left="240" w:right="49"/>
      </w:pPr>
      <w:r>
        <w:rPr>
          <w:i/>
        </w:rPr>
        <w:t xml:space="preserve">     1. La</w:t>
      </w:r>
      <w:r>
        <w:rPr>
          <w:i/>
        </w:rPr>
        <w:t>s Corporaciones locales facilitarán la más amplia información sobre su actividad y la participación de todos los ciudadanos en la vida local. 2. Las formas, medios y procedimientos de participación que las Corporaciones establezcan en ejercicio de su potes</w:t>
      </w:r>
      <w:r>
        <w:rPr>
          <w:i/>
        </w:rPr>
        <w:t>tad de autoorganización no podrán en ningún caso menoscabar las facultades de decisión que corresponden a los órganos representativos regulados por la Ley.</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color w:val="FF0000"/>
        </w:rPr>
        <w:t xml:space="preserve"> </w:t>
      </w:r>
    </w:p>
    <w:p w:rsidR="00025683" w:rsidRDefault="007C2AAB">
      <w:pPr>
        <w:spacing w:after="0" w:line="259" w:lineRule="auto"/>
        <w:ind w:left="240" w:firstLine="0"/>
        <w:jc w:val="left"/>
      </w:pPr>
      <w:r>
        <w:rPr>
          <w:i/>
          <w:color w:val="FF0000"/>
        </w:rPr>
        <w:t xml:space="preserve"> </w:t>
      </w:r>
    </w:p>
    <w:p w:rsidR="00025683" w:rsidRDefault="007C2AAB">
      <w:pPr>
        <w:spacing w:line="238" w:lineRule="auto"/>
        <w:ind w:left="240" w:right="49"/>
      </w:pPr>
      <w:r>
        <w:rPr>
          <w:i/>
        </w:rPr>
        <w:t xml:space="preserve">El artículo 70 bis de la LBRL que regula la iniciativa popular: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 xml:space="preserve">Artículo 70 bis.  </w:t>
      </w:r>
    </w:p>
    <w:p w:rsidR="00025683" w:rsidRDefault="007C2AAB">
      <w:pPr>
        <w:spacing w:after="0" w:line="259" w:lineRule="auto"/>
        <w:ind w:left="240" w:firstLine="0"/>
        <w:jc w:val="left"/>
      </w:pPr>
      <w:r>
        <w:rPr>
          <w:i/>
        </w:rPr>
        <w:t xml:space="preserve"> </w:t>
      </w:r>
    </w:p>
    <w:p w:rsidR="00025683" w:rsidRDefault="007C2AAB">
      <w:pPr>
        <w:numPr>
          <w:ilvl w:val="0"/>
          <w:numId w:val="166"/>
        </w:numPr>
        <w:spacing w:line="238" w:lineRule="auto"/>
        <w:ind w:right="49"/>
      </w:pPr>
      <w:r>
        <w:rPr>
          <w:i/>
        </w:rPr>
        <w:t>Los ayu</w:t>
      </w:r>
      <w:r>
        <w:rPr>
          <w:i/>
        </w:rPr>
        <w:t>ntamientos deberán establecer y regular en normas de carácter orgánico procedimientos y órganos adecuados para la efectiva participación de los vecinos en los asuntos de la vida pública local, tanto en el ámbito del municipio en su conjunto como en el de l</w:t>
      </w:r>
      <w:r>
        <w:rPr>
          <w:i/>
        </w:rPr>
        <w:t xml:space="preserve">os distritos, en el supuesto de que existan en el municipio dichas divisiones territoriales. </w:t>
      </w:r>
    </w:p>
    <w:p w:rsidR="00025683" w:rsidRDefault="007C2AAB">
      <w:pPr>
        <w:spacing w:after="0" w:line="259" w:lineRule="auto"/>
        <w:ind w:left="240" w:firstLine="0"/>
        <w:jc w:val="left"/>
      </w:pPr>
      <w:r>
        <w:rPr>
          <w:i/>
        </w:rPr>
        <w:t xml:space="preserve"> </w:t>
      </w:r>
    </w:p>
    <w:p w:rsidR="00025683" w:rsidRDefault="007C2AAB">
      <w:pPr>
        <w:numPr>
          <w:ilvl w:val="0"/>
          <w:numId w:val="166"/>
        </w:numPr>
        <w:spacing w:line="238" w:lineRule="auto"/>
        <w:ind w:right="49"/>
      </w:pPr>
      <w:r>
        <w:rPr>
          <w:rFonts w:ascii="Calibri" w:eastAsia="Calibri" w:hAnsi="Calibri" w:cs="Calibri"/>
          <w:noProof/>
        </w:rPr>
        <mc:AlternateContent>
          <mc:Choice Requires="wpg">
            <w:drawing>
              <wp:anchor distT="0" distB="0" distL="114300" distR="114300" simplePos="0" relativeHeight="25199104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5992" name="Group 4259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6995" name="Rectangle 4699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6996" name="Rectangle 4699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6997" name="Rectangle 4699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310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5992" style="width:18.7031pt;height:264.21pt;position:absolute;mso-position-horizontal-relative:page;mso-position-horizontal:absolute;margin-left:662.928pt;mso-position-vertical-relative:page;margin-top:507.75pt;" coordsize="2375,33554">
                <v:rect id="Rectangle 4699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699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699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310 de 350 </w:t>
                        </w:r>
                      </w:p>
                    </w:txbxContent>
                  </v:textbox>
                </v:rect>
                <w10:wrap type="square"/>
              </v:group>
            </w:pict>
          </mc:Fallback>
        </mc:AlternateContent>
      </w:r>
      <w:r>
        <w:rPr>
          <w:i/>
        </w:rPr>
        <w:t>Los vecinos que gocen del derecho de sufragio activo en las elecciones municipales podrán ejercer la iniciativa popular, presentando propuestas de acuerdos o act</w:t>
      </w:r>
      <w:r>
        <w:rPr>
          <w:i/>
        </w:rPr>
        <w:t xml:space="preserve">uaciones o proyectos de reglamentos en materias de la competencia municipal.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 xml:space="preserve">Dichas iniciativas deberán ir suscritas al menos por el siguiente porcentaje de vecinos del municipio: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numPr>
          <w:ilvl w:val="0"/>
          <w:numId w:val="167"/>
        </w:numPr>
        <w:spacing w:line="238" w:lineRule="auto"/>
        <w:ind w:right="49" w:hanging="259"/>
      </w:pPr>
      <w:r>
        <w:rPr>
          <w:i/>
        </w:rPr>
        <w:t xml:space="preserve">Hasta 5.000 habitantes, el 20 por ciento.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numPr>
          <w:ilvl w:val="0"/>
          <w:numId w:val="167"/>
        </w:numPr>
        <w:spacing w:line="238" w:lineRule="auto"/>
        <w:ind w:right="49" w:hanging="259"/>
      </w:pPr>
      <w:r>
        <w:rPr>
          <w:i/>
        </w:rPr>
        <w:t xml:space="preserve">De 5.001 a 20.000 habitantes, el 15 por ciento.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numPr>
          <w:ilvl w:val="0"/>
          <w:numId w:val="167"/>
        </w:numPr>
        <w:spacing w:line="238" w:lineRule="auto"/>
        <w:ind w:right="49" w:hanging="259"/>
      </w:pPr>
      <w:r>
        <w:rPr>
          <w:i/>
        </w:rPr>
        <w:t xml:space="preserve">A partir de 20.001 habitantes, el 10 por ciento.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Tales iniciativas deberán ser sometidas a debate y votación en el Pleno, sin perjuicio de que sean resueltas por el órgano competente por razón de la m</w:t>
      </w:r>
      <w:r>
        <w:rPr>
          <w:i/>
        </w:rPr>
        <w:t xml:space="preserve">ateria.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 xml:space="preserve">En todo caso, se requerirá el previo informe de legalidad del secretario del ayuntamiento, así como el informe del interventor cuando la iniciativa afecte a derechos y obligaciones de contenido económico del ayuntamiento.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En los municipios a que se refiere el artículo 121 de esta ley, el informe de legalidad será emitido por el secretario general del Pleno y cuando la iniciativa afecte a derechos y obligaciones de contenido económico, el informe será emitido por el Interven</w:t>
      </w:r>
      <w:r>
        <w:rPr>
          <w:i/>
        </w:rPr>
        <w:t xml:space="preserve">tor general municipal.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after="3" w:line="237" w:lineRule="auto"/>
        <w:ind w:left="250" w:right="45" w:hanging="10"/>
        <w:jc w:val="left"/>
      </w:pPr>
      <w:r>
        <w:rPr>
          <w:i/>
        </w:rPr>
        <w:t xml:space="preserve">Lo dispuesto en este apartado se entiende sin perjuicio de la legislación autonómica en esta materia. </w:t>
      </w:r>
      <w:r>
        <w:rPr>
          <w:rFonts w:ascii="Times New Roman" w:eastAsia="Times New Roman" w:hAnsi="Times New Roman" w:cs="Times New Roman"/>
          <w:sz w:val="24"/>
        </w:rPr>
        <w:t xml:space="preserve"> </w:t>
      </w:r>
      <w:r>
        <w:rPr>
          <w:i/>
        </w:rPr>
        <w:t xml:space="preserve"> </w:t>
      </w:r>
    </w:p>
    <w:p w:rsidR="00025683" w:rsidRDefault="007C2AAB">
      <w:pPr>
        <w:spacing w:line="238" w:lineRule="auto"/>
        <w:ind w:left="240" w:right="49"/>
      </w:pPr>
      <w:r>
        <w:rPr>
          <w:i/>
        </w:rPr>
        <w:t>Tales iniciativas pueden llevar incorporada una propuesta de consulta popular local, que será tramitada en tal caso por el p</w:t>
      </w:r>
      <w:r>
        <w:rPr>
          <w:i/>
        </w:rPr>
        <w:t>rocedimiento y con los requisitos previstos en el artículo 71.</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color w:val="FF0000"/>
        </w:rPr>
        <w:t xml:space="preserve"> </w:t>
      </w:r>
    </w:p>
    <w:p w:rsidR="00025683" w:rsidRDefault="007C2AAB">
      <w:pPr>
        <w:spacing w:after="0" w:line="259" w:lineRule="auto"/>
        <w:ind w:left="240" w:firstLine="0"/>
        <w:jc w:val="left"/>
      </w:pPr>
      <w:r>
        <w:rPr>
          <w:i/>
          <w:color w:val="FF0000"/>
        </w:rPr>
        <w:t xml:space="preserve"> </w:t>
      </w:r>
    </w:p>
    <w:p w:rsidR="00025683" w:rsidRDefault="007C2AAB">
      <w:pPr>
        <w:spacing w:after="0" w:line="259" w:lineRule="auto"/>
        <w:ind w:left="240" w:firstLine="0"/>
        <w:jc w:val="left"/>
      </w:pPr>
      <w:r>
        <w:rPr>
          <w:i/>
          <w:color w:val="FF0000"/>
        </w:rPr>
        <w:t xml:space="preserve"> </w:t>
      </w:r>
    </w:p>
    <w:p w:rsidR="00025683" w:rsidRDefault="007C2AAB">
      <w:pPr>
        <w:spacing w:line="238" w:lineRule="auto"/>
        <w:ind w:left="240" w:right="49"/>
      </w:pPr>
      <w:r>
        <w:rPr>
          <w:i/>
        </w:rPr>
        <w:t xml:space="preserve">Artículo 70 ter de la Ley de Bases del Régimen local: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1. Las Administraciones públicas con competencias de ordenación territorial y urbanística deberán tener a disposición de los ciu</w:t>
      </w:r>
      <w:r>
        <w:rPr>
          <w:i/>
        </w:rPr>
        <w:t xml:space="preserve">dadanos o ciudadanas que lo soliciten, copias completas de los instrumentos de ordenación territorial y urbanística vigentes en su ámbito territorial, de los documentos de gestión y de los convenios urbanísticos. </w:t>
      </w:r>
    </w:p>
    <w:p w:rsidR="00025683" w:rsidRDefault="007C2AAB">
      <w:pPr>
        <w:spacing w:after="0" w:line="259" w:lineRule="auto"/>
        <w:ind w:left="240" w:firstLine="0"/>
        <w:jc w:val="left"/>
      </w:pPr>
      <w:r>
        <w:rPr>
          <w:i/>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 xml:space="preserve">Artículo 70 quater de la Ley de Bases </w:t>
      </w:r>
      <w:r>
        <w:rPr>
          <w:i/>
        </w:rPr>
        <w:t>del Régimen local.</w:t>
      </w:r>
      <w:r>
        <w:rPr>
          <w:rFonts w:ascii="Times New Roman" w:eastAsia="Times New Roman" w:hAnsi="Times New Roman" w:cs="Times New Roman"/>
          <w:sz w:val="24"/>
        </w:rPr>
        <w:t xml:space="preserve"> </w:t>
      </w:r>
    </w:p>
    <w:p w:rsidR="00025683" w:rsidRDefault="007C2AAB">
      <w:pPr>
        <w:spacing w:line="238" w:lineRule="auto"/>
        <w:ind w:left="240" w:right="49"/>
      </w:pPr>
      <w:r>
        <w:rPr>
          <w:i/>
        </w:rPr>
        <w:t xml:space="preserve">1. Las Entidades Locales deberán adoptar las medidas necesarias para facilitar la accesibilidad de los servicios públicos a los vecinos, promoviendo la utilización de las tecnologías de la información y la comunicación en la prestación </w:t>
      </w:r>
      <w:r>
        <w:rPr>
          <w:i/>
        </w:rPr>
        <w:t>de los mismos. Para ello, elaborarán planes que tengan por objeto la implementación de mecanismos digitales que faciliten la accesibilidad de los vecinos y de las empresas a los servicios públicos.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i/>
        </w:rPr>
        <w:t>Artículo 71 de la Ley de Bases del Régimen local sobr</w:t>
      </w:r>
      <w:r>
        <w:rPr>
          <w:i/>
        </w:rPr>
        <w:t>e las consultas populares locales: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pPr>
      <w:r>
        <w:rPr>
          <w:rFonts w:ascii="Calibri" w:eastAsia="Calibri" w:hAnsi="Calibri" w:cs="Calibri"/>
          <w:noProof/>
        </w:rPr>
        <mc:AlternateContent>
          <mc:Choice Requires="wpg">
            <w:drawing>
              <wp:anchor distT="0" distB="0" distL="114300" distR="114300" simplePos="0" relativeHeight="251992064" behindDoc="0" locked="0" layoutInCell="1" allowOverlap="1">
                <wp:simplePos x="0" y="0"/>
                <wp:positionH relativeFrom="page">
                  <wp:posOffset>8419190</wp:posOffset>
                </wp:positionH>
                <wp:positionV relativeFrom="page">
                  <wp:posOffset>6454064</wp:posOffset>
                </wp:positionV>
                <wp:extent cx="237530" cy="3349828"/>
                <wp:effectExtent l="0" t="0" r="0" b="0"/>
                <wp:wrapSquare wrapText="bothSides"/>
                <wp:docPr id="425694" name="Group 42569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47102" name="Rectangle 47102"/>
                        <wps:cNvSpPr/>
                        <wps:spPr>
                          <a:xfrm rot="-5399999">
                            <a:off x="-1151584" y="2085021"/>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7103" name="Rectangle 47103"/>
                        <wps:cNvSpPr/>
                        <wps:spPr>
                          <a:xfrm rot="-5399999">
                            <a:off x="-976166" y="2184239"/>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104" name="Rectangle 47104"/>
                        <wps:cNvSpPr/>
                        <wps:spPr>
                          <a:xfrm rot="-5399999">
                            <a:off x="-2018623" y="1065581"/>
                            <a:ext cx="4455271"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311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5694" style="width:18.7031pt;height:263.766pt;position:absolute;mso-position-horizontal-relative:page;mso-position-horizontal:absolute;margin-left:662.928pt;mso-position-vertical-relative:page;margin-top:508.194pt;" coordsize="2375,33498">
                <v:rect id="Rectangle 47102" style="position:absolute;width:24163;height:1132;left:-11515;top:20850;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7103" style="position:absolute;width:22179;height:1132;left:-9761;top:21842;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104" style="position:absolute;width:44552;height:1132;left:-20186;top:1065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311 de 350 </w:t>
                        </w:r>
                      </w:p>
                    </w:txbxContent>
                  </v:textbox>
                </v:rect>
                <w10:wrap type="square"/>
              </v:group>
            </w:pict>
          </mc:Fallback>
        </mc:AlternateContent>
      </w:r>
      <w:r>
        <w:rPr>
          <w:i/>
        </w:rPr>
        <w:t>De conformidad con la legislación del Estado y de la Comunidad Autónoma, cuando ésta tenga competencia estatutariamente atribuida para ello, los Alcaldes, previo acuerdo por mayoría absoluta del Pleno y autorización del Gobierno de la Nación, podrán somete</w:t>
      </w:r>
      <w:r>
        <w:rPr>
          <w:i/>
        </w:rPr>
        <w:t>r a consulta popular aquellos asuntos de la competencia propia municipal y de carácter local que sean de especial relevancia para los intereses de los vecinos, con excepción de los relativos a la Hacienda local.</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color w:val="FF0000"/>
        </w:rPr>
        <w:t xml:space="preserve"> </w:t>
      </w:r>
    </w:p>
    <w:p w:rsidR="00025683" w:rsidRDefault="007C2AAB">
      <w:pPr>
        <w:spacing w:after="0" w:line="259" w:lineRule="auto"/>
        <w:ind w:left="240" w:firstLine="0"/>
        <w:jc w:val="left"/>
      </w:pPr>
      <w:r>
        <w:rPr>
          <w:i/>
          <w:color w:val="FF0000"/>
        </w:rPr>
        <w:t xml:space="preserve"> </w:t>
      </w:r>
    </w:p>
    <w:p w:rsidR="00025683" w:rsidRDefault="007C2AAB">
      <w:pPr>
        <w:spacing w:after="0" w:line="259" w:lineRule="auto"/>
        <w:ind w:left="182" w:firstLine="0"/>
        <w:jc w:val="center"/>
      </w:pPr>
      <w:r>
        <w:rPr>
          <w:i/>
          <w:sz w:val="23"/>
        </w:rPr>
        <w:t>PROPUESTA DE ACUERDO AL PLENO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after="54" w:line="238" w:lineRule="auto"/>
        <w:ind w:left="240" w:right="49"/>
      </w:pPr>
      <w:r>
        <w:rPr>
          <w:i/>
        </w:rPr>
        <w:t>Primer</w:t>
      </w:r>
      <w:r>
        <w:rPr>
          <w:i/>
        </w:rPr>
        <w:t xml:space="preserve">o. Aprobación inicial del Reglamento de Participación Ciudadana del Ayuntamiento de Candelaria cuyo tenor literal se inserta a continuación: </w:t>
      </w:r>
    </w:p>
    <w:p w:rsidR="00025683" w:rsidRDefault="007C2AAB">
      <w:pPr>
        <w:spacing w:line="238" w:lineRule="auto"/>
        <w:ind w:left="240" w:right="49"/>
      </w:pPr>
      <w:r>
        <w:rPr>
          <w:i/>
        </w:rPr>
        <w:t>(…)</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i/>
        </w:rPr>
        <w:t xml:space="preserve"> </w:t>
      </w:r>
    </w:p>
    <w:p w:rsidR="00025683" w:rsidRDefault="007C2AAB">
      <w:pPr>
        <w:spacing w:after="0" w:line="259" w:lineRule="auto"/>
        <w:ind w:left="240" w:firstLine="0"/>
        <w:jc w:val="left"/>
      </w:pPr>
      <w:r>
        <w:rPr>
          <w:i/>
        </w:rPr>
        <w:t xml:space="preserve"> </w:t>
      </w:r>
    </w:p>
    <w:p w:rsidR="00025683" w:rsidRDefault="007C2AAB">
      <w:pPr>
        <w:spacing w:after="0" w:line="259" w:lineRule="auto"/>
        <w:ind w:left="240" w:firstLine="0"/>
        <w:jc w:val="left"/>
      </w:pPr>
      <w:r>
        <w:rPr>
          <w:i/>
        </w:rPr>
        <w:t xml:space="preserve"> </w:t>
      </w:r>
    </w:p>
    <w:p w:rsidR="00025683" w:rsidRDefault="007C2AAB">
      <w:pPr>
        <w:spacing w:after="0" w:line="259" w:lineRule="auto"/>
        <w:ind w:left="240" w:firstLine="0"/>
        <w:jc w:val="left"/>
      </w:pPr>
      <w:r>
        <w:rPr>
          <w:i/>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0" w:line="259" w:lineRule="auto"/>
        <w:ind w:left="271" w:firstLine="0"/>
        <w:jc w:val="center"/>
      </w:pPr>
      <w:r>
        <w:rPr>
          <w:b/>
        </w:rPr>
        <w:t xml:space="preserve"> </w:t>
      </w:r>
    </w:p>
    <w:p w:rsidR="00025683" w:rsidRDefault="007C2AAB">
      <w:pPr>
        <w:spacing w:after="3" w:line="259" w:lineRule="auto"/>
        <w:ind w:left="274" w:right="58" w:hanging="10"/>
        <w:jc w:val="center"/>
      </w:pPr>
      <w:r>
        <w:rPr>
          <w:b/>
        </w:rPr>
        <w:t>Esta Alcaldía-Presidencia, ELEVA PROPUESTA AL PLENO:</w:t>
      </w:r>
      <w:r>
        <w:rPr>
          <w:rFonts w:ascii="Times New Roman" w:eastAsia="Times New Roman" w:hAnsi="Times New Roman" w:cs="Times New Roman"/>
          <w:sz w:val="24"/>
        </w:rPr>
        <w:t xml:space="preserve"> </w:t>
      </w:r>
    </w:p>
    <w:p w:rsidR="00025683" w:rsidRDefault="007C2AAB">
      <w:pPr>
        <w:spacing w:after="0" w:line="259" w:lineRule="auto"/>
        <w:ind w:left="284" w:firstLine="0"/>
        <w:jc w:val="center"/>
      </w:pPr>
      <w:r>
        <w:rPr>
          <w:b/>
          <w:sz w:val="23"/>
        </w:rPr>
        <w:t xml:space="preserve"> </w:t>
      </w:r>
    </w:p>
    <w:p w:rsidR="00025683" w:rsidRDefault="007C2AAB">
      <w:pPr>
        <w:pStyle w:val="Ttulo4"/>
        <w:spacing w:after="0"/>
        <w:ind w:left="228"/>
      </w:pPr>
      <w:r>
        <w:rPr>
          <w:sz w:val="23"/>
        </w:rPr>
        <w:t>PROPUESTA DE ACUERDO AL PLENO</w:t>
      </w:r>
      <w:r>
        <w:rPr>
          <w:rFonts w:ascii="Times New Roman" w:eastAsia="Times New Roman" w:hAnsi="Times New Roman" w:cs="Times New Roman"/>
          <w:b w:val="0"/>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pPr>
      <w:r>
        <w:rPr>
          <w:b/>
        </w:rPr>
        <w:t>Primero. Aprobación inicial del Reglamento de Participación Ciudadana del Ayuntamiento de Candelaria transcrito precedentemente.</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59"/>
      </w:pPr>
      <w:r>
        <w:rPr>
          <w:b/>
        </w:rPr>
        <w:t>Segundo. Someter este Reglamento a información pública y audiencia de los interesados, con publicación en el Boletín Oficial de la Provincia y tablón de anuncios del Ayuntamiento, por el plazo de treinta días hábiles, para que puedan presentar reclamacione</w:t>
      </w:r>
      <w:r>
        <w:rPr>
          <w:b/>
        </w:rPr>
        <w:t>s o sugerencias, que serán resueltas por el Pleno de la Corporación.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55"/>
      </w:pPr>
      <w:r>
        <w:rPr>
          <w:b/>
        </w:rPr>
        <w:t>Simultáneamente, publicar el texto del Reglamento municipal en el portal web del Ayuntamiento(</w:t>
      </w:r>
      <w:r>
        <w:rPr>
          <w:b/>
          <w:color w:val="0462C1"/>
        </w:rPr>
        <w:t>https://sedeelectronica.candelaria.es/transparencia/participacion/..../</w:t>
      </w:r>
      <w:r>
        <w:rPr>
          <w:b/>
        </w:rPr>
        <w:t>)con el objeto de d</w:t>
      </w:r>
      <w:r>
        <w:rPr>
          <w:b/>
        </w:rPr>
        <w:t>ar audiencia a los ciudadanos afectados y recabar cuantas aportaciones adicionales puedan hacerse por otras personas o entidades.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58"/>
      </w:pPr>
      <w:r>
        <w:rPr>
          <w:rFonts w:ascii="Calibri" w:eastAsia="Calibri" w:hAnsi="Calibri" w:cs="Calibri"/>
          <w:noProof/>
        </w:rPr>
        <mc:AlternateContent>
          <mc:Choice Requires="wpg">
            <w:drawing>
              <wp:anchor distT="0" distB="0" distL="114300" distR="114300" simplePos="0" relativeHeight="25199308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4360" name="Group 4243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219" name="Rectangle 4721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7220" name="Rectangle 4722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221" name="Rectangle 4722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w:t>
                              </w:r>
                              <w:r>
                                <w:rPr>
                                  <w:sz w:val="12"/>
                                </w:rPr>
                                <w:t xml:space="preserve"> electrónicamente desde la plataforma esPublico Gestiona | Página 312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4360" style="width:18.7031pt;height:264.21pt;position:absolute;mso-position-horizontal-relative:page;mso-position-horizontal:absolute;margin-left:662.928pt;mso-position-vertical-relative:page;margin-top:507.75pt;" coordsize="2375,33554">
                <v:rect id="Rectangle 4721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722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22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312 de 350 </w:t>
                        </w:r>
                      </w:p>
                    </w:txbxContent>
                  </v:textbox>
                </v:rect>
                <w10:wrap type="square"/>
              </v:group>
            </w:pict>
          </mc:Fallback>
        </mc:AlternateContent>
      </w:r>
      <w:r>
        <w:rPr>
          <w:b/>
        </w:rPr>
        <w:t>Tercero. De no presentarse reclamaciones o sugerencias en el plazo señalado en la propuesta anterior, se considerará aprobado definitivamente y el acuerdo de aprobación definitiv</w:t>
      </w:r>
      <w:r>
        <w:rPr>
          <w:b/>
        </w:rPr>
        <w:t>a tácita del Reglamento, con el texto íntegro del mimo, se publicará para su general conocimiento en el Boletín Oficial de la Provincia y, asimismo, estará a disposición de los interesados en la sede electrónica de este Ayuntamiento.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sz w:val="24"/>
        </w:rPr>
        <w:t xml:space="preserve"> </w:t>
      </w:r>
    </w:p>
    <w:p w:rsidR="00025683" w:rsidRDefault="007C2AAB">
      <w:pPr>
        <w:spacing w:after="0" w:line="259" w:lineRule="auto"/>
        <w:ind w:left="240" w:firstLine="0"/>
        <w:jc w:val="left"/>
      </w:pPr>
      <w:r>
        <w:rPr>
          <w:sz w:val="24"/>
        </w:rPr>
        <w:t xml:space="preserve"> </w:t>
      </w:r>
    </w:p>
    <w:p w:rsidR="00025683" w:rsidRDefault="007C2AAB">
      <w:pPr>
        <w:spacing w:after="0" w:line="259" w:lineRule="auto"/>
        <w:ind w:left="240" w:firstLine="0"/>
        <w:jc w:val="left"/>
      </w:pPr>
      <w:r>
        <w:rPr>
          <w:sz w:val="24"/>
        </w:rPr>
        <w:t xml:space="preserve"> </w:t>
      </w:r>
    </w:p>
    <w:p w:rsidR="00025683" w:rsidRDefault="007C2AAB">
      <w:pPr>
        <w:spacing w:after="1" w:line="249" w:lineRule="auto"/>
        <w:ind w:left="250" w:right="197" w:hanging="10"/>
      </w:pPr>
      <w:r>
        <w:rPr>
          <w:b/>
          <w:sz w:val="24"/>
        </w:rPr>
        <w:t xml:space="preserve">DICTAMEN DE LA COMISIÓN INFORMATIVA DE SERVICIOS A LAS PERSONAS </w:t>
      </w:r>
    </w:p>
    <w:p w:rsidR="00025683" w:rsidRDefault="007C2AAB">
      <w:pPr>
        <w:spacing w:after="0" w:line="259" w:lineRule="auto"/>
        <w:ind w:left="240" w:firstLine="0"/>
        <w:jc w:val="left"/>
      </w:pPr>
      <w:r>
        <w:rPr>
          <w:b/>
          <w:sz w:val="24"/>
        </w:rPr>
        <w:t xml:space="preserve"> </w:t>
      </w:r>
    </w:p>
    <w:p w:rsidR="00025683" w:rsidRDefault="007C2AAB">
      <w:pPr>
        <w:ind w:left="240" w:firstLine="708"/>
      </w:pPr>
      <w:r>
        <w:rPr>
          <w:b/>
        </w:rPr>
        <w:t xml:space="preserve">Votos a favor: </w:t>
      </w:r>
      <w:r>
        <w:t xml:space="preserve">4 Doña Olivia Concepción Pérez Díaz, Doña María del Carmen Clemente Díaz, Doña Margarita Eva Tendero Barroso, Doña Mónica Montserrat Yanes Delgado. </w:t>
      </w:r>
    </w:p>
    <w:p w:rsidR="00025683" w:rsidRDefault="007C2AAB">
      <w:pPr>
        <w:spacing w:after="0" w:line="259" w:lineRule="auto"/>
        <w:ind w:left="240" w:firstLine="0"/>
        <w:jc w:val="left"/>
      </w:pPr>
      <w:r>
        <w:rPr>
          <w:b/>
        </w:rPr>
        <w:t xml:space="preserve"> </w:t>
      </w:r>
    </w:p>
    <w:p w:rsidR="00025683" w:rsidRDefault="007C2AAB">
      <w:pPr>
        <w:spacing w:after="12"/>
        <w:ind w:left="948" w:right="197"/>
      </w:pPr>
      <w:r>
        <w:rPr>
          <w:b/>
        </w:rPr>
        <w:t xml:space="preserve">Votos en contra:  </w:t>
      </w:r>
      <w:r>
        <w:t>0.</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948" w:right="197"/>
      </w:pPr>
      <w:r>
        <w:rPr>
          <w:b/>
        </w:rPr>
        <w:t xml:space="preserve">Abstenciones: </w:t>
      </w:r>
      <w:r>
        <w:t>3.</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firstLine="708"/>
      </w:pPr>
      <w:r>
        <w:t xml:space="preserve">2 de los concejales del Grupo Popular, Don Jacobo López Fariña y Doña Sheila Castellano Batista. </w:t>
      </w:r>
    </w:p>
    <w:p w:rsidR="00025683" w:rsidRDefault="007C2AAB">
      <w:pPr>
        <w:spacing w:after="0" w:line="259" w:lineRule="auto"/>
        <w:ind w:left="240" w:firstLine="0"/>
        <w:jc w:val="left"/>
      </w:pPr>
      <w:r>
        <w:t xml:space="preserve"> </w:t>
      </w:r>
    </w:p>
    <w:p w:rsidR="00025683" w:rsidRDefault="007C2AAB">
      <w:pPr>
        <w:ind w:left="948" w:right="200"/>
      </w:pPr>
      <w:r>
        <w:t xml:space="preserve">1 de la concejal del Grupo Mixto (USP), Don José Tortorsa Pallarés.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948" w:right="197"/>
      </w:pPr>
      <w:r>
        <w:rPr>
          <w:b/>
        </w:rPr>
        <w:t xml:space="preserve">JUNTA DE PORTAVOCES  </w:t>
      </w:r>
    </w:p>
    <w:p w:rsidR="00025683" w:rsidRDefault="007C2AAB">
      <w:pPr>
        <w:ind w:left="948" w:right="200"/>
      </w:pPr>
      <w:r>
        <w:t xml:space="preserve">Quedo oída. </w:t>
      </w:r>
    </w:p>
    <w:p w:rsidR="00025683" w:rsidRDefault="007C2AAB">
      <w:pPr>
        <w:spacing w:after="0" w:line="259" w:lineRule="auto"/>
        <w:ind w:left="948" w:firstLine="0"/>
        <w:jc w:val="left"/>
      </w:pPr>
      <w:r>
        <w:rPr>
          <w:b/>
          <w:sz w:val="24"/>
        </w:rPr>
        <w:t xml:space="preserve"> </w:t>
      </w:r>
    </w:p>
    <w:p w:rsidR="00025683" w:rsidRDefault="007C2AAB">
      <w:pPr>
        <w:spacing w:after="0" w:line="259" w:lineRule="auto"/>
        <w:ind w:left="948" w:firstLine="0"/>
        <w:jc w:val="left"/>
      </w:pPr>
      <w:r>
        <w:rPr>
          <w:b/>
          <w:sz w:val="24"/>
        </w:rPr>
        <w:t xml:space="preserve"> </w:t>
      </w:r>
    </w:p>
    <w:p w:rsidR="00025683" w:rsidRDefault="007C2AAB">
      <w:pPr>
        <w:spacing w:after="0" w:line="259" w:lineRule="auto"/>
        <w:ind w:left="948" w:firstLine="0"/>
        <w:jc w:val="left"/>
      </w:pPr>
      <w:r>
        <w:rPr>
          <w:b/>
          <w:sz w:val="24"/>
        </w:rPr>
        <w:t xml:space="preserve"> </w:t>
      </w:r>
    </w:p>
    <w:p w:rsidR="00025683" w:rsidRDefault="007C2AAB">
      <w:pPr>
        <w:spacing w:after="1" w:line="249" w:lineRule="auto"/>
        <w:ind w:left="958" w:right="197" w:hanging="10"/>
      </w:pPr>
      <w:r>
        <w:rPr>
          <w:b/>
          <w:sz w:val="24"/>
        </w:rPr>
        <w:t xml:space="preserve"> </w:t>
      </w:r>
      <w:r>
        <w:rPr>
          <w:b/>
          <w:sz w:val="24"/>
        </w:rPr>
        <w:t xml:space="preserve">VOTACIÓN EN EL PLENO DE 29 DE DICIEMBRE DE 2025. </w:t>
      </w:r>
    </w:p>
    <w:p w:rsidR="00025683" w:rsidRDefault="007C2AAB">
      <w:pPr>
        <w:spacing w:after="0" w:line="259" w:lineRule="auto"/>
        <w:ind w:left="240" w:firstLine="0"/>
        <w:jc w:val="left"/>
      </w:pPr>
      <w:r>
        <w:rPr>
          <w:b/>
        </w:rPr>
        <w:t xml:space="preserve"> </w:t>
      </w:r>
    </w:p>
    <w:p w:rsidR="00025683" w:rsidRDefault="007C2AAB">
      <w:pPr>
        <w:ind w:left="948" w:right="200"/>
      </w:pPr>
      <w:r>
        <w:t xml:space="preserve">Votos a favor: 18. </w:t>
      </w:r>
    </w:p>
    <w:p w:rsidR="00025683" w:rsidRDefault="007C2AAB">
      <w:pPr>
        <w:spacing w:after="0" w:line="259" w:lineRule="auto"/>
        <w:ind w:left="948" w:firstLine="0"/>
        <w:jc w:val="left"/>
      </w:pPr>
      <w:r>
        <w:t xml:space="preserve"> </w:t>
      </w:r>
    </w:p>
    <w:p w:rsidR="00025683" w:rsidRDefault="007C2AAB">
      <w:pPr>
        <w:ind w:left="240" w:right="59" w:firstLine="708"/>
      </w:pPr>
      <w:r>
        <w:t>11 concejales del Grupo Socialista: Dª. María Concepción Brito Núñez, D. Jorge Baute Delgado, D. José Francisco Pinto Ramos, Dª. Olivia Concepción Pérez, D. Reinaldo José Triviño Bla</w:t>
      </w:r>
      <w:r>
        <w:t xml:space="preserve">nco, D. Manuel Alberto González Pestano, Dª. Margarita Eva Tendero Barroso, D. Airam Pérez Chinea, Dª. María del Carmen Clemente Díaz, D. Olegario Francisco Alonso Bello, Dª. Mónica Monserrat Yanes Delgado.  </w:t>
      </w:r>
    </w:p>
    <w:p w:rsidR="00025683" w:rsidRDefault="007C2AAB">
      <w:pPr>
        <w:spacing w:after="0" w:line="259" w:lineRule="auto"/>
        <w:ind w:left="240" w:firstLine="0"/>
        <w:jc w:val="left"/>
      </w:pPr>
      <w:r>
        <w:t xml:space="preserve"> </w:t>
      </w:r>
    </w:p>
    <w:p w:rsidR="00025683" w:rsidRDefault="007C2AAB">
      <w:pPr>
        <w:ind w:left="948"/>
      </w:pPr>
      <w:r>
        <w:t>5 concejales del Grupo Popular: D. Jacobo Lóp</w:t>
      </w:r>
      <w:r>
        <w:t xml:space="preserve">ez Fariña, D. Miguel Eduardo Hernández </w:t>
      </w:r>
    </w:p>
    <w:p w:rsidR="00025683" w:rsidRDefault="007C2AAB">
      <w:pPr>
        <w:ind w:left="240"/>
      </w:pPr>
      <w:r>
        <w:t xml:space="preserve">Chitty, Dª. Raquel Martín Castro, Dª. María Carlota Díaz González y D. José Daniel Sosa González. </w:t>
      </w:r>
    </w:p>
    <w:p w:rsidR="00025683" w:rsidRDefault="007C2AAB">
      <w:pPr>
        <w:spacing w:after="0" w:line="259" w:lineRule="auto"/>
        <w:ind w:left="240" w:firstLine="0"/>
        <w:jc w:val="left"/>
      </w:pPr>
      <w:r>
        <w:t xml:space="preserve"> </w:t>
      </w:r>
    </w:p>
    <w:p w:rsidR="00025683" w:rsidRDefault="007C2AAB">
      <w:pPr>
        <w:ind w:left="948" w:right="200"/>
      </w:pPr>
      <w:r>
        <w:t xml:space="preserve">1 de la concejal del Grupo Mixto (CC), Doña Ángela Cruz Perera. </w:t>
      </w:r>
    </w:p>
    <w:p w:rsidR="00025683" w:rsidRDefault="007C2AAB">
      <w:pPr>
        <w:spacing w:after="0" w:line="259" w:lineRule="auto"/>
        <w:ind w:left="240" w:firstLine="0"/>
        <w:jc w:val="left"/>
      </w:pPr>
      <w:r>
        <w:t xml:space="preserve"> </w:t>
      </w:r>
    </w:p>
    <w:p w:rsidR="00025683" w:rsidRDefault="007C2AAB">
      <w:pPr>
        <w:ind w:left="948" w:right="200"/>
      </w:pPr>
      <w:r>
        <w:t>1 del concejal del Grupo Mixto (Vox), D. José To</w:t>
      </w:r>
      <w:r>
        <w:t xml:space="preserve">rtosa Pallarés. </w:t>
      </w:r>
    </w:p>
    <w:p w:rsidR="00025683" w:rsidRDefault="007C2AAB">
      <w:pPr>
        <w:spacing w:after="0" w:line="259" w:lineRule="auto"/>
        <w:ind w:left="948" w:firstLine="0"/>
        <w:jc w:val="left"/>
      </w:pPr>
      <w:r>
        <w:t xml:space="preserve"> </w:t>
      </w:r>
    </w:p>
    <w:p w:rsidR="00025683" w:rsidRDefault="007C2AAB">
      <w:pPr>
        <w:ind w:left="948" w:right="200"/>
      </w:pPr>
      <w:r>
        <w:t xml:space="preserve">Votos en contra: 0. </w:t>
      </w:r>
    </w:p>
    <w:p w:rsidR="00025683" w:rsidRDefault="007C2AAB">
      <w:pPr>
        <w:spacing w:after="0" w:line="259" w:lineRule="auto"/>
        <w:ind w:left="948" w:firstLine="0"/>
        <w:jc w:val="left"/>
      </w:pPr>
      <w:r>
        <w:t xml:space="preserve"> </w:t>
      </w:r>
    </w:p>
    <w:p w:rsidR="00025683" w:rsidRDefault="007C2AAB">
      <w:pPr>
        <w:ind w:left="948" w:right="200"/>
      </w:pPr>
      <w:r>
        <w:t xml:space="preserve">Abstenciones: 1. </w:t>
      </w:r>
    </w:p>
    <w:p w:rsidR="00025683" w:rsidRDefault="007C2AAB">
      <w:pPr>
        <w:spacing w:after="0" w:line="259" w:lineRule="auto"/>
        <w:ind w:left="948" w:firstLine="0"/>
        <w:jc w:val="left"/>
      </w:pPr>
      <w:r>
        <w:rPr>
          <w:color w:val="FFFFFF"/>
        </w:rPr>
        <w:t xml:space="preserve"> </w:t>
      </w:r>
    </w:p>
    <w:p w:rsidR="00025683" w:rsidRDefault="007C2AAB">
      <w:pPr>
        <w:ind w:left="948" w:right="200"/>
      </w:pPr>
      <w:r>
        <w:t xml:space="preserve">1 de la concejal del Grupo Mixto (USP), Dª. Violeta López Jiménez. </w:t>
      </w:r>
    </w:p>
    <w:p w:rsidR="00025683" w:rsidRDefault="007C2AAB">
      <w:pPr>
        <w:spacing w:after="0" w:line="259" w:lineRule="auto"/>
        <w:ind w:left="240" w:firstLine="0"/>
        <w:jc w:val="left"/>
      </w:pPr>
      <w:r>
        <w:rPr>
          <w:b/>
          <w:sz w:val="24"/>
        </w:rPr>
        <w:t xml:space="preserve"> </w:t>
      </w:r>
    </w:p>
    <w:p w:rsidR="00025683" w:rsidRDefault="007C2AAB">
      <w:pPr>
        <w:spacing w:after="1" w:line="249" w:lineRule="auto"/>
        <w:ind w:left="1666" w:right="197" w:hanging="10"/>
      </w:pPr>
      <w:r>
        <w:rPr>
          <w:b/>
          <w:sz w:val="24"/>
        </w:rPr>
        <w:t xml:space="preserve">ACUERDO DEL PLENO DE 29 DE DICIEMBRE DE 2025. </w:t>
      </w:r>
    </w:p>
    <w:p w:rsidR="00025683" w:rsidRDefault="007C2AAB">
      <w:pPr>
        <w:spacing w:after="14" w:line="259" w:lineRule="auto"/>
        <w:ind w:left="240" w:firstLine="0"/>
        <w:jc w:val="left"/>
      </w:pPr>
      <w:r>
        <w:rPr>
          <w:rFonts w:ascii="Calibri" w:eastAsia="Calibri" w:hAnsi="Calibri" w:cs="Calibri"/>
          <w:noProof/>
        </w:rPr>
        <mc:AlternateContent>
          <mc:Choice Requires="wpg">
            <w:drawing>
              <wp:anchor distT="0" distB="0" distL="114300" distR="114300" simplePos="0" relativeHeight="25199411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3383" name="Group 4233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343" name="Rectangle 4734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7344" name="Rectangle 4734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345" name="Rectangle 4734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313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3383" style="width:18.7031pt;height:264.21pt;position:absolute;mso-position-horizontal-relative:page;mso-position-horizontal:absolute;margin-left:662.928pt;mso-position-vertical-relative:page;margin-top:507.75pt;" coordsize="2375,33554">
                <v:rect id="Rectangle 4734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734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34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313 de 350 </w:t>
                        </w:r>
                      </w:p>
                    </w:txbxContent>
                  </v:textbox>
                </v:rect>
                <w10:wrap type="square"/>
              </v:group>
            </w:pict>
          </mc:Fallback>
        </mc:AlternateContent>
      </w:r>
      <w:r>
        <w:rPr>
          <w:b/>
        </w:rPr>
        <w:t xml:space="preserve"> </w:t>
      </w:r>
    </w:p>
    <w:p w:rsidR="00025683" w:rsidRDefault="007C2AAB">
      <w:pPr>
        <w:spacing w:after="12"/>
        <w:ind w:left="240"/>
      </w:pPr>
      <w:r>
        <w:rPr>
          <w:b/>
          <w:sz w:val="24"/>
        </w:rPr>
        <w:t xml:space="preserve">       PRIMERO: </w:t>
      </w:r>
      <w:r>
        <w:rPr>
          <w:b/>
        </w:rPr>
        <w:t>Aprobación inicial del Reglamento de Participación Ciudadana del Ayuntamiento de Candela</w:t>
      </w:r>
      <w:r>
        <w:rPr>
          <w:b/>
        </w:rPr>
        <w:t>ria.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12"/>
        <w:ind w:left="240" w:right="60"/>
      </w:pPr>
      <w:r>
        <w:rPr>
          <w:b/>
          <w:sz w:val="24"/>
        </w:rPr>
        <w:t xml:space="preserve">       SEGUNDO: </w:t>
      </w:r>
      <w:r>
        <w:rPr>
          <w:b/>
        </w:rPr>
        <w:t>Someter este Reglamento a información pública y audiencia de los interesados, con publicación en el Boletín Oficial de la Provincia y tablón de anuncios del Ayuntamiento, por el plazo de treinta días hábiles, para que puedan presentar reclamaciones o suger</w:t>
      </w:r>
      <w:r>
        <w:rPr>
          <w:b/>
        </w:rPr>
        <w:t>encias, que serán resueltas por el Pleno de la Corporación.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55"/>
      </w:pPr>
      <w:r>
        <w:rPr>
          <w:b/>
        </w:rPr>
        <w:t>Simultáneamente, publicar el texto del Reglamento municipal en el portal web del Ayuntamiento(</w:t>
      </w:r>
      <w:r>
        <w:rPr>
          <w:b/>
          <w:color w:val="0462C1"/>
        </w:rPr>
        <w:t>https://sedeelectronica.candelaria.es/transparencia/participacion/..../</w:t>
      </w:r>
      <w:r>
        <w:rPr>
          <w:b/>
        </w:rPr>
        <w:t>)con el objeto de dar audien</w:t>
      </w:r>
      <w:r>
        <w:rPr>
          <w:b/>
        </w:rPr>
        <w:t>cia a los ciudadanos afectados y recabar cuantas aportaciones adicionales puedan hacerse por otras personas o entidades.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11" w:line="259" w:lineRule="auto"/>
        <w:ind w:left="240" w:firstLine="0"/>
        <w:jc w:val="left"/>
      </w:pPr>
      <w:r>
        <w:rPr>
          <w:b/>
        </w:rPr>
        <w:t xml:space="preserve"> </w:t>
      </w:r>
    </w:p>
    <w:p w:rsidR="00025683" w:rsidRDefault="007C2AAB">
      <w:pPr>
        <w:spacing w:after="12"/>
        <w:ind w:left="240" w:right="57"/>
      </w:pPr>
      <w:r>
        <w:rPr>
          <w:b/>
          <w:sz w:val="24"/>
        </w:rPr>
        <w:t xml:space="preserve">       TERCERO: </w:t>
      </w:r>
      <w:r>
        <w:rPr>
          <w:b/>
        </w:rPr>
        <w:t>De no presentarse reclamaciones o sugerencias en el plazo señalado en la propuesta anterior, se considerará aprobado definitivamente y el acuerdo de aprobación definitiva tácita del Reglamento, con el texto íntegro del mimo, se publicará para su general co</w:t>
      </w:r>
      <w:r>
        <w:rPr>
          <w:b/>
        </w:rPr>
        <w:t>nocimiento en el Boletín Oficial de la Provincia y, asimismo, estará a disposición de los interesados en la sede electrónica de este Ayuntamiento.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12"/>
        <w:ind w:left="240"/>
      </w:pPr>
      <w:r>
        <w:rPr>
          <w:b/>
        </w:rPr>
        <w:t>*Primero. Aprobación inicial del Reglamento de Participación Ciudadana del Ayuntamiento de Candelaria cu</w:t>
      </w:r>
      <w:r>
        <w:rPr>
          <w:b/>
        </w:rPr>
        <w:t>yo tenor literal se inserta a continuación: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INDICE</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EXPOSICIÓN DE MOTIVOS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TÍTULO PRELIMINAR: DISPOSICIONES GENERALES.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 Objeto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 Ámbito de aplicación.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3. Objetivos.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TÍTULO I: DERECHOS DE LA CIUDADANÍA.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4. Derecho de participación ciudadana.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5. Derecho de acceso a la información pública.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6. Derecho de petición.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rFonts w:ascii="Calibri" w:eastAsia="Calibri" w:hAnsi="Calibri" w:cs="Calibri"/>
          <w:noProof/>
        </w:rPr>
        <mc:AlternateContent>
          <mc:Choice Requires="wpg">
            <w:drawing>
              <wp:anchor distT="0" distB="0" distL="114300" distR="114300" simplePos="0" relativeHeight="25199513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5005" name="Group 4250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462" name="Rectangle 4746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7463" name="Rectangle 4746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464" name="Rectangle 4746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314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5005" style="width:18.7031pt;height:264.21pt;position:absolute;mso-position-horizontal-relative:page;mso-position-horizontal:absolute;margin-left:662.928pt;mso-position-vertical-relative:page;margin-top:507.75pt;" coordsize="2375,33554">
                <v:rect id="Rectangle 4746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746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46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314 de 350 </w:t>
                        </w:r>
                      </w:p>
                    </w:txbxContent>
                  </v:textbox>
                </v:rect>
                <w10:wrap type="square"/>
              </v:group>
            </w:pict>
          </mc:Fallback>
        </mc:AlternateContent>
      </w:r>
      <w:r>
        <w:rPr>
          <w:b/>
        </w:rPr>
        <w:t xml:space="preserve">Artículo 7. Derecho de propuesta ciudadana.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8. Derecho de consulta popular.</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9. De</w:t>
      </w:r>
      <w:r>
        <w:rPr>
          <w:b/>
        </w:rPr>
        <w:t>recho a la iniciativa popular.</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10. Derecho a intervención en las sesiones públicas.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12"/>
        <w:ind w:left="240" w:right="197"/>
      </w:pPr>
      <w:r>
        <w:rPr>
          <w:b/>
        </w:rPr>
        <w:t>TÍTULO II: DE LOS PROCESOS PARTICIPATIVOS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CAPÍTULO I: DISPOSICIONES GENERALES.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11. Definición general.</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12. Los principios inspiradores de los procesos.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13. Tipos de procesos participativos.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14. Normas generales sobre los procesos participativos.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CAPITULO II: LOS PROCESOS PARTICIPATIVOS.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15. Los procesos de deliberación participativa.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16. Los presupuestos comunitarios.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17. Participación mediante consultas.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18. La Audiencia Pública.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19. Sondeos y encuestas de opinión.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20. Participación Ciudadana en elaboración de Reglamentos y Ordenanzas.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21. Procedimiento.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CAPÍTULO III. SISTEMA PÚBLICO DE PARTICIPACIÓN DIGITAL MUNICIPAL.</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22. Sistema público de participación digital.</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w:t>
      </w:r>
      <w:r>
        <w:rPr>
          <w:b/>
        </w:rPr>
        <w:t xml:space="preserve">3. Características.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199616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7215" name="Group 4272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571" name="Rectangle 47571"/>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7572" name="Rectangle 47572"/>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573" name="Rectangle 47573"/>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315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7215" style="width:18.7031pt;height:264.21pt;position:absolute;mso-position-horizontal-relative:page;mso-position-horizontal:absolute;margin-left:662.928pt;mso-position-vertical-relative:page;margin-top:507.75pt;" coordsize="2375,33554">
                <v:rect id="Rectangle 47571"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7572"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573"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315 de 350 </w:t>
                        </w:r>
                      </w:p>
                    </w:txbxContent>
                  </v:textbox>
                </v:rect>
                <w10:wrap type="square"/>
              </v:group>
            </w:pict>
          </mc:Fallback>
        </mc:AlternateContent>
      </w:r>
      <w:r>
        <w:rPr>
          <w:b/>
        </w:rPr>
        <w:t xml:space="preserve"> </w:t>
      </w:r>
    </w:p>
    <w:p w:rsidR="00025683" w:rsidRDefault="007C2AAB">
      <w:pPr>
        <w:spacing w:after="12"/>
        <w:ind w:left="240" w:right="197"/>
      </w:pPr>
      <w:r>
        <w:rPr>
          <w:b/>
        </w:rPr>
        <w:t>TÍTULO III: LA ORGANIZACIÓN MUNICIPAL EN MATERIA DE PARTICIPACIÓN.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CAPÍTULO I. REGISTRO MUNICIPAL DE ENTIDADES Y COLECTIVOS DE CIUDADANÍA.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24. Registro Municipal De Entidades Y Colectivos De Ciudadanía.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12"/>
        <w:ind w:left="240" w:right="197"/>
      </w:pPr>
      <w:r>
        <w:rPr>
          <w:b/>
        </w:rPr>
        <w:t>Artículo 25. Requisitos y procedimi</w:t>
      </w:r>
      <w:r>
        <w:rPr>
          <w:b/>
        </w:rPr>
        <w:t>ento de inscripción.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26. Actualización de datos.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27. Base de datos de participación de la ciudadanía.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28. De la oficina de Defensa de la Ciudadanía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CAPÍTULO II. ORGANOS DE PARTICIPACIÓN.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SECCIÓN I. DISPOSICIONES COMUNES A LOS ÓRGANOS DE PARTICIPACIÓN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29. Órganos de participación ciudadana y funcionalidad.</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30. De la Presidencia de las Mesas.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31. De la Secretaría de las Mesas.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32. El plenario </w:t>
      </w:r>
      <w:r>
        <w:rPr>
          <w:b/>
        </w:rPr>
        <w:t xml:space="preserve">o asamblea de las Mesas.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33. Convocatoria del Pleno y quorum de constitución.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34. Los acuerdos del Plenario.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35. Las Comisiones de Trabajo.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36. El Consejo Municipal de Participación.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SECCIÓN II. LAS MESAS COMUNITARIAS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37. Definición.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38. Funciones de las Mesas Comunitarias.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SECCIÓN III LAS MESAS SECTORIALES.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39.- Definición.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40.- Funciones de las Mesas Sectoriales.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199718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7650" name="Group 4276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685" name="Rectangle 4768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7686" name="Rectangle 4768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687" name="Rectangle 4768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316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7650" style="width:18.7031pt;height:264.21pt;position:absolute;mso-position-horizontal-relative:page;mso-position-horizontal:absolute;margin-left:662.928pt;mso-position-vertical-relative:page;margin-top:507.75pt;" coordsize="2375,33554">
                <v:rect id="Rectangle 4768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768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68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316 de 350 </w:t>
                        </w:r>
                      </w:p>
                    </w:txbxContent>
                  </v:textbox>
                </v:rect>
                <w10:wrap type="square"/>
              </v:group>
            </w:pict>
          </mc:Fallback>
        </mc:AlternateContent>
      </w:r>
      <w:r>
        <w:rPr>
          <w:b/>
        </w:rPr>
        <w:t xml:space="preserve"> </w:t>
      </w:r>
    </w:p>
    <w:p w:rsidR="00025683" w:rsidRDefault="007C2AAB">
      <w:pPr>
        <w:spacing w:after="12"/>
        <w:ind w:left="240" w:right="197"/>
      </w:pPr>
      <w:r>
        <w:rPr>
          <w:b/>
        </w:rPr>
        <w:t xml:space="preserve">Artículo 41. Composición de las Mesas Sectoriales.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T</w:t>
      </w:r>
      <w:r>
        <w:rPr>
          <w:b/>
        </w:rPr>
        <w:t>ÍTULO IV. CULTURA PARTICIPATIVA, ASOCIACIONISMO Y VOLUNTARIADO.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42. Medidas para fomentar la participación ciudadana.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12"/>
        <w:ind w:left="240" w:right="197"/>
      </w:pPr>
      <w:r>
        <w:rPr>
          <w:b/>
        </w:rPr>
        <w:t>Artículo 43. Apoyo al asociacionismo y al voluntariado.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44. Subvenciones para entidades ciudadanas.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998"/>
      </w:pPr>
      <w:r>
        <w:rPr>
          <w:b/>
        </w:rPr>
        <w:t>Artículo 45. Fomento de la innovación en la participación ciudadana</w:t>
      </w:r>
      <w:r>
        <w:rPr>
          <w:rFonts w:ascii="Times New Roman" w:eastAsia="Times New Roman" w:hAnsi="Times New Roman" w:cs="Times New Roman"/>
          <w:sz w:val="24"/>
        </w:rPr>
        <w:t xml:space="preserve"> </w:t>
      </w:r>
      <w:r>
        <w:rPr>
          <w:b/>
        </w:rPr>
        <w:t>DISPOSICIÓN ADICIONAL ÚNICA.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DISPOSICIÓN DEROGATORIA ÚNICA.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DISPOSICIÓN FINAL ÚNICA.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EXPOSICIÓN DE MOTIVOS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61"/>
      </w:pPr>
      <w:r>
        <w:t>Candelaria es un municipio con una larga tradición comunitaria, do</w:t>
      </w:r>
      <w:r>
        <w:t>nde la vida vecinal, las asociaciones y las Mesas Comunitarias han desempeñado históricamente un papel fundamental en la cohesión social y en el cuidado del territorio. Mucho antes de contar con un marco normativo que ordenara la participación ciudadana, y</w:t>
      </w:r>
      <w:r>
        <w:t xml:space="preserve">a existía en el municipio una ciudadanía activa, capaz de organizarse, de generar iniciativas propias y de implicarse en la mejora de sus pueblos. </w:t>
      </w:r>
    </w:p>
    <w:p w:rsidR="00025683" w:rsidRDefault="007C2AAB">
      <w:pPr>
        <w:spacing w:after="0" w:line="259" w:lineRule="auto"/>
        <w:ind w:left="240" w:firstLine="0"/>
        <w:jc w:val="left"/>
      </w:pPr>
      <w:r>
        <w:t xml:space="preserve"> </w:t>
      </w:r>
    </w:p>
    <w:p w:rsidR="00025683" w:rsidRDefault="007C2AAB">
      <w:pPr>
        <w:ind w:left="240" w:right="59"/>
      </w:pPr>
      <w:r>
        <w:t xml:space="preserve">Pese a esta trayectoria, no disponía hasta ahora de Reglamento de Participación Ciudadana. Esta necesidad </w:t>
      </w:r>
      <w:r>
        <w:t>se ve reforzada por la Ley 7/2015, de Municipios de Canarias, que obliga a las administraciones locales a regular la participación ciudadana con criterios de transparencia, accesibilidad y garantía procedimental. La aprobación de este reglamento supone, po</w:t>
      </w:r>
      <w:r>
        <w:t xml:space="preserve">r tanto, la actualización necesaria de un modelo participativo que ya existe, y la consolidación jurídica de una cultura comunitaria firmemente arraigada en el municipio. </w:t>
      </w:r>
    </w:p>
    <w:p w:rsidR="00025683" w:rsidRDefault="007C2AAB">
      <w:pPr>
        <w:spacing w:after="0" w:line="259" w:lineRule="auto"/>
        <w:ind w:left="240" w:firstLine="0"/>
        <w:jc w:val="left"/>
      </w:pPr>
      <w:r>
        <w:t xml:space="preserve"> </w:t>
      </w:r>
    </w:p>
    <w:p w:rsidR="00025683" w:rsidRDefault="007C2AAB">
      <w:pPr>
        <w:ind w:left="240" w:right="54"/>
      </w:pPr>
      <w:r>
        <w:t>La elaboración de este texto ha sido fruto de un proceso participativo amplio, des</w:t>
      </w:r>
      <w:r>
        <w:t>arrollado a través de trece talleres comunitarios en distintos territorios del municipio, que recogieron la diversidad. En estos encuentros, la ciudadanía pudo compartir sus necesidades e inquietudes, señalando la importancia de una participación accesible</w:t>
      </w:r>
      <w:r>
        <w:t>, cercana, descentralizada y coherente con la diversidad territorial de Candelaria. Las reflexiones surgidas de estos espacios destacaron la necesidad de mejorar los canales de comunicación institucional, reforzar el sentido de comunidad, garantizar la equ</w:t>
      </w:r>
      <w:r>
        <w:t xml:space="preserve">idad entre pueblos, atender a las personas mayores y jóvenes con metodologías adaptadas, avanzar hacia modelos inclusivos y accesibles, y combinar la participación presencial con herramientas digitales sencillas y comprensibles. </w:t>
      </w:r>
    </w:p>
    <w:p w:rsidR="00025683" w:rsidRDefault="007C2AAB">
      <w:pPr>
        <w:spacing w:after="0" w:line="259" w:lineRule="auto"/>
        <w:ind w:left="240" w:firstLine="0"/>
        <w:jc w:val="left"/>
      </w:pPr>
      <w:r>
        <w:t xml:space="preserve"> </w:t>
      </w:r>
    </w:p>
    <w:p w:rsidR="00025683" w:rsidRDefault="007C2AAB">
      <w:pPr>
        <w:ind w:left="240" w:right="58"/>
      </w:pPr>
      <w:r>
        <w:rPr>
          <w:rFonts w:ascii="Calibri" w:eastAsia="Calibri" w:hAnsi="Calibri" w:cs="Calibri"/>
          <w:noProof/>
        </w:rPr>
        <mc:AlternateContent>
          <mc:Choice Requires="wpg">
            <w:drawing>
              <wp:anchor distT="0" distB="0" distL="114300" distR="114300" simplePos="0" relativeHeight="25199820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8254" name="Group 42825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797" name="Rectangle 4779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7798" name="Rectangle 4779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7799" name="Rectangle 4779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317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8254" style="width:18.7031pt;height:264.21pt;position:absolute;mso-position-horizontal-relative:page;mso-position-horizontal:absolute;margin-left:662.928pt;mso-position-vertical-relative:page;margin-top:507.75pt;" coordsize="2375,33554">
                <v:rect id="Rectangle 4779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779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79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317 de 350 </w:t>
                        </w:r>
                      </w:p>
                    </w:txbxContent>
                  </v:textbox>
                </v:rect>
                <w10:wrap type="square"/>
              </v:group>
            </w:pict>
          </mc:Fallback>
        </mc:AlternateContent>
      </w:r>
      <w:r>
        <w:t xml:space="preserve">Estas aportaciones no se han incorporado al reglamento como </w:t>
      </w:r>
      <w:r>
        <w:t>un listado de propuestas, sino como una base conceptual que inspira toda la norma. El resultado es un texto que traduce en estructura jurídica los valores expresados durante el proceso participativo: que la participación debe ser un derecho estable, no dep</w:t>
      </w:r>
      <w:r>
        <w:t xml:space="preserve">endiente de la coyuntura política; que debe responder a la diversidad territorial y social del municipio; y que debe generar resultados útiles, comprensibles y retornados a la ciudadanía. </w:t>
      </w:r>
    </w:p>
    <w:p w:rsidR="00025683" w:rsidRDefault="007C2AAB">
      <w:pPr>
        <w:spacing w:after="0" w:line="259" w:lineRule="auto"/>
        <w:ind w:left="240" w:firstLine="0"/>
        <w:jc w:val="left"/>
      </w:pPr>
      <w:r>
        <w:t xml:space="preserve"> </w:t>
      </w:r>
    </w:p>
    <w:p w:rsidR="00025683" w:rsidRDefault="007C2AAB">
      <w:pPr>
        <w:ind w:left="240" w:right="56"/>
      </w:pPr>
      <w:r>
        <w:t xml:space="preserve">El reglamento reconoce, además, el valor de las prácticas que ya </w:t>
      </w:r>
      <w:r>
        <w:t>existen: el papel de las asociaciones, la utilidad de las Mesas Comunitarias, la riqueza del tejido asociativo y la importancia de los espacios de encuentro que históricamente han sostenido la vida comunitaria en Candelaria. El texto no parte de cero, sino</w:t>
      </w:r>
      <w:r>
        <w:t xml:space="preserve"> que ordena y fortalece una tradición participativa sólida, dotándola de garantías, procedimientos claros y mecanismos multidireccionales — presenciales y digitales— que amplían las posibilidades de implicación ciudadana. </w:t>
      </w:r>
    </w:p>
    <w:p w:rsidR="00025683" w:rsidRDefault="007C2AAB">
      <w:pPr>
        <w:spacing w:after="0" w:line="259" w:lineRule="auto"/>
        <w:ind w:left="240" w:firstLine="0"/>
        <w:jc w:val="left"/>
      </w:pPr>
      <w:r>
        <w:t xml:space="preserve"> </w:t>
      </w:r>
    </w:p>
    <w:p w:rsidR="00025683" w:rsidRDefault="007C2AAB">
      <w:pPr>
        <w:ind w:left="240" w:right="60"/>
      </w:pPr>
      <w:r>
        <w:t>En cuanto a su estructura, el T</w:t>
      </w:r>
      <w:r>
        <w:t>ítulo Preliminar, establece las disposiciones generales, definiendo el objeto, los principios y los objetivos del reglamento. En el Título Primero se encuentran regulados los derechos de participación de la ciudadanía, como el derecho de petición, la propu</w:t>
      </w:r>
      <w:r>
        <w:t>esta ciudadana, la iniciativa ciudadana o la participación en los plenos. El Título Segundo se dedica a los procesos de participación, entre ellos los presupuestos comunitarios, las consultas ciudadanas o los espacios deliberativos, incorporando también el</w:t>
      </w:r>
      <w:r>
        <w:t xml:space="preserve"> uso de herramientas digitales. El Título Tercero regula la organización municipal en materia de participación, contemplando el Registro Municipal de Entidades y Colectivos de Ciudadanía, así como los órganos de participación, como las Mesas Sectoriales y </w:t>
      </w:r>
      <w:r>
        <w:t xml:space="preserve">las Mesas Comunitarias. Finalmente, el Título Cuarto recoge las medidas de fomento necesarias para impulsar una cultura participativa en el municipio. </w:t>
      </w:r>
    </w:p>
    <w:p w:rsidR="00025683" w:rsidRDefault="007C2AAB">
      <w:pPr>
        <w:spacing w:after="0" w:line="259" w:lineRule="auto"/>
        <w:ind w:left="240" w:firstLine="0"/>
        <w:jc w:val="left"/>
      </w:pPr>
      <w:r>
        <w:t xml:space="preserve"> </w:t>
      </w:r>
    </w:p>
    <w:p w:rsidR="00025683" w:rsidRDefault="007C2AAB">
      <w:pPr>
        <w:ind w:left="240" w:right="59"/>
      </w:pPr>
      <w:r>
        <w:t>Este Reglamento de Participación Ciudadana es, en definitiva, la expresión formal de un deseo comparti</w:t>
      </w:r>
      <w:r>
        <w:t>do, surgido del propio territorio: que Candelaria siga siendo un municipio abierto, dialogante y comprometido con su gente; que la participación ciudadana sea un derecho protegido y no una práctica ocasional; y que su ejercicio contribuya a construir un mo</w:t>
      </w:r>
      <w:r>
        <w:t xml:space="preserve">delo de convivencia democrática, cercano y coherente con la identidad comunitaria del municipio.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TÍTULO PRELIMINAR: DISPOSICIONES GENERALES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 Objeto.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64"/>
      </w:pPr>
      <w:r>
        <w:t>El presente Reglamento tiene por objeto regular y fomentar la participación ciudadana en la vida pública del municipio de Candelaria, entendida como el conjunto de mecanismos, espacios y procesos que permiten a la ciudadanía intervenir de forma activa en l</w:t>
      </w:r>
      <w:r>
        <w:t xml:space="preserve">os asuntos de interés general, de manera individual o colectiva. </w:t>
      </w:r>
    </w:p>
    <w:p w:rsidR="00025683" w:rsidRDefault="007C2AAB">
      <w:pPr>
        <w:spacing w:after="0" w:line="259" w:lineRule="auto"/>
        <w:ind w:left="240" w:firstLine="0"/>
        <w:jc w:val="left"/>
      </w:pPr>
      <w:r>
        <w:t xml:space="preserve"> </w:t>
      </w:r>
    </w:p>
    <w:p w:rsidR="00025683" w:rsidRDefault="007C2AAB">
      <w:pPr>
        <w:ind w:left="240" w:right="58"/>
      </w:pPr>
      <w:r>
        <w:t>La participación ciudadana regulada en este texto complementa y refuerza los canales de representación institucional existentes, permitiendo que las vecinas y vecinos, así como las asociac</w:t>
      </w:r>
      <w:r>
        <w:t xml:space="preserve">iones y colectivos del municipio, puedan expresar sus propuestas, prioridades y valoraciones de forma organizada y accesible.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 Ámbito de aplicación.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62"/>
      </w:pPr>
      <w:r>
        <w:t xml:space="preserve">El presente Reglamento será de aplicación en todo el término municipal, afectando a las </w:t>
      </w:r>
      <w:r>
        <w:t>actuaciones, iniciativas y procesos promovidos por el Ayuntamiento que impliquen o permitan la participación de la ciudadanía en los asuntos públicos locales.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ind w:left="240" w:right="57"/>
      </w:pPr>
      <w:r>
        <w:rPr>
          <w:rFonts w:ascii="Calibri" w:eastAsia="Calibri" w:hAnsi="Calibri" w:cs="Calibri"/>
          <w:noProof/>
        </w:rPr>
        <mc:AlternateContent>
          <mc:Choice Requires="wpg">
            <w:drawing>
              <wp:anchor distT="0" distB="0" distL="114300" distR="114300" simplePos="0" relativeHeight="25199923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9010" name="Group 4290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7900" name="Rectangle 4790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7901" name="Rectangle 4790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https://candelaria.sedelectroni</w:t>
                              </w:r>
                              <w:r>
                                <w:rPr>
                                  <w:sz w:val="12"/>
                                </w:rPr>
                                <w:t xml:space="preserve">ca.es/ </w:t>
                              </w:r>
                            </w:p>
                          </w:txbxContent>
                        </wps:txbx>
                        <wps:bodyPr horzOverflow="overflow" vert="horz" lIns="0" tIns="0" rIns="0" bIns="0" rtlCol="0">
                          <a:noAutofit/>
                        </wps:bodyPr>
                      </wps:wsp>
                      <wps:wsp>
                        <wps:cNvPr id="47902" name="Rectangle 4790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318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9010" style="width:18.7031pt;height:264.21pt;position:absolute;mso-position-horizontal-relative:page;mso-position-horizontal:absolute;margin-left:662.928pt;mso-position-vertical-relative:page;margin-top:507.75pt;" coordsize="2375,33554">
                <v:rect id="Rectangle 4790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790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790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318 de 350 </w:t>
                        </w:r>
                      </w:p>
                    </w:txbxContent>
                  </v:textbox>
                </v:rect>
                <w10:wrap type="square"/>
              </v:group>
            </w:pict>
          </mc:Fallback>
        </mc:AlternateContent>
      </w:r>
      <w:r>
        <w:t>Desde el punto de vista subjetivo, este Reglamento se dirige a todas las personas empadronadas en el municipio, así como a quienes, sin estar empadronadas, desarrollen su actividad social, laboral o económica de forma continuada en el mismo, con las excepc</w:t>
      </w:r>
      <w:r>
        <w:t xml:space="preserve">iones recogidas en el articulado de esta norma. También podrán participar las asociaciones, colectivos y entidades legalmente constituidas e inscritas en el Registro correspondiente.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3. Objetivos.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7"/>
      </w:pPr>
      <w:r>
        <w:t xml:space="preserve">1.Este Reglamento tiene como objetivo </w:t>
      </w:r>
      <w:r>
        <w:t xml:space="preserve">establecer un marco normativo claro y accesible que facilite y promueva la participación activa de la ciudadanía en los asuntos públicos del municipio, con las siguientes finalidades: </w:t>
      </w:r>
    </w:p>
    <w:p w:rsidR="00025683" w:rsidRDefault="007C2AAB">
      <w:pPr>
        <w:spacing w:after="0" w:line="259" w:lineRule="auto"/>
        <w:ind w:left="240" w:firstLine="0"/>
        <w:jc w:val="left"/>
      </w:pPr>
      <w:r>
        <w:t xml:space="preserve"> </w:t>
      </w:r>
    </w:p>
    <w:p w:rsidR="00025683" w:rsidRDefault="007C2AAB">
      <w:pPr>
        <w:numPr>
          <w:ilvl w:val="0"/>
          <w:numId w:val="168"/>
        </w:numPr>
      </w:pPr>
      <w:r>
        <w:t>Fomentar una ciudadanía informada, crítica y comprometida con el desa</w:t>
      </w:r>
      <w:r>
        <w:t xml:space="preserve">rrollo del municipio. </w:t>
      </w:r>
    </w:p>
    <w:p w:rsidR="00025683" w:rsidRDefault="007C2AAB">
      <w:pPr>
        <w:spacing w:after="0" w:line="259" w:lineRule="auto"/>
        <w:ind w:left="240" w:firstLine="0"/>
        <w:jc w:val="left"/>
      </w:pPr>
      <w:r>
        <w:t xml:space="preserve"> </w:t>
      </w:r>
    </w:p>
    <w:p w:rsidR="00025683" w:rsidRDefault="007C2AAB">
      <w:pPr>
        <w:numPr>
          <w:ilvl w:val="0"/>
          <w:numId w:val="168"/>
        </w:numPr>
      </w:pPr>
      <w:r>
        <w:t xml:space="preserve">Consolidar una cultura democrática basada en la corresponsabilidad, el diálogo y el respeto a la diversidad de opiniones. </w:t>
      </w:r>
    </w:p>
    <w:p w:rsidR="00025683" w:rsidRDefault="007C2AAB">
      <w:pPr>
        <w:spacing w:after="0" w:line="259" w:lineRule="auto"/>
        <w:ind w:left="240" w:firstLine="0"/>
        <w:jc w:val="left"/>
      </w:pPr>
      <w:r>
        <w:t xml:space="preserve"> </w:t>
      </w:r>
    </w:p>
    <w:p w:rsidR="00025683" w:rsidRDefault="007C2AAB">
      <w:pPr>
        <w:numPr>
          <w:ilvl w:val="0"/>
          <w:numId w:val="168"/>
        </w:numPr>
      </w:pPr>
      <w:r>
        <w:t>Impulsar la implicación directa de las personas en la planificación, ejecución y evaluación de las polític</w:t>
      </w:r>
      <w:r>
        <w:t xml:space="preserve">as públicas. </w:t>
      </w:r>
    </w:p>
    <w:p w:rsidR="00025683" w:rsidRDefault="007C2AAB">
      <w:pPr>
        <w:spacing w:after="0" w:line="259" w:lineRule="auto"/>
        <w:ind w:left="240" w:firstLine="0"/>
        <w:jc w:val="left"/>
      </w:pPr>
      <w:r>
        <w:t xml:space="preserve"> </w:t>
      </w:r>
    </w:p>
    <w:p w:rsidR="00025683" w:rsidRDefault="007C2AAB">
      <w:pPr>
        <w:numPr>
          <w:ilvl w:val="0"/>
          <w:numId w:val="168"/>
        </w:numPr>
      </w:pPr>
      <w:r>
        <w:t xml:space="preserve">Garantizar la igualdad de oportunidades en el acceso a los canales de participación, eliminando barreras sociales, culturales o tecnológicas. </w:t>
      </w:r>
    </w:p>
    <w:p w:rsidR="00025683" w:rsidRDefault="007C2AAB">
      <w:pPr>
        <w:spacing w:after="0" w:line="259" w:lineRule="auto"/>
        <w:ind w:left="240" w:firstLine="0"/>
        <w:jc w:val="left"/>
      </w:pPr>
      <w:r>
        <w:t xml:space="preserve"> </w:t>
      </w:r>
    </w:p>
    <w:p w:rsidR="00025683" w:rsidRDefault="007C2AAB">
      <w:pPr>
        <w:numPr>
          <w:ilvl w:val="0"/>
          <w:numId w:val="168"/>
        </w:numPr>
      </w:pPr>
      <w:r>
        <w:t xml:space="preserve">Reforzar la transparencia y la rendición de cuentas en la gestión municipal. </w:t>
      </w:r>
    </w:p>
    <w:p w:rsidR="00025683" w:rsidRDefault="007C2AAB">
      <w:pPr>
        <w:spacing w:after="0" w:line="259" w:lineRule="auto"/>
        <w:ind w:left="240" w:firstLine="0"/>
        <w:jc w:val="left"/>
      </w:pPr>
      <w:r>
        <w:t xml:space="preserve"> </w:t>
      </w:r>
    </w:p>
    <w:p w:rsidR="00025683" w:rsidRDefault="007C2AAB">
      <w:pPr>
        <w:numPr>
          <w:ilvl w:val="0"/>
          <w:numId w:val="168"/>
        </w:numPr>
      </w:pPr>
      <w:r>
        <w:t>Establecer meca</w:t>
      </w:r>
      <w:r>
        <w:t xml:space="preserve">nismos estables y eficaces de participación tanto individual como colectiva.  </w:t>
      </w:r>
    </w:p>
    <w:p w:rsidR="00025683" w:rsidRDefault="007C2AAB">
      <w:pPr>
        <w:spacing w:after="0" w:line="259" w:lineRule="auto"/>
        <w:ind w:left="240" w:firstLine="0"/>
        <w:jc w:val="left"/>
      </w:pPr>
      <w:r>
        <w:t xml:space="preserve"> </w:t>
      </w:r>
    </w:p>
    <w:p w:rsidR="00025683" w:rsidRDefault="007C2AAB">
      <w:pPr>
        <w:numPr>
          <w:ilvl w:val="0"/>
          <w:numId w:val="168"/>
        </w:numPr>
      </w:pPr>
      <w:r>
        <w:t xml:space="preserve">Promover la educación en participación desde edades tempranas, fomentando el protagonismo de la infancia y la adolescencia en la vida pública local. </w:t>
      </w:r>
    </w:p>
    <w:p w:rsidR="00025683" w:rsidRDefault="007C2AAB">
      <w:pPr>
        <w:spacing w:after="0" w:line="259" w:lineRule="auto"/>
        <w:ind w:left="240" w:firstLine="0"/>
        <w:jc w:val="left"/>
      </w:pPr>
      <w:r>
        <w:t xml:space="preserve"> </w:t>
      </w:r>
    </w:p>
    <w:p w:rsidR="00025683" w:rsidRDefault="007C2AAB">
      <w:pPr>
        <w:numPr>
          <w:ilvl w:val="0"/>
          <w:numId w:val="168"/>
        </w:numPr>
      </w:pPr>
      <w:r>
        <w:t xml:space="preserve">Fomentar la intervención comunitaria como vía para identificar necesidades colectivas y generar soluciones colaborativas. </w:t>
      </w:r>
    </w:p>
    <w:p w:rsidR="00025683" w:rsidRDefault="007C2AAB">
      <w:pPr>
        <w:spacing w:after="0" w:line="259" w:lineRule="auto"/>
        <w:ind w:left="240" w:firstLine="0"/>
        <w:jc w:val="left"/>
      </w:pPr>
      <w:r>
        <w:t xml:space="preserve"> </w:t>
      </w:r>
    </w:p>
    <w:p w:rsidR="00025683" w:rsidRDefault="007C2AAB">
      <w:pPr>
        <w:numPr>
          <w:ilvl w:val="0"/>
          <w:numId w:val="168"/>
        </w:numPr>
      </w:pPr>
      <w:r>
        <w:t xml:space="preserve">Promover espacios comunitarios como puntos de encuentro, diálogo y creación colectiva en el municipio. </w:t>
      </w:r>
    </w:p>
    <w:p w:rsidR="00025683" w:rsidRDefault="007C2AAB">
      <w:pPr>
        <w:spacing w:after="0" w:line="259" w:lineRule="auto"/>
        <w:ind w:left="240" w:firstLine="0"/>
        <w:jc w:val="left"/>
      </w:pPr>
      <w:r>
        <w:t xml:space="preserve"> </w:t>
      </w:r>
    </w:p>
    <w:p w:rsidR="00025683" w:rsidRDefault="007C2AAB">
      <w:pPr>
        <w:numPr>
          <w:ilvl w:val="0"/>
          <w:numId w:val="168"/>
        </w:numPr>
      </w:pPr>
      <w:r>
        <w:t>Impulsar la escucha activ</w:t>
      </w:r>
      <w:r>
        <w:t xml:space="preserve">a por parte de la Administración local hacia las demandas, propuestas e inquietudes de la ciudadanía, garantizando canales abiertos y eficaces de comunicación. </w:t>
      </w:r>
    </w:p>
    <w:p w:rsidR="00025683" w:rsidRDefault="007C2AAB">
      <w:pPr>
        <w:spacing w:after="0" w:line="259" w:lineRule="auto"/>
        <w:ind w:left="240" w:firstLine="0"/>
        <w:jc w:val="left"/>
      </w:pPr>
      <w:r>
        <w:t xml:space="preserve"> </w:t>
      </w:r>
    </w:p>
    <w:p w:rsidR="00025683" w:rsidRDefault="007C2AAB">
      <w:pPr>
        <w:numPr>
          <w:ilvl w:val="0"/>
          <w:numId w:val="168"/>
        </w:numPr>
      </w:pPr>
      <w:r>
        <w:t xml:space="preserve">Garantizar la descentralización de la participación ciudadana, promoviendo que las acciones, </w:t>
      </w:r>
      <w:r>
        <w:t>procesos y órganos participativos lleguen a todos los barrios y núcleos del</w:t>
      </w:r>
      <w:r>
        <w:rPr>
          <w:rFonts w:ascii="Times New Roman" w:eastAsia="Times New Roman" w:hAnsi="Times New Roman" w:cs="Times New Roman"/>
          <w:sz w:val="24"/>
        </w:rPr>
        <w:t xml:space="preserve"> </w:t>
      </w:r>
      <w:r>
        <w:t xml:space="preserve">municipio, evitando desequilibrios territoriales y fomentando la cohesión entre zonas urbanas, rurales y costeras. </w:t>
      </w:r>
    </w:p>
    <w:p w:rsidR="00025683" w:rsidRDefault="007C2AAB">
      <w:pPr>
        <w:spacing w:after="0" w:line="259" w:lineRule="auto"/>
        <w:ind w:left="240" w:firstLine="0"/>
        <w:jc w:val="left"/>
      </w:pPr>
      <w:r>
        <w:t xml:space="preserve"> </w:t>
      </w:r>
    </w:p>
    <w:p w:rsidR="00025683" w:rsidRDefault="007C2AAB">
      <w:pPr>
        <w:ind w:left="240" w:right="59"/>
      </w:pPr>
      <w:r>
        <w:t>2. El Ayuntamiento podrá diseñar y aprobar una Estrategia de P</w:t>
      </w:r>
      <w:r>
        <w:t xml:space="preserve">articipación Ciudadana como hoja de ruta para implementar de forma planificada, coherente y progresiva los mecanismos y principios que se establecen en este Reglamento.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0025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7818" name="Group 4278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007" name="Rectangle 4800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8008" name="Rectangle 4800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https://candelaria.sede</w:t>
                              </w:r>
                              <w:r>
                                <w:rPr>
                                  <w:sz w:val="12"/>
                                </w:rPr>
                                <w:t xml:space="preserve">lectronica.es/ </w:t>
                              </w:r>
                            </w:p>
                          </w:txbxContent>
                        </wps:txbx>
                        <wps:bodyPr horzOverflow="overflow" vert="horz" lIns="0" tIns="0" rIns="0" bIns="0" rtlCol="0">
                          <a:noAutofit/>
                        </wps:bodyPr>
                      </wps:wsp>
                      <wps:wsp>
                        <wps:cNvPr id="48009" name="Rectangle 4800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319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7818" style="width:18.7031pt;height:264.21pt;position:absolute;mso-position-horizontal-relative:page;mso-position-horizontal:absolute;margin-left:662.928pt;mso-position-vertical-relative:page;margin-top:507.75pt;" coordsize="2375,33554">
                <v:rect id="Rectangle 4800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800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00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319 de 350 </w:t>
                        </w:r>
                      </w:p>
                    </w:txbxContent>
                  </v:textbox>
                </v:rect>
                <w10:wrap type="square"/>
              </v:group>
            </w:pict>
          </mc:Fallback>
        </mc:AlternateContent>
      </w: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TÍTULO I: DERECHOS DE LA CIUDADANÍA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4. Derecho de participación ciudadana. </w:t>
      </w:r>
    </w:p>
    <w:p w:rsidR="00025683" w:rsidRDefault="007C2AAB">
      <w:pPr>
        <w:spacing w:after="0" w:line="259" w:lineRule="auto"/>
        <w:ind w:left="240" w:firstLine="0"/>
        <w:jc w:val="left"/>
      </w:pPr>
      <w:r>
        <w:t xml:space="preserve"> </w:t>
      </w:r>
    </w:p>
    <w:p w:rsidR="00025683" w:rsidRDefault="007C2AAB">
      <w:pPr>
        <w:ind w:left="240" w:right="57"/>
      </w:pPr>
      <w:r>
        <w:t>1.El derecho de participación es la posibilidad que tiene toda persona o colectivo de formar parte activa en la construcción del municipio, aportando su voz, experiencia y propuestas en los asuntos que afectan a la comunidad, lo que implica el reconocimien</w:t>
      </w:r>
      <w:r>
        <w:t xml:space="preserve">to del papel de la ciudadanía como protagonista en la vida pública. </w:t>
      </w:r>
    </w:p>
    <w:p w:rsidR="00025683" w:rsidRDefault="007C2AAB">
      <w:pPr>
        <w:spacing w:after="0" w:line="259" w:lineRule="auto"/>
        <w:ind w:left="240" w:firstLine="0"/>
        <w:jc w:val="left"/>
      </w:pPr>
      <w:r>
        <w:t xml:space="preserve"> </w:t>
      </w:r>
    </w:p>
    <w:p w:rsidR="00025683" w:rsidRDefault="007C2AAB">
      <w:pPr>
        <w:ind w:left="240" w:right="57"/>
      </w:pPr>
      <w:r>
        <w:t>2.El Ayuntamiento tiene el deber de fomentar activamente este derecho, generando oportunidades reales de participación y acompañando a la ciudadanía en su ejercicio. Asimismo, deberá re</w:t>
      </w:r>
      <w:r>
        <w:t xml:space="preserve">mover las barreras que lo dificulten, especialmente aquellas que afectan a las personas jóvenes, mayores, con discapacidad o en riesgo de exclusión, así como a los colectivos menos organizados o con menor capacidad de incidencia.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5. Derecho de </w:t>
      </w:r>
      <w:r>
        <w:rPr>
          <w:b/>
        </w:rPr>
        <w:t xml:space="preserve">acceso a la información pública.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60"/>
      </w:pPr>
      <w:r>
        <w:t xml:space="preserve">1.La ciudadanía tiene derecho a acceder a la información pública municipal, de conformidad con lo establecido en la legislación vigente en materia de transparencia, acceso a la información y buen gobierno. </w:t>
      </w:r>
    </w:p>
    <w:p w:rsidR="00025683" w:rsidRDefault="007C2AAB">
      <w:pPr>
        <w:spacing w:after="0" w:line="259" w:lineRule="auto"/>
        <w:ind w:left="240" w:firstLine="0"/>
        <w:jc w:val="left"/>
      </w:pPr>
      <w:r>
        <w:t xml:space="preserve"> </w:t>
      </w:r>
    </w:p>
    <w:p w:rsidR="00025683" w:rsidRDefault="007C2AAB">
      <w:pPr>
        <w:ind w:left="240"/>
      </w:pPr>
      <w:r>
        <w:t>2.El Ayunt</w:t>
      </w:r>
      <w:r>
        <w:t>amiento garantizará el acceso a esta información de forma clara, comprensible, accesible y motivadora, utilizando múltiples canales de comunicación que garanticen abarcar a toda la población, incluyendo la página web municipal, redes sociales, servicios de</w:t>
      </w:r>
      <w:r>
        <w:t xml:space="preserve"> mensajería móvil, colocación de cartelería en espacios públicos estratégicos, así como campañas de difusión específicas para temas de especial interés, utilizando formatos adaptados, visuales y cercanos, a los distintos perfiles de la ciudadanía.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w:t>
      </w:r>
      <w:r>
        <w:rPr>
          <w:b/>
        </w:rPr>
        <w:t xml:space="preserve">ulo 6. Derecho de petición.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60"/>
      </w:pPr>
      <w:r>
        <w:t xml:space="preserve">1.La ciudadanía tiene derecho a dirigir peticiones individuales o colectivas al Ayuntamiento, en relación con cualquier asunto de competencia municipal, ya sea para formular propuestas, elevar solicitudes, expresar quejas o </w:t>
      </w:r>
      <w:r>
        <w:t>realizar sugerencias y/o felicitaciones, que contribuyan a la mejora de los servicios públicos y la vida del municipio. de conformidad y en los términos y condiciones previstos en la Ley Orgánica 4/2001, de 12 de noviembre, Reguladora del Derecho de Petici</w:t>
      </w:r>
      <w:r>
        <w:t xml:space="preserve">ón.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7. Derecho de propuesta ciudadana.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ind w:left="240" w:right="59"/>
      </w:pPr>
      <w:r>
        <w:t xml:space="preserve">1.La propuesta ciudadana es un derecho que permite a cualquier persona o entidad presentar ideas al Ayuntamiento para que se lleven a cabo, siempre que sean de interés público y competencia municipal.  </w:t>
      </w:r>
    </w:p>
    <w:p w:rsidR="00025683" w:rsidRDefault="007C2AAB">
      <w:pPr>
        <w:spacing w:after="0" w:line="259" w:lineRule="auto"/>
        <w:ind w:left="240" w:firstLine="0"/>
        <w:jc w:val="left"/>
      </w:pPr>
      <w:r>
        <w:t xml:space="preserve"> </w:t>
      </w:r>
    </w:p>
    <w:p w:rsidR="00025683" w:rsidRDefault="007C2AAB">
      <w:pPr>
        <w:ind w:left="240" w:right="58"/>
      </w:pPr>
      <w:r>
        <w:t>2. Se solicitará por escrito al Ayuntamiento, en el que se deberán incluir los datos identificativos suficientes para que la Administración pueda contestar, y deberán contar con un carácter específico, definiendo de la manera más clara posible las caracter</w:t>
      </w:r>
      <w:r>
        <w:t xml:space="preserve">ísticas y propósito de la iniciativa de cara a que, si así se estimase, se pueda someter a estudio su impulso por parte del Ayuntamiento, quien dispondrá de tres meses para responder a la misma.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0128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9367" name="Group 4293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122" name="Rectangle 4812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8123" name="Rectangle 4812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w:t>
                              </w:r>
                              <w:r>
                                <w:rPr>
                                  <w:sz w:val="12"/>
                                </w:rPr>
                                <w:t xml:space="preserve">n: https://candelaria.sedelectronica.es/ </w:t>
                              </w:r>
                            </w:p>
                          </w:txbxContent>
                        </wps:txbx>
                        <wps:bodyPr horzOverflow="overflow" vert="horz" lIns="0" tIns="0" rIns="0" bIns="0" rtlCol="0">
                          <a:noAutofit/>
                        </wps:bodyPr>
                      </wps:wsp>
                      <wps:wsp>
                        <wps:cNvPr id="48124" name="Rectangle 4812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320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9367" style="width:18.7031pt;height:264.21pt;position:absolute;mso-position-horizontal-relative:page;mso-position-horizontal:absolute;margin-left:662.928pt;mso-position-vertical-relative:page;margin-top:507.75pt;" coordsize="2375,33554">
                <v:rect id="Rectangle 4812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812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12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320 de 350 </w:t>
                        </w:r>
                      </w:p>
                    </w:txbxContent>
                  </v:textbox>
                </v:rect>
                <w10:wrap type="square"/>
              </v:group>
            </w:pict>
          </mc:Fallback>
        </mc:AlternateContent>
      </w: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8. Derecho de consulta popular.</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8"/>
      </w:pPr>
      <w:r>
        <w:t xml:space="preserve">1.La Alcaldía, de conformidad con la legislación del Estado y de </w:t>
      </w:r>
      <w:r>
        <w:t>la Comunidad Autónoma, cuando ésta tenga competencia estatutariamente atribuida para ello, previo acuerdo por mayoría absoluta del Pleno y autorización del Gobierno de la Nación podrá someter a consulta popular aquellos asuntos de la competencia propia mun</w:t>
      </w:r>
      <w:r>
        <w:t xml:space="preserve">icipal que sean de especial relevancia para los intereses de los vecinos y las vecinas, con excepción de los relativos a la Hacienda local.  </w:t>
      </w:r>
    </w:p>
    <w:p w:rsidR="00025683" w:rsidRDefault="007C2AAB">
      <w:pPr>
        <w:spacing w:after="0" w:line="259" w:lineRule="auto"/>
        <w:ind w:left="240" w:firstLine="0"/>
        <w:jc w:val="left"/>
      </w:pPr>
      <w:r>
        <w:t xml:space="preserve"> </w:t>
      </w:r>
    </w:p>
    <w:p w:rsidR="00025683" w:rsidRDefault="007C2AAB">
      <w:pPr>
        <w:numPr>
          <w:ilvl w:val="0"/>
          <w:numId w:val="169"/>
        </w:numPr>
        <w:ind w:right="59"/>
      </w:pPr>
      <w:r>
        <w:t>Cuando la iniciación del procedimiento sea consecuencia de una solicitud vecinal incluida en una iniciativa popu</w:t>
      </w:r>
      <w:r>
        <w:t xml:space="preserve">lar, corresponde a la Alcaldía la adopción de las medidas procedentes en orden a la comprobación de los requisitos de la iniciativa, cuya certificación corresponderá a la Secretaría de la Corporación.  </w:t>
      </w:r>
    </w:p>
    <w:p w:rsidR="00025683" w:rsidRDefault="007C2AAB">
      <w:pPr>
        <w:spacing w:after="0" w:line="259" w:lineRule="auto"/>
        <w:ind w:left="240" w:firstLine="0"/>
        <w:jc w:val="left"/>
      </w:pPr>
      <w:r>
        <w:t xml:space="preserve"> </w:t>
      </w:r>
    </w:p>
    <w:p w:rsidR="00025683" w:rsidRDefault="007C2AAB">
      <w:pPr>
        <w:numPr>
          <w:ilvl w:val="0"/>
          <w:numId w:val="169"/>
        </w:numPr>
        <w:ind w:right="59"/>
      </w:pPr>
      <w:r>
        <w:t xml:space="preserve">Asimismo, corresponde a la Alcaldía el sometimiento al Pleno de la iniciativa en el plazo de treinta días a partir de la recepción en el registro del Ayuntamiento de la solicitud cumplimentada conforme la regulación de la iniciativa popular.  </w:t>
      </w:r>
    </w:p>
    <w:p w:rsidR="00025683" w:rsidRDefault="007C2AAB">
      <w:pPr>
        <w:spacing w:after="0" w:line="259" w:lineRule="auto"/>
        <w:ind w:left="240" w:firstLine="0"/>
        <w:jc w:val="left"/>
      </w:pPr>
      <w:r>
        <w:t xml:space="preserve"> </w:t>
      </w:r>
    </w:p>
    <w:p w:rsidR="00025683" w:rsidRDefault="007C2AAB">
      <w:pPr>
        <w:numPr>
          <w:ilvl w:val="0"/>
          <w:numId w:val="169"/>
        </w:numPr>
        <w:ind w:right="59"/>
      </w:pPr>
      <w:r>
        <w:t>En los cin</w:t>
      </w:r>
      <w:r>
        <w:t>co días siguientes a la aceptación, en su caso, por el Pleno de la Corporación de la solicitud de consulta popular, o adoptado el acuerdo de iniciación por la propia Corporación, se ha de someter a información pública, por un período no inferior a veinte d</w:t>
      </w:r>
      <w:r>
        <w:t>ías hábiles, mediante publicación en el Boletín Oficial de la provincia para que cualquier persona física o jurídica pueda efectuar las alegaciones que considere procedentes, y simultáneamente se ha de comunicar a la Delegación del Gobierno en la provincia</w:t>
      </w:r>
      <w:r>
        <w:t xml:space="preserve"> que corresponda, para que, en el plazo de quince días hábiles, también pueda formular alegaciones.  </w:t>
      </w:r>
    </w:p>
    <w:p w:rsidR="00025683" w:rsidRDefault="007C2AAB">
      <w:pPr>
        <w:spacing w:after="0" w:line="259" w:lineRule="auto"/>
        <w:ind w:left="240" w:firstLine="0"/>
        <w:jc w:val="left"/>
      </w:pPr>
      <w:r>
        <w:t xml:space="preserve"> </w:t>
      </w:r>
    </w:p>
    <w:p w:rsidR="00025683" w:rsidRDefault="007C2AAB">
      <w:pPr>
        <w:numPr>
          <w:ilvl w:val="0"/>
          <w:numId w:val="169"/>
        </w:numPr>
        <w:ind w:right="59"/>
      </w:pPr>
      <w:r>
        <w:t>Corresponde al Pleno del Ayuntamiento ponderar las alegaciones presentadas y, si procede, acordar por mayoría absoluta del número legal de miembros de l</w:t>
      </w:r>
      <w:r>
        <w:t xml:space="preserve">a Corporación la celebración de la consulta popular.  </w:t>
      </w:r>
    </w:p>
    <w:p w:rsidR="00025683" w:rsidRDefault="007C2AAB">
      <w:pPr>
        <w:spacing w:after="0" w:line="259" w:lineRule="auto"/>
        <w:ind w:left="240" w:firstLine="0"/>
        <w:jc w:val="left"/>
      </w:pPr>
      <w:r>
        <w:t xml:space="preserve"> </w:t>
      </w:r>
    </w:p>
    <w:p w:rsidR="00025683" w:rsidRDefault="007C2AAB">
      <w:pPr>
        <w:numPr>
          <w:ilvl w:val="0"/>
          <w:numId w:val="169"/>
        </w:numPr>
        <w:ind w:right="59"/>
      </w:pPr>
      <w:r>
        <w:t>El acuerdo ha de contener los términos exactos de la consulta, que ha de consistir en una o varias preguntas, redactadas de forma inequívoca, a fin de que el cuerpo electoral se pueda pronunciar en s</w:t>
      </w:r>
      <w:r>
        <w:t xml:space="preserve">entido afirmativo o negativo.  </w:t>
      </w:r>
    </w:p>
    <w:p w:rsidR="00025683" w:rsidRDefault="007C2AAB">
      <w:pPr>
        <w:spacing w:after="0" w:line="259" w:lineRule="auto"/>
        <w:ind w:left="240" w:firstLine="0"/>
        <w:jc w:val="left"/>
      </w:pPr>
      <w:r>
        <w:t xml:space="preserve"> </w:t>
      </w:r>
    </w:p>
    <w:p w:rsidR="00025683" w:rsidRDefault="007C2AAB">
      <w:pPr>
        <w:numPr>
          <w:ilvl w:val="0"/>
          <w:numId w:val="169"/>
        </w:numPr>
        <w:ind w:right="59"/>
      </w:pPr>
      <w:r>
        <w:t>Las consultas populares, una vez autorizadas por el Gobierno de la Nación, deberán llevarse a cabo con las garantías propias de un proceso electoral, tanto en relación con la circunscripción, electores, campaña de informac</w:t>
      </w:r>
      <w:r>
        <w:t xml:space="preserve">ión, votación y escrutinio, bajo la supervisión de la Administración electoral.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9. Derecho a la iniciativa popular.</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numPr>
          <w:ilvl w:val="0"/>
          <w:numId w:val="170"/>
        </w:numPr>
        <w:ind w:right="59"/>
      </w:pPr>
      <w:r>
        <w:t>Los vecinos y vecinas que gocen de derecho de sufragio activo en las elecciones municipales podrán ejercer la iniciativa popu</w:t>
      </w:r>
      <w:r>
        <w:t xml:space="preserve">lar, presentando propuestas de acuerdos, actuaciones o proyectos de reglamentos en materias de competencia municipal. </w:t>
      </w:r>
    </w:p>
    <w:p w:rsidR="00025683" w:rsidRDefault="007C2AAB">
      <w:pPr>
        <w:spacing w:after="0" w:line="259" w:lineRule="auto"/>
        <w:ind w:left="240" w:firstLine="0"/>
        <w:jc w:val="left"/>
      </w:pPr>
      <w:r>
        <w:t xml:space="preserve"> </w:t>
      </w:r>
    </w:p>
    <w:p w:rsidR="00025683" w:rsidRDefault="007C2AAB">
      <w:pPr>
        <w:numPr>
          <w:ilvl w:val="0"/>
          <w:numId w:val="170"/>
        </w:numPr>
        <w:ind w:right="59"/>
      </w:pPr>
      <w:r>
        <w:rPr>
          <w:rFonts w:ascii="Calibri" w:eastAsia="Calibri" w:hAnsi="Calibri" w:cs="Calibri"/>
          <w:noProof/>
        </w:rPr>
        <mc:AlternateContent>
          <mc:Choice Requires="wpg">
            <w:drawing>
              <wp:anchor distT="0" distB="0" distL="114300" distR="114300" simplePos="0" relativeHeight="25200230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8477" name="Group 4284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249" name="Rectangle 4824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8250" name="Rectangle 4825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251" name="Rectangle 4825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321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8477" style="width:18.7031pt;height:264.21pt;position:absolute;mso-position-horizontal-relative:page;mso-position-horizontal:absolute;margin-left:662.928pt;mso-position-vertical-relative:page;margin-top:507.75pt;" coordsize="2375,33554">
                <v:rect id="Rectangle 4824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825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25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321 de 350 </w:t>
                        </w:r>
                      </w:p>
                    </w:txbxContent>
                  </v:textbox>
                </v:rect>
                <w10:wrap type="square"/>
              </v:group>
            </w:pict>
          </mc:Fallback>
        </mc:AlternateContent>
      </w:r>
      <w:r>
        <w:t>Las iniciativas deberán ir suscritas al menos por el 10% de vecinos del municipio, y serán sometidas a debate y votación en el Pleno, sin perjuicio de que sean r</w:t>
      </w:r>
      <w:r>
        <w:t>esueltas por el órgano competente por razón de la materia. En todo caso, se requerirá el previo informe de legalidad del secretario del Ayuntamiento, así como el informe del interventor cuando la iniciativa afecte a derechos y obligaciones de contenido eco</w:t>
      </w:r>
      <w:r>
        <w:t xml:space="preserve">nómico del Ayuntamiento.  </w:t>
      </w:r>
    </w:p>
    <w:p w:rsidR="00025683" w:rsidRDefault="007C2AAB">
      <w:pPr>
        <w:numPr>
          <w:ilvl w:val="0"/>
          <w:numId w:val="170"/>
        </w:numPr>
        <w:ind w:right="59"/>
      </w:pPr>
      <w:r>
        <w:t>Tales iniciativas pueden llevar incorporada una propuesta de consulta popular local, que será tramitada en tal caso por el procedimiento y con los requisitos previstos en el artículo 71 de la Ley 7/1985, de 2 de abril, Reguladora</w:t>
      </w:r>
      <w:r>
        <w:t xml:space="preserve"> de las Bases del Régimen Local </w:t>
      </w:r>
    </w:p>
    <w:p w:rsidR="00025683" w:rsidRDefault="007C2AAB">
      <w:pPr>
        <w:spacing w:after="0" w:line="259" w:lineRule="auto"/>
        <w:ind w:left="240" w:firstLine="0"/>
        <w:jc w:val="left"/>
      </w:pPr>
      <w:r>
        <w:t xml:space="preserve"> </w:t>
      </w:r>
    </w:p>
    <w:p w:rsidR="00025683" w:rsidRDefault="007C2AAB">
      <w:pPr>
        <w:ind w:left="240"/>
      </w:pPr>
      <w:r>
        <w:t xml:space="preserve">4.El órgano competente adoptará una resolución motivada en el plazo de tres meses, a contar desde su presentación suscrita por el número de vecinos correspondiente.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10. Derecho a intervención en las sesiones p</w:t>
      </w:r>
      <w:r>
        <w:rPr>
          <w:b/>
        </w:rPr>
        <w:t xml:space="preserve">úblicas.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9"/>
      </w:pPr>
      <w:r>
        <w:t xml:space="preserve">1.- Los vecinos y las vecinas pueden participar en los Plenos de la Corporación, siempre que con ello se procure no entorpecer el normal funcionamiento de las sesiones. Para ello se dispondrá de un micrófono para su comodidad y para que quede </w:t>
      </w:r>
      <w:r>
        <w:t xml:space="preserve">bien recogida su intervención en el audio del Pleno.  </w:t>
      </w:r>
    </w:p>
    <w:p w:rsidR="00025683" w:rsidRDefault="007C2AAB">
      <w:pPr>
        <w:spacing w:after="0" w:line="259" w:lineRule="auto"/>
        <w:ind w:left="240" w:firstLine="0"/>
        <w:jc w:val="left"/>
      </w:pPr>
      <w:r>
        <w:t xml:space="preserve"> </w:t>
      </w:r>
    </w:p>
    <w:p w:rsidR="00025683" w:rsidRDefault="007C2AAB">
      <w:pPr>
        <w:ind w:left="240" w:right="200"/>
      </w:pPr>
      <w:r>
        <w:t xml:space="preserve">2.- Corresponderá al Alcalde o Alcaldesa ordenar y cerrar el turno de participación.  </w:t>
      </w:r>
    </w:p>
    <w:p w:rsidR="00025683" w:rsidRDefault="007C2AAB">
      <w:pPr>
        <w:spacing w:after="0" w:line="259" w:lineRule="auto"/>
        <w:ind w:left="240" w:firstLine="0"/>
        <w:jc w:val="left"/>
      </w:pPr>
      <w:r>
        <w:t xml:space="preserve"> </w:t>
      </w:r>
    </w:p>
    <w:p w:rsidR="00025683" w:rsidRDefault="007C2AAB">
      <w:pPr>
        <w:ind w:left="240" w:right="57"/>
      </w:pPr>
      <w:r>
        <w:t>3.- En todo caso, los vecinos y vecinas que acrediten un interés legítimo en alguno de los asuntos incluidos e</w:t>
      </w:r>
      <w:r>
        <w:t>n el orden del día de una sesión plenaria, podrán solicitar por registro de entrada, su intervención entre el día de la convocatoria y hasta el día antes del pleno, o bien comunicándolo al inicio de la sesión a la Alcaldía Presidencia, que deberá comprobar</w:t>
      </w:r>
      <w:r>
        <w:t xml:space="preserve"> si cumple los requisitos anteriores.  </w:t>
      </w:r>
    </w:p>
    <w:p w:rsidR="00025683" w:rsidRDefault="007C2AAB">
      <w:pPr>
        <w:spacing w:after="0" w:line="259" w:lineRule="auto"/>
        <w:ind w:left="240" w:firstLine="0"/>
        <w:jc w:val="left"/>
      </w:pPr>
      <w:r>
        <w:t xml:space="preserve"> </w:t>
      </w:r>
    </w:p>
    <w:p w:rsidR="00025683" w:rsidRDefault="007C2AAB">
      <w:pPr>
        <w:ind w:left="240" w:right="61"/>
      </w:pPr>
      <w:r>
        <w:t>4.-Sólo podrá intervenir un vecino o vecina por cada punto del orden del día y, a tal efecto, se tendrán prevalencia quienes tengan un interés legítimo en el asunto y al orden de entrada de la solicitud de la inter</w:t>
      </w:r>
      <w:r>
        <w:t xml:space="preserve">vención.  </w:t>
      </w:r>
    </w:p>
    <w:p w:rsidR="00025683" w:rsidRDefault="007C2AAB">
      <w:pPr>
        <w:spacing w:after="0" w:line="259" w:lineRule="auto"/>
        <w:ind w:left="240" w:firstLine="0"/>
        <w:jc w:val="left"/>
      </w:pPr>
      <w:r>
        <w:t xml:space="preserve"> </w:t>
      </w:r>
    </w:p>
    <w:p w:rsidR="00025683" w:rsidRDefault="007C2AAB">
      <w:pPr>
        <w:ind w:left="240" w:right="59"/>
      </w:pPr>
      <w:r>
        <w:t xml:space="preserve">5.- </w:t>
      </w:r>
      <w:r>
        <w:t>La intervención vecinal en el Pleno se hará al finalizar el debate del respectivo punto del orden del día, antes de la votación y se deberá circunscribir a expresar la opinión sobre el tema que constituya el objeto y durante un máximo de cinco minutos y en</w:t>
      </w:r>
      <w:r>
        <w:t xml:space="preserve"> un solo punto del orden del día por cada vecino o vecina.  </w:t>
      </w:r>
    </w:p>
    <w:p w:rsidR="00025683" w:rsidRDefault="007C2AAB">
      <w:pPr>
        <w:spacing w:after="0" w:line="259" w:lineRule="auto"/>
        <w:ind w:left="240" w:firstLine="0"/>
        <w:jc w:val="left"/>
      </w:pPr>
      <w:r>
        <w:t xml:space="preserve"> </w:t>
      </w:r>
    </w:p>
    <w:p w:rsidR="00025683" w:rsidRDefault="007C2AAB">
      <w:pPr>
        <w:ind w:left="240" w:right="57"/>
      </w:pPr>
      <w:r>
        <w:t>6. Cualquier persona que ostente la portavocía de un Grupo político podrá compartir todos o alguno de sus turnos de intervención para la defensa de su propia moción ante el pleno a personas con</w:t>
      </w:r>
      <w:r>
        <w:t xml:space="preserve"> interés justificado en el objeto de la misma, siempre y cuando esta circunstancia se haya comunicado ante la Junta de Portavoces, con antelación al Pleno y en un solo punto del orden del día por cada vecino o vecina.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12"/>
        <w:ind w:left="240" w:right="197"/>
      </w:pPr>
      <w:r>
        <w:rPr>
          <w:b/>
        </w:rPr>
        <w:t>TÍTULO II: DE LOS PROCESOS PARTIC</w:t>
      </w:r>
      <w:r>
        <w:rPr>
          <w:b/>
        </w:rPr>
        <w:t>IPATIVOS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CAPÍTULO I: DISPOSICIONES GENERALES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11. Definición general.</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60"/>
      </w:pPr>
      <w:r>
        <w:rPr>
          <w:rFonts w:ascii="Calibri" w:eastAsia="Calibri" w:hAnsi="Calibri" w:cs="Calibri"/>
          <w:noProof/>
        </w:rPr>
        <mc:AlternateContent>
          <mc:Choice Requires="wpg">
            <w:drawing>
              <wp:anchor distT="0" distB="0" distL="114300" distR="114300" simplePos="0" relativeHeight="25200332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8414" name="Group 42841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380" name="Rectangle 4838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8381" name="Rectangle 4838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382" name="Rectangle 4838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322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8414" style="width:18.7031pt;height:264.21pt;position:absolute;mso-position-horizontal-relative:page;mso-position-horizontal:absolute;margin-left:662.928pt;mso-position-vertical-relative:page;margin-top:507.75pt;" coordsize="2375,33554">
                <v:rect id="Rectangle 4838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838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38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322 de 350 </w:t>
                        </w:r>
                      </w:p>
                    </w:txbxContent>
                  </v:textbox>
                </v:rect>
                <w10:wrap type="square"/>
              </v:group>
            </w:pict>
          </mc:Fallback>
        </mc:AlternateContent>
      </w:r>
      <w:r>
        <w:t xml:space="preserve">Los procesos participativos son espacios estructurados de encuentro, diálogo y construcción colectiva en los que la ciudadanía puede influir directamente en las </w:t>
      </w:r>
      <w:r>
        <w:t xml:space="preserve">decisiones del Ayuntamiento. Se diseñan para escuchar, recoger propuestas, deliberar o decidir sobre temas que afectan a la vida del municipio. </w:t>
      </w:r>
    </w:p>
    <w:p w:rsidR="00025683" w:rsidRDefault="007C2AAB">
      <w:pPr>
        <w:ind w:left="240"/>
      </w:pPr>
      <w:r>
        <w:t>Estos procesos no sustituyen la representación institucional, sino que la complementan y refuerzan, y deben des</w:t>
      </w:r>
      <w:r>
        <w:t xml:space="preserve">arrollarse con una metodología clara, inclusiva y adaptada al contexto local.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12. Los principios inspiradores de los procesos</w:t>
      </w:r>
      <w:r>
        <w:t>.</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6"/>
      </w:pPr>
      <w:r>
        <w:t>Los procesos participativos deben ser dinámicos y capaces de adaptarse a los tiempos, a las circunstancias y a las</w:t>
      </w:r>
      <w:r>
        <w:t xml:space="preserve"> personas que participan en ellos, por lo que para garantizar su calidad y efectividad deben guiarse por los siguientes principios: </w:t>
      </w:r>
    </w:p>
    <w:p w:rsidR="00025683" w:rsidRDefault="007C2AAB">
      <w:pPr>
        <w:spacing w:after="0" w:line="259" w:lineRule="auto"/>
        <w:ind w:left="240" w:firstLine="0"/>
        <w:jc w:val="left"/>
      </w:pPr>
      <w:r>
        <w:t xml:space="preserve"> </w:t>
      </w:r>
    </w:p>
    <w:p w:rsidR="00025683" w:rsidRDefault="007C2AAB">
      <w:pPr>
        <w:ind w:left="240" w:right="55"/>
      </w:pPr>
      <w:r>
        <w:t>a)Diversidad y representatividad: Los procesos deberán reflejar la pluralidad de voces, realidades y experiencias present</w:t>
      </w:r>
      <w:r>
        <w:t>es en el municipio, procurando una representación equilibrada de los distintos barrios, edades, géneros, culturas y formas de organización vecinal. Se promoverá activamente la participación de colectivos tradicionalmente infrarrepresentados, garantizando q</w:t>
      </w:r>
      <w:r>
        <w:t xml:space="preserve">ue la diversidad social sea también diversidad en la toma de decisiones. </w:t>
      </w:r>
    </w:p>
    <w:p w:rsidR="00025683" w:rsidRDefault="007C2AAB">
      <w:pPr>
        <w:spacing w:after="0" w:line="259" w:lineRule="auto"/>
        <w:ind w:left="240" w:firstLine="0"/>
        <w:jc w:val="left"/>
      </w:pPr>
      <w:r>
        <w:t xml:space="preserve"> </w:t>
      </w:r>
    </w:p>
    <w:p w:rsidR="00025683" w:rsidRDefault="007C2AAB">
      <w:pPr>
        <w:ind w:left="240"/>
      </w:pPr>
      <w:r>
        <w:t xml:space="preserve">b)Horizontalidad: Se promoverán relaciones equitativas entre todos los actores participantes, evitando jerarquías y fomentando el trabajo colaborativo en condiciones de igualdad. </w:t>
      </w:r>
    </w:p>
    <w:p w:rsidR="00025683" w:rsidRDefault="007C2AAB">
      <w:pPr>
        <w:spacing w:after="0" w:line="259" w:lineRule="auto"/>
        <w:ind w:left="240" w:firstLine="0"/>
        <w:jc w:val="left"/>
      </w:pPr>
      <w:r>
        <w:t xml:space="preserve"> </w:t>
      </w:r>
    </w:p>
    <w:p w:rsidR="00025683" w:rsidRDefault="007C2AAB">
      <w:pPr>
        <w:ind w:left="240" w:right="59"/>
      </w:pPr>
      <w:r>
        <w:t>c)Conciliación: La organización de los procesos deberá tener en cuenta las necesidades de conciliación personal, familiar y laboral, facilitando en la medida de lo posible horarios, formatos y apoyos que favorezcan la participación de todas las personas.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3" w:line="238" w:lineRule="auto"/>
        <w:ind w:left="250" w:hanging="10"/>
        <w:jc w:val="left"/>
      </w:pPr>
      <w:r>
        <w:t xml:space="preserve">d)Transparencia: Se garantizará la claridad en todas las fases del proceso, desde su diseño hasta la difusión de los resultados, explicando los objetivos, métodos, límites y consecuencias de la participación. </w:t>
      </w:r>
    </w:p>
    <w:p w:rsidR="00025683" w:rsidRDefault="007C2AAB">
      <w:pPr>
        <w:ind w:left="240" w:right="60"/>
      </w:pPr>
      <w:r>
        <w:t>e)Pedagogía: Los procesos participativos d</w:t>
      </w:r>
      <w:r>
        <w:t xml:space="preserve">eben tener también una función formativa, promoviendo el aprendizaje colectivo, el empoderamiento de la ciudadanía y la comprensión del funcionamiento de la administración local. </w:t>
      </w:r>
    </w:p>
    <w:p w:rsidR="00025683" w:rsidRDefault="007C2AAB">
      <w:pPr>
        <w:spacing w:after="0" w:line="259" w:lineRule="auto"/>
        <w:ind w:left="240" w:firstLine="0"/>
        <w:jc w:val="left"/>
      </w:pPr>
      <w:r>
        <w:t xml:space="preserve"> </w:t>
      </w:r>
    </w:p>
    <w:p w:rsidR="00025683" w:rsidRDefault="007C2AAB">
      <w:pPr>
        <w:ind w:left="240"/>
      </w:pPr>
      <w:r>
        <w:t xml:space="preserve">f)Proporcionalidad y sostenibilidad: El diseño de los procesos será adecuado a los recursos disponibles, garantizando su viabilidad, utilidad y continuidad en el tiempo. </w:t>
      </w:r>
    </w:p>
    <w:p w:rsidR="00025683" w:rsidRDefault="007C2AAB">
      <w:pPr>
        <w:spacing w:after="0" w:line="259" w:lineRule="auto"/>
        <w:ind w:left="240" w:firstLine="0"/>
        <w:jc w:val="left"/>
      </w:pPr>
      <w:r>
        <w:t xml:space="preserve"> </w:t>
      </w:r>
    </w:p>
    <w:p w:rsidR="00025683" w:rsidRDefault="007C2AAB">
      <w:pPr>
        <w:ind w:left="240"/>
      </w:pPr>
      <w:r>
        <w:t>g)Accesibilidad: Se eliminarán barreras físicas, sensoriales, tecnológicas, idiomát</w:t>
      </w:r>
      <w:r>
        <w:t xml:space="preserve">icas o cognitivas para facilitar la participación en condiciones de equidad. </w:t>
      </w:r>
    </w:p>
    <w:p w:rsidR="00025683" w:rsidRDefault="007C2AAB">
      <w:pPr>
        <w:spacing w:after="0" w:line="259" w:lineRule="auto"/>
        <w:ind w:left="240" w:firstLine="0"/>
        <w:jc w:val="left"/>
      </w:pPr>
      <w:r>
        <w:t xml:space="preserve"> </w:t>
      </w:r>
    </w:p>
    <w:p w:rsidR="00025683" w:rsidRDefault="007C2AAB">
      <w:pPr>
        <w:ind w:left="240" w:right="57"/>
      </w:pPr>
      <w:r>
        <w:t>h)Confianza y seguridad: Los procesos participativos deberán desarrollarse en un entorno de respeto, cuidado y escucha activa, garantizando un ambiente seguro y constructivo pa</w:t>
      </w:r>
      <w:r>
        <w:t xml:space="preserve">ra todas las personas. Se promoverán dinámicas que faciliten la expresión libre de opiniones, evitando cualquier forma de discriminación o violencia simbólica, y fomentando la empatía y la cooperación entre participantes. </w:t>
      </w:r>
    </w:p>
    <w:p w:rsidR="00025683" w:rsidRDefault="007C2AAB">
      <w:pPr>
        <w:spacing w:after="0" w:line="259" w:lineRule="auto"/>
        <w:ind w:left="240" w:firstLine="0"/>
        <w:jc w:val="left"/>
      </w:pPr>
      <w:r>
        <w:t xml:space="preserve"> </w:t>
      </w:r>
    </w:p>
    <w:p w:rsidR="00025683" w:rsidRDefault="007C2AAB">
      <w:pPr>
        <w:ind w:left="240"/>
      </w:pPr>
      <w:r>
        <w:t>i)Innovación: Se fomentará el u</w:t>
      </w:r>
      <w:r>
        <w:t xml:space="preserve">so de nuevas metodologías, tecnologías y formas de relación que favorezcan una participación más atractiva, creativa y significativa. </w:t>
      </w:r>
    </w:p>
    <w:p w:rsidR="00025683" w:rsidRDefault="007C2AAB">
      <w:pPr>
        <w:spacing w:after="0" w:line="259" w:lineRule="auto"/>
        <w:ind w:left="240" w:firstLine="0"/>
        <w:jc w:val="left"/>
      </w:pPr>
      <w:r>
        <w:t xml:space="preserve"> </w:t>
      </w:r>
    </w:p>
    <w:p w:rsidR="00025683" w:rsidRDefault="007C2AAB">
      <w:pPr>
        <w:ind w:left="240"/>
      </w:pPr>
      <w:r>
        <w:t>j)Evaluación continua: Cada proceso incluirá mecanismos de seguimiento, revisión y mejora constante que permitan ajusta</w:t>
      </w:r>
      <w:r>
        <w:t xml:space="preserve">r las metodologías y objetivos según las necesidades detectadas. </w:t>
      </w:r>
    </w:p>
    <w:p w:rsidR="00025683" w:rsidRDefault="007C2AAB">
      <w:pPr>
        <w:spacing w:after="0" w:line="259" w:lineRule="auto"/>
        <w:ind w:left="240" w:firstLine="0"/>
        <w:jc w:val="left"/>
      </w:pPr>
      <w:r>
        <w:t xml:space="preserve"> </w:t>
      </w:r>
    </w:p>
    <w:p w:rsidR="00025683" w:rsidRDefault="007C2AAB">
      <w:pPr>
        <w:ind w:left="240"/>
      </w:pPr>
      <w:r>
        <w:t>Estos principios deberán estar presentes en todo proceso participativo promovido o facilitado por el Ayuntamiento y guiarán las decisiones metodológicas y organizativas de cada iniciativa.</w:t>
      </w:r>
      <w:r>
        <w:t xml:space="preserve">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0435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9805" name="Group 4298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487" name="Rectangle 4848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8488" name="Rectangle 4848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489" name="Rectangle 4848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323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9805" style="width:18.7031pt;height:264.21pt;position:absolute;mso-position-horizontal-relative:page;mso-position-horizontal:absolute;margin-left:662.928pt;mso-position-vertical-relative:page;margin-top:507.75pt;" coordsize="2375,33554">
                <v:rect id="Rectangle 4848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848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48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323 de 350 </w:t>
                        </w:r>
                      </w:p>
                    </w:txbxContent>
                  </v:textbox>
                </v:rect>
                <w10:wrap type="square"/>
              </v:group>
            </w:pict>
          </mc:Fallback>
        </mc:AlternateContent>
      </w:r>
      <w:r>
        <w:rPr>
          <w:b/>
        </w:rPr>
        <w:t xml:space="preserve"> </w:t>
      </w:r>
    </w:p>
    <w:p w:rsidR="00025683" w:rsidRDefault="007C2AAB">
      <w:pPr>
        <w:spacing w:after="12"/>
        <w:ind w:left="240" w:right="197"/>
      </w:pPr>
      <w:r>
        <w:rPr>
          <w:b/>
        </w:rPr>
        <w:t xml:space="preserve">Artículo 13. Tipos de procesos participativos.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pPr>
      <w:r>
        <w:t xml:space="preserve">Los procesos participativos que se desarrollen en el municipio podrán adoptar distintas formas, según el objetivo que se persiga: </w:t>
      </w:r>
    </w:p>
    <w:p w:rsidR="00025683" w:rsidRDefault="007C2AAB">
      <w:pPr>
        <w:spacing w:after="0" w:line="259" w:lineRule="auto"/>
        <w:ind w:left="240" w:firstLine="0"/>
        <w:jc w:val="left"/>
      </w:pPr>
      <w:r>
        <w:t xml:space="preserve"> </w:t>
      </w:r>
    </w:p>
    <w:p w:rsidR="00025683" w:rsidRDefault="007C2AAB">
      <w:pPr>
        <w:numPr>
          <w:ilvl w:val="0"/>
          <w:numId w:val="171"/>
        </w:numPr>
        <w:ind w:right="60"/>
      </w:pPr>
      <w:r>
        <w:t xml:space="preserve">Procesos de deliberación participativa: espacios organizados por el Ayuntamiento para debatir y construir propuestas sobre </w:t>
      </w:r>
      <w:r>
        <w:t xml:space="preserve">asuntos de especial interés municipal. Están abiertos a la ciudadanía y buscan recoger diferentes opiniones antes de tomar decisiones. </w:t>
      </w:r>
    </w:p>
    <w:p w:rsidR="00025683" w:rsidRDefault="007C2AAB">
      <w:pPr>
        <w:spacing w:after="0" w:line="259" w:lineRule="auto"/>
        <w:ind w:left="240" w:firstLine="0"/>
        <w:jc w:val="left"/>
      </w:pPr>
      <w:r>
        <w:t xml:space="preserve"> </w:t>
      </w:r>
    </w:p>
    <w:p w:rsidR="00025683" w:rsidRDefault="007C2AAB">
      <w:pPr>
        <w:numPr>
          <w:ilvl w:val="0"/>
          <w:numId w:val="171"/>
        </w:numPr>
        <w:ind w:right="60"/>
      </w:pPr>
      <w:r>
        <w:t>Presupuestos comunitarios: procesos mediante los cuales la ciudadanía puede proponer y de-cidir sobre el destino de un</w:t>
      </w:r>
      <w:r>
        <w:t xml:space="preserve">a parte del presupuesto municipal, con el fin de atender necesidades detectadas por las propias vecinas y vecinos. </w:t>
      </w:r>
    </w:p>
    <w:p w:rsidR="00025683" w:rsidRDefault="007C2AAB">
      <w:pPr>
        <w:spacing w:after="0" w:line="259" w:lineRule="auto"/>
        <w:ind w:left="240" w:firstLine="0"/>
        <w:jc w:val="left"/>
      </w:pPr>
      <w:r>
        <w:t xml:space="preserve"> </w:t>
      </w:r>
    </w:p>
    <w:p w:rsidR="00025683" w:rsidRDefault="007C2AAB">
      <w:pPr>
        <w:numPr>
          <w:ilvl w:val="0"/>
          <w:numId w:val="171"/>
        </w:numPr>
        <w:ind w:right="60"/>
      </w:pPr>
      <w:r>
        <w:t>Consultas ciudadanas: mecanismos a través de los cuales el Ayuntamiento pregunta directamente a la ciudadanía sobre un tema concreto. Pued</w:t>
      </w:r>
      <w:r>
        <w:t>en realizarse de forma presencial y/o digital, y servirán para orientar decisiones municipales relevantes.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14. Normas generales sobre los procesos participativos.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6"/>
      </w:pPr>
      <w:r>
        <w:t>1.Los procesos participativos se aplicarán en la elaboración de políticas</w:t>
      </w:r>
      <w:r>
        <w:t xml:space="preserve"> públicas y decisiones municipales importantes, y deberán ponerse en marcha con la suficiente antelación para que las aportaciones de la ciudadanía puedan tener un impacto real en la decisión final.  </w:t>
      </w:r>
    </w:p>
    <w:p w:rsidR="00025683" w:rsidRDefault="007C2AAB">
      <w:pPr>
        <w:ind w:left="240" w:right="57"/>
      </w:pPr>
      <w:r>
        <w:t>2.Podrán ser promovidos por el Ayuntamiento de forma di</w:t>
      </w:r>
      <w:r>
        <w:t>recta o a propuesta de la ciudadanía, quienes lo solicitarán mediante el ejercicio del derecho de petición regulador en el art. 6 de esta norma. Para iniciarlos, se adoptará un Acuerdo Participativo Básico por parte de la Alcaldía o concejal/a en quien del</w:t>
      </w:r>
      <w:r>
        <w:t xml:space="preserve">egue, en el que se indicará al menos: </w:t>
      </w:r>
    </w:p>
    <w:p w:rsidR="00025683" w:rsidRDefault="007C2AAB">
      <w:pPr>
        <w:spacing w:after="0" w:line="259" w:lineRule="auto"/>
        <w:ind w:left="240" w:firstLine="0"/>
        <w:jc w:val="left"/>
      </w:pPr>
      <w:r>
        <w:t xml:space="preserve"> </w:t>
      </w:r>
    </w:p>
    <w:p w:rsidR="00025683" w:rsidRDefault="007C2AAB">
      <w:pPr>
        <w:numPr>
          <w:ilvl w:val="0"/>
          <w:numId w:val="172"/>
        </w:numPr>
        <w:ind w:right="200" w:hanging="259"/>
      </w:pPr>
      <w:r>
        <w:t xml:space="preserve">El tipo de proceso que se va a poner en marcha. </w:t>
      </w:r>
    </w:p>
    <w:p w:rsidR="00025683" w:rsidRDefault="007C2AAB">
      <w:pPr>
        <w:spacing w:after="0" w:line="259" w:lineRule="auto"/>
        <w:ind w:left="240" w:firstLine="0"/>
        <w:jc w:val="left"/>
      </w:pPr>
      <w:r>
        <w:t xml:space="preserve"> </w:t>
      </w:r>
    </w:p>
    <w:p w:rsidR="00025683" w:rsidRDefault="007C2AAB">
      <w:pPr>
        <w:numPr>
          <w:ilvl w:val="0"/>
          <w:numId w:val="172"/>
        </w:numPr>
        <w:ind w:right="200" w:hanging="259"/>
      </w:pPr>
      <w:r>
        <w:t xml:space="preserve">El tema o temas que se tratarán. </w:t>
      </w:r>
    </w:p>
    <w:p w:rsidR="00025683" w:rsidRDefault="007C2AAB">
      <w:pPr>
        <w:spacing w:after="0" w:line="259" w:lineRule="auto"/>
        <w:ind w:left="240" w:firstLine="0"/>
        <w:jc w:val="left"/>
      </w:pPr>
      <w:r>
        <w:t xml:space="preserve"> </w:t>
      </w:r>
    </w:p>
    <w:p w:rsidR="00025683" w:rsidRDefault="007C2AAB">
      <w:pPr>
        <w:numPr>
          <w:ilvl w:val="0"/>
          <w:numId w:val="172"/>
        </w:numPr>
        <w:ind w:right="200" w:hanging="259"/>
      </w:pPr>
      <w:r>
        <w:t xml:space="preserve">El área o departamento responsable del proceso. </w:t>
      </w:r>
    </w:p>
    <w:p w:rsidR="00025683" w:rsidRDefault="007C2AAB">
      <w:pPr>
        <w:spacing w:after="0" w:line="259" w:lineRule="auto"/>
        <w:ind w:left="240" w:firstLine="0"/>
        <w:jc w:val="left"/>
      </w:pPr>
      <w:r>
        <w:t xml:space="preserve"> </w:t>
      </w:r>
    </w:p>
    <w:p w:rsidR="00025683" w:rsidRDefault="007C2AAB">
      <w:pPr>
        <w:numPr>
          <w:ilvl w:val="0"/>
          <w:numId w:val="172"/>
        </w:numPr>
        <w:ind w:right="200" w:hanging="259"/>
      </w:pPr>
      <w:r>
        <w:t xml:space="preserve">El tiempo previsto para la participación. </w:t>
      </w:r>
    </w:p>
    <w:p w:rsidR="00025683" w:rsidRDefault="007C2AAB">
      <w:pPr>
        <w:spacing w:after="0" w:line="259" w:lineRule="auto"/>
        <w:ind w:left="240" w:firstLine="0"/>
        <w:jc w:val="left"/>
      </w:pPr>
      <w:r>
        <w:t xml:space="preserve"> </w:t>
      </w:r>
    </w:p>
    <w:p w:rsidR="00025683" w:rsidRDefault="007C2AAB">
      <w:pPr>
        <w:numPr>
          <w:ilvl w:val="0"/>
          <w:numId w:val="172"/>
        </w:numPr>
        <w:ind w:right="200" w:hanging="259"/>
      </w:pPr>
      <w:r>
        <w:t xml:space="preserve">Los medios a través de los cuales se informará a la ciudadanía. </w:t>
      </w:r>
    </w:p>
    <w:p w:rsidR="00025683" w:rsidRDefault="007C2AAB">
      <w:pPr>
        <w:spacing w:after="0" w:line="259" w:lineRule="auto"/>
        <w:ind w:left="240" w:firstLine="0"/>
        <w:jc w:val="left"/>
      </w:pPr>
      <w:r>
        <w:t xml:space="preserve"> </w:t>
      </w:r>
    </w:p>
    <w:p w:rsidR="00025683" w:rsidRDefault="007C2AAB">
      <w:pPr>
        <w:ind w:left="240" w:right="57"/>
      </w:pPr>
      <w:r>
        <w:t>3.El acuerdo de inicio se publicará en la página web municipal o sede electrónica del Ayuntamiento y una vez finalizado el proceso, se elaborará un informe con los resultados y conclusiones</w:t>
      </w:r>
      <w:r>
        <w:t xml:space="preserve">, que también se hará público. </w:t>
      </w:r>
    </w:p>
    <w:p w:rsidR="00025683" w:rsidRDefault="007C2AAB">
      <w:pPr>
        <w:spacing w:after="0" w:line="259" w:lineRule="auto"/>
        <w:ind w:left="240" w:firstLine="0"/>
        <w:jc w:val="left"/>
      </w:pPr>
      <w:r>
        <w:t xml:space="preserve"> </w:t>
      </w:r>
    </w:p>
    <w:p w:rsidR="00025683" w:rsidRDefault="007C2AAB">
      <w:pPr>
        <w:ind w:left="240" w:right="60"/>
      </w:pPr>
      <w:r>
        <w:t>4.Podrán desarrollarse mediante encuentros presenciales, foros, encuestas digitales, videoconferencias, o cualquier otro medio que permita la participación libre y efectiva de las personas, y se procurará combinar, siempre</w:t>
      </w:r>
      <w:r>
        <w:t xml:space="preserve"> que sea posible y adecuado a los objetivos y públicos de cada iniciativa, espacios presenciales y formatos virtuales. </w:t>
      </w:r>
    </w:p>
    <w:p w:rsidR="00025683" w:rsidRDefault="007C2AAB">
      <w:pPr>
        <w:spacing w:after="0" w:line="259" w:lineRule="auto"/>
        <w:ind w:left="240" w:firstLine="0"/>
        <w:jc w:val="left"/>
      </w:pPr>
      <w:r>
        <w:t xml:space="preserve"> </w:t>
      </w:r>
    </w:p>
    <w:p w:rsidR="00025683" w:rsidRDefault="007C2AAB">
      <w:pPr>
        <w:numPr>
          <w:ilvl w:val="0"/>
          <w:numId w:val="173"/>
        </w:numPr>
        <w:ind w:right="29"/>
      </w:pPr>
      <w:r>
        <w:rPr>
          <w:rFonts w:ascii="Calibri" w:eastAsia="Calibri" w:hAnsi="Calibri" w:cs="Calibri"/>
          <w:noProof/>
        </w:rPr>
        <mc:AlternateContent>
          <mc:Choice Requires="wpg">
            <w:drawing>
              <wp:anchor distT="0" distB="0" distL="114300" distR="114300" simplePos="0" relativeHeight="25200537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9248" name="Group 4292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596" name="Rectangle 4859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8597" name="Rectangle 4859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598" name="Rectangle 4859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firmado electrónicam</w:t>
                              </w:r>
                              <w:r>
                                <w:rPr>
                                  <w:sz w:val="12"/>
                                </w:rPr>
                                <w:t xml:space="preserve">ente desde la plataforma esPublico Gestiona | Página 324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9248" style="width:18.7031pt;height:264.21pt;position:absolute;mso-position-horizontal-relative:page;mso-position-horizontal:absolute;margin-left:662.928pt;mso-position-vertical-relative:page;margin-top:507.75pt;" coordsize="2375,33554">
                <v:rect id="Rectangle 4859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859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59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324 de 350 </w:t>
                        </w:r>
                      </w:p>
                    </w:txbxContent>
                  </v:textbox>
                </v:rect>
                <w10:wrap type="square"/>
              </v:group>
            </w:pict>
          </mc:Fallback>
        </mc:AlternateContent>
      </w:r>
      <w:r>
        <w:t xml:space="preserve">El Ayuntamiento en cada </w:t>
      </w:r>
      <w:r>
        <w:t>proceso establecerá mecanismos de evaluación que permitan valorar su desarrollo y los resultados, que podrán incluir indicadores tanto cuantitativos (como el número de participantes o el grado de ejecución de las propuestas) como cualitativos (como la sati</w:t>
      </w:r>
      <w:r>
        <w:t xml:space="preserve">sfacción, la representatividad o la calidad del diálogo). La evaluación será compartida con las personas participantes y servirá como base para la mejora continua de las políticas de participación. </w:t>
      </w:r>
    </w:p>
    <w:p w:rsidR="00025683" w:rsidRDefault="007C2AAB">
      <w:pPr>
        <w:spacing w:after="0" w:line="259" w:lineRule="auto"/>
        <w:ind w:left="240" w:firstLine="0"/>
        <w:jc w:val="left"/>
      </w:pPr>
      <w:r>
        <w:t xml:space="preserve"> </w:t>
      </w:r>
    </w:p>
    <w:p w:rsidR="00025683" w:rsidRDefault="007C2AAB">
      <w:pPr>
        <w:numPr>
          <w:ilvl w:val="0"/>
          <w:numId w:val="173"/>
        </w:numPr>
        <w:ind w:right="29"/>
      </w:pPr>
      <w:r>
        <w:t xml:space="preserve">En el caso de que los resultados derivados de los procesos participativos no sean asumidos total o parcialmente, el órgano competente para adoptar la decisión estará obligado a motivarla.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CAPÍTULO II. LOS PROCESOS PARTICIPATIVOS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15. Los </w:t>
      </w:r>
      <w:r>
        <w:rPr>
          <w:b/>
        </w:rPr>
        <w:t>procesos de deliberación participativa.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6"/>
      </w:pPr>
      <w:r>
        <w:t xml:space="preserve">1.Se entiende por proceso de deliberación participativa aquel en el que el Ayuntamiento crea un espacio de diálogo abierto para que la ciudadanía, ya sea a título individual o colectivo, pueda expresar opiniones, </w:t>
      </w:r>
      <w:r>
        <w:t xml:space="preserve">compartir propuestas y debatir sobre asuntos de especial relevancia para el municipio. </w:t>
      </w:r>
    </w:p>
    <w:p w:rsidR="00025683" w:rsidRDefault="007C2AAB">
      <w:pPr>
        <w:spacing w:after="0" w:line="259" w:lineRule="auto"/>
        <w:ind w:left="240" w:firstLine="0"/>
        <w:jc w:val="left"/>
      </w:pPr>
      <w:r>
        <w:t xml:space="preserve"> </w:t>
      </w:r>
    </w:p>
    <w:p w:rsidR="00025683" w:rsidRDefault="007C2AAB">
      <w:pPr>
        <w:ind w:left="240" w:right="57"/>
      </w:pPr>
      <w:r>
        <w:t>2.Estos procesos permiten conocer diferentes puntos de vista, construir consensos y enriquecer la toma de decisiones públicas antes de la adopción de medidas, la elab</w:t>
      </w:r>
      <w:r>
        <w:t xml:space="preserve">oración de planes o la evaluación de actuaciones municipales. </w:t>
      </w:r>
    </w:p>
    <w:p w:rsidR="00025683" w:rsidRDefault="007C2AAB">
      <w:pPr>
        <w:spacing w:after="0" w:line="259" w:lineRule="auto"/>
        <w:ind w:left="240" w:firstLine="0"/>
        <w:jc w:val="left"/>
      </w:pPr>
      <w:r>
        <w:t xml:space="preserve"> </w:t>
      </w:r>
    </w:p>
    <w:p w:rsidR="00025683" w:rsidRDefault="007C2AAB">
      <w:pPr>
        <w:ind w:left="240" w:right="200"/>
      </w:pPr>
      <w:r>
        <w:t xml:space="preserve">Los procesos de deliberación deberán incluir, al menos, las siguientes fases: </w:t>
      </w:r>
    </w:p>
    <w:p w:rsidR="00025683" w:rsidRDefault="007C2AAB">
      <w:pPr>
        <w:numPr>
          <w:ilvl w:val="0"/>
          <w:numId w:val="174"/>
        </w:numPr>
        <w:ind w:right="59"/>
      </w:pPr>
      <w:r>
        <w:t>Fase de información: se facilita a la ciudadanía toda la información necesaria sobre el tema a tratar, los objet</w:t>
      </w:r>
      <w:r>
        <w:t xml:space="preserve">ivos del proceso y las formas de participación disponibles. Esta información se difundirá por todos los canales municipales disponibles, de forma clara, adaptada y accesible. </w:t>
      </w:r>
    </w:p>
    <w:p w:rsidR="00025683" w:rsidRDefault="007C2AAB">
      <w:pPr>
        <w:spacing w:after="0" w:line="259" w:lineRule="auto"/>
        <w:ind w:left="240" w:firstLine="0"/>
        <w:jc w:val="left"/>
      </w:pPr>
      <w:r>
        <w:t xml:space="preserve"> </w:t>
      </w:r>
    </w:p>
    <w:p w:rsidR="00025683" w:rsidRDefault="007C2AAB">
      <w:pPr>
        <w:numPr>
          <w:ilvl w:val="0"/>
          <w:numId w:val="174"/>
        </w:numPr>
        <w:ind w:right="59"/>
      </w:pPr>
      <w:r>
        <w:t xml:space="preserve">Fase de debate y propuestas: se organizan espacios de encuentro, presenciales </w:t>
      </w:r>
      <w:r>
        <w:t xml:space="preserve">y/o digitales, donde las personas participantes pueden intercambiar ideas, debatir y formular propuestas. de igualdad y respeto.  </w:t>
      </w:r>
    </w:p>
    <w:p w:rsidR="00025683" w:rsidRDefault="007C2AAB">
      <w:pPr>
        <w:spacing w:after="0" w:line="259" w:lineRule="auto"/>
        <w:ind w:left="240" w:firstLine="0"/>
        <w:jc w:val="left"/>
      </w:pPr>
      <w:r>
        <w:t xml:space="preserve"> </w:t>
      </w:r>
    </w:p>
    <w:p w:rsidR="00025683" w:rsidRDefault="007C2AAB">
      <w:pPr>
        <w:numPr>
          <w:ilvl w:val="0"/>
          <w:numId w:val="174"/>
        </w:numPr>
        <w:ind w:right="59"/>
      </w:pPr>
      <w:r>
        <w:t>Fase de devolución: se elabora un documento con las principales conclusiones y propuestas resultantes del proceso, que será</w:t>
      </w:r>
      <w:r>
        <w:t xml:space="preserve"> publicado y comunicado a la ciudadanía, con indicación de cómo serán tenidas en cuenta en las decisiones municipales. </w:t>
      </w:r>
    </w:p>
    <w:p w:rsidR="00025683" w:rsidRDefault="007C2AAB">
      <w:pPr>
        <w:spacing w:after="0" w:line="259" w:lineRule="auto"/>
        <w:ind w:left="240" w:firstLine="0"/>
        <w:jc w:val="left"/>
      </w:pPr>
      <w:r>
        <w:t xml:space="preserve"> </w:t>
      </w:r>
    </w:p>
    <w:p w:rsidR="00025683" w:rsidRDefault="007C2AAB">
      <w:pPr>
        <w:numPr>
          <w:ilvl w:val="0"/>
          <w:numId w:val="174"/>
        </w:numPr>
        <w:ind w:right="59"/>
      </w:pPr>
      <w:r>
        <w:t xml:space="preserve">Fase de evaluación: se revisa el desarrollo del proceso, analizando su calidad, resultados y grado de participación, con el fin de mejorar futuras experiencias, contando con la opinión de las personas participantes.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16. Los presupuestos com</w:t>
      </w:r>
      <w:r>
        <w:rPr>
          <w:b/>
        </w:rPr>
        <w:t>unitarios.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8"/>
      </w:pPr>
      <w:r>
        <w:t xml:space="preserve">1.Los presupuestos comunitarios son procesos mediante el cual la ciudadanía puede proponer y decidir sobre la asignación de una parte de los recursos económicos del Ayuntamiento, contribuyendo así a definir prioridades de gasto en función de </w:t>
      </w:r>
      <w:r>
        <w:t xml:space="preserve">las necesidades detectadas por las vecinas y vecinos del municipio.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0640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7868" name="Group 4278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718" name="Rectangle 4871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8719" name="Rectangle 4871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720" name="Rectangle 4872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w:t>
                              </w:r>
                              <w:r>
                                <w:rPr>
                                  <w:sz w:val="12"/>
                                </w:rPr>
                                <w:t xml:space="preserve">325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7868" style="width:18.7031pt;height:264.21pt;position:absolute;mso-position-horizontal-relative:page;mso-position-horizontal:absolute;margin-left:662.928pt;mso-position-vertical-relative:page;margin-top:507.75pt;" coordsize="2375,33554">
                <v:rect id="Rectangle 4871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871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72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325 de 350 </w:t>
                        </w:r>
                      </w:p>
                    </w:txbxContent>
                  </v:textbox>
                </v:rect>
                <w10:wrap type="square"/>
              </v:group>
            </w:pict>
          </mc:Fallback>
        </mc:AlternateContent>
      </w:r>
      <w:r>
        <w:t xml:space="preserve"> </w:t>
      </w:r>
    </w:p>
    <w:p w:rsidR="00025683" w:rsidRDefault="007C2AAB">
      <w:pPr>
        <w:ind w:left="240" w:right="57"/>
      </w:pPr>
      <w:r>
        <w:t>2.El Ayuntamiento determinará, en cada convocatoria, el importe destinado al presupuesto participativo que se fijará cada año con antelación suficiente para poder desarrollar todo el proceso participativo en el que se decidirá en qué invertir</w:t>
      </w:r>
      <w:r>
        <w:t xml:space="preserve"> ese dinero que le corresponde, teniendo en cuenta dos condicionantes: uno fijo para cada zona y otro variable, en función del número de habitantes empadronados en esa zona o núcleo, garantizando la equidad territorial. </w:t>
      </w:r>
    </w:p>
    <w:p w:rsidR="00025683" w:rsidRDefault="007C2AAB">
      <w:pPr>
        <w:spacing w:after="0" w:line="259" w:lineRule="auto"/>
        <w:ind w:left="240" w:firstLine="0"/>
        <w:jc w:val="left"/>
      </w:pPr>
      <w:r>
        <w:t xml:space="preserve"> </w:t>
      </w:r>
    </w:p>
    <w:p w:rsidR="00025683" w:rsidRDefault="007C2AAB">
      <w:pPr>
        <w:numPr>
          <w:ilvl w:val="0"/>
          <w:numId w:val="175"/>
        </w:numPr>
        <w:ind w:right="128"/>
      </w:pPr>
      <w:r>
        <w:t>Se desarrollará siguiendo una metodología flexible que, partiendo de una estructura básica, cada año se adapta en función de los acuerdos tomados en las Mesas Comunitarias y de los ajustes que el propio proceso participativo vaya necesitando, debido a la r</w:t>
      </w:r>
      <w:r>
        <w:t xml:space="preserve">ealidad cambiante del municipio. </w:t>
      </w:r>
    </w:p>
    <w:p w:rsidR="00025683" w:rsidRDefault="007C2AAB">
      <w:pPr>
        <w:spacing w:after="0" w:line="259" w:lineRule="auto"/>
        <w:ind w:left="240" w:firstLine="0"/>
        <w:jc w:val="left"/>
      </w:pPr>
      <w:r>
        <w:t xml:space="preserve"> </w:t>
      </w:r>
    </w:p>
    <w:p w:rsidR="00025683" w:rsidRDefault="007C2AAB">
      <w:pPr>
        <w:numPr>
          <w:ilvl w:val="0"/>
          <w:numId w:val="175"/>
        </w:numPr>
        <w:ind w:right="128"/>
      </w:pPr>
      <w:r>
        <w:t xml:space="preserve">El procedimiento deberá contemplar al menos las siguientes etapas: </w:t>
      </w:r>
    </w:p>
    <w:p w:rsidR="00025683" w:rsidRDefault="007C2AAB">
      <w:pPr>
        <w:spacing w:after="0" w:line="259" w:lineRule="auto"/>
        <w:ind w:left="240" w:firstLine="0"/>
        <w:jc w:val="left"/>
      </w:pPr>
      <w:r>
        <w:t xml:space="preserve"> </w:t>
      </w:r>
    </w:p>
    <w:p w:rsidR="00025683" w:rsidRDefault="007C2AAB">
      <w:pPr>
        <w:numPr>
          <w:ilvl w:val="0"/>
          <w:numId w:val="176"/>
        </w:numPr>
        <w:ind w:right="200" w:hanging="259"/>
      </w:pPr>
      <w:r>
        <w:t xml:space="preserve">Difusión de la convocatoria y del importe destinado. </w:t>
      </w:r>
    </w:p>
    <w:p w:rsidR="00025683" w:rsidRDefault="007C2AAB">
      <w:pPr>
        <w:spacing w:after="0" w:line="259" w:lineRule="auto"/>
        <w:ind w:left="240" w:firstLine="0"/>
        <w:jc w:val="left"/>
      </w:pPr>
      <w:r>
        <w:t xml:space="preserve"> </w:t>
      </w:r>
    </w:p>
    <w:p w:rsidR="00025683" w:rsidRDefault="007C2AAB">
      <w:pPr>
        <w:numPr>
          <w:ilvl w:val="0"/>
          <w:numId w:val="176"/>
        </w:numPr>
        <w:ind w:right="200" w:hanging="259"/>
      </w:pPr>
      <w:r>
        <w:t xml:space="preserve">Presentación de propuestas por parte de la ciudadanía. </w:t>
      </w:r>
    </w:p>
    <w:p w:rsidR="00025683" w:rsidRDefault="007C2AAB">
      <w:pPr>
        <w:spacing w:after="0" w:line="259" w:lineRule="auto"/>
        <w:ind w:left="240" w:firstLine="0"/>
        <w:jc w:val="left"/>
      </w:pPr>
      <w:r>
        <w:t xml:space="preserve"> </w:t>
      </w:r>
    </w:p>
    <w:p w:rsidR="00025683" w:rsidRDefault="007C2AAB">
      <w:pPr>
        <w:numPr>
          <w:ilvl w:val="0"/>
          <w:numId w:val="176"/>
        </w:numPr>
        <w:ind w:right="200" w:hanging="259"/>
      </w:pPr>
      <w:r>
        <w:t>Apoyo para priorizar las propuestas.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ind w:left="240" w:right="200"/>
      </w:pPr>
      <w:r>
        <w:t xml:space="preserve">d)Evaluación técnica de viabilidad por parte de los servicios municipales. </w:t>
      </w:r>
    </w:p>
    <w:p w:rsidR="00025683" w:rsidRDefault="007C2AAB">
      <w:pPr>
        <w:spacing w:after="0" w:line="259" w:lineRule="auto"/>
        <w:ind w:left="240" w:firstLine="0"/>
        <w:jc w:val="left"/>
      </w:pPr>
      <w:r>
        <w:t xml:space="preserve"> </w:t>
      </w:r>
    </w:p>
    <w:p w:rsidR="00025683" w:rsidRDefault="007C2AAB">
      <w:pPr>
        <w:numPr>
          <w:ilvl w:val="0"/>
          <w:numId w:val="177"/>
        </w:numPr>
        <w:ind w:right="200" w:hanging="259"/>
      </w:pPr>
      <w:r>
        <w:t xml:space="preserve">Decisiones en las Mesas Comunitarias de los proyectos a ejecutar.  </w:t>
      </w:r>
    </w:p>
    <w:p w:rsidR="00025683" w:rsidRDefault="007C2AAB">
      <w:pPr>
        <w:spacing w:after="0" w:line="259" w:lineRule="auto"/>
        <w:ind w:left="240" w:firstLine="0"/>
        <w:jc w:val="left"/>
      </w:pPr>
      <w:r>
        <w:t xml:space="preserve"> </w:t>
      </w:r>
    </w:p>
    <w:p w:rsidR="00025683" w:rsidRDefault="007C2AAB">
      <w:pPr>
        <w:numPr>
          <w:ilvl w:val="0"/>
          <w:numId w:val="177"/>
        </w:numPr>
        <w:ind w:right="200" w:hanging="259"/>
      </w:pPr>
      <w:r>
        <w:t xml:space="preserve">Diseño, ejecución y seguimiento de las propuestas seleccionadas.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17. Participación mediant</w:t>
      </w:r>
      <w:r>
        <w:rPr>
          <w:b/>
        </w:rPr>
        <w:t>e consultas.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7"/>
      </w:pPr>
      <w:r>
        <w:t xml:space="preserve">Además del derecho a la consulta ciudadana recogido en el art. 8 de este reglamento, el Ayuntamiento podrá pedir la opinión de la ciudadanía sobre asuntos o decisiones importantes de su competencia, excepto los de hacienda local. Para ello, podrá utilizar </w:t>
      </w:r>
      <w:r>
        <w:t xml:space="preserve">diferentes herramientas de consulta como: </w:t>
      </w:r>
    </w:p>
    <w:p w:rsidR="00025683" w:rsidRDefault="007C2AAB">
      <w:pPr>
        <w:spacing w:after="0" w:line="259" w:lineRule="auto"/>
        <w:ind w:left="240" w:firstLine="0"/>
        <w:jc w:val="left"/>
      </w:pPr>
      <w:r>
        <w:t xml:space="preserve"> </w:t>
      </w:r>
    </w:p>
    <w:p w:rsidR="00025683" w:rsidRDefault="007C2AAB">
      <w:pPr>
        <w:ind w:left="240" w:right="200"/>
      </w:pPr>
      <w:r>
        <w:t xml:space="preserve">a)Audiencia pública. </w:t>
      </w:r>
    </w:p>
    <w:p w:rsidR="00025683" w:rsidRDefault="007C2AAB">
      <w:pPr>
        <w:spacing w:after="0" w:line="259" w:lineRule="auto"/>
        <w:ind w:left="240" w:firstLine="0"/>
        <w:jc w:val="left"/>
      </w:pPr>
      <w:r>
        <w:t xml:space="preserve"> </w:t>
      </w:r>
    </w:p>
    <w:p w:rsidR="00025683" w:rsidRDefault="007C2AAB">
      <w:pPr>
        <w:ind w:left="240" w:right="200"/>
      </w:pPr>
      <w:r>
        <w:t xml:space="preserve">b)Sondeos y encuestas de opinión. </w:t>
      </w:r>
    </w:p>
    <w:p w:rsidR="00025683" w:rsidRDefault="007C2AAB">
      <w:pPr>
        <w:spacing w:after="0" w:line="259" w:lineRule="auto"/>
        <w:ind w:left="240" w:firstLine="0"/>
        <w:jc w:val="left"/>
      </w:pPr>
      <w:r>
        <w:t xml:space="preserve"> </w:t>
      </w:r>
    </w:p>
    <w:p w:rsidR="00025683" w:rsidRDefault="007C2AAB">
      <w:pPr>
        <w:ind w:left="240" w:right="200"/>
      </w:pPr>
      <w:r>
        <w:t xml:space="preserve">c)Consultas previas en la elaboración de ordenanzas y reglamentos.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18. La Audiencia Pública.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9"/>
      </w:pPr>
      <w:r>
        <w:t xml:space="preserve">1.La audiencia pública es un mecanismo </w:t>
      </w:r>
      <w:r>
        <w:t xml:space="preserve">de consulta mediante el cual el Ayuntamiento escucha públicamente a personas, entidades o colectivos afectados por una determinada decisión o política pública antes de adoptarla. </w:t>
      </w:r>
    </w:p>
    <w:p w:rsidR="00025683" w:rsidRDefault="007C2AAB">
      <w:pPr>
        <w:spacing w:after="0" w:line="259" w:lineRule="auto"/>
        <w:ind w:left="240" w:firstLine="0"/>
        <w:jc w:val="left"/>
      </w:pPr>
      <w:r>
        <w:t xml:space="preserve"> </w:t>
      </w:r>
    </w:p>
    <w:p w:rsidR="00025683" w:rsidRDefault="007C2AAB">
      <w:pPr>
        <w:numPr>
          <w:ilvl w:val="0"/>
          <w:numId w:val="178"/>
        </w:numPr>
        <w:ind w:right="29"/>
      </w:pPr>
      <w:r>
        <w:t>La Alcaldía podrá decidir la apertura de una audiencia pública en temas de</w:t>
      </w:r>
      <w:r>
        <w:t xml:space="preserve"> especial relevancia. También podrá solicitarse mediante una propuesta ciudadana, siguiendo el procedimiento establecido en este reglamento para el ejercicio de este derecho.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0742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29686" name="Group 4296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834" name="Rectangle 4883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8835" name="Rectangle 4883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836" name="Rectangle 4883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326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29686" style="width:18.7031pt;height:264.21pt;position:absolute;mso-position-horizontal-relative:page;mso-position-horizontal:absolute;margin-left:662.928pt;mso-position-vertical-relative:page;margin-top:507.75pt;" coordsize="2375,33554">
                <v:rect id="Rectangle 4883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883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83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326 de 350 </w:t>
                        </w:r>
                      </w:p>
                    </w:txbxContent>
                  </v:textbox>
                </v:rect>
                <w10:wrap type="square"/>
              </v:group>
            </w:pict>
          </mc:Fallback>
        </mc:AlternateContent>
      </w:r>
      <w:r>
        <w:t xml:space="preserve"> </w:t>
      </w:r>
    </w:p>
    <w:p w:rsidR="00025683" w:rsidRDefault="007C2AAB">
      <w:pPr>
        <w:numPr>
          <w:ilvl w:val="0"/>
          <w:numId w:val="178"/>
        </w:numPr>
        <w:ind w:right="29"/>
      </w:pPr>
      <w:r>
        <w:t xml:space="preserve">De cada audiencia pública deberá quedar constancia del número de personas participantes y de las principales aportaciones realizadas, que se publicarán en la web municipal.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19. Sondeos y encuestas de opinión.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7"/>
      </w:pPr>
      <w:r>
        <w:t>El Pleno del Ayuntamiento o c</w:t>
      </w:r>
      <w:r>
        <w:t xml:space="preserve">ualquier concejalía, podrá acordar la realización de sondeos, encuestas, cuestionarios, estudios de opinión o cualquier otro instrumento basado en técnicas demoscópicas, que sirva para recabar y conocer la opinión de la ciudadanía acerca de las decisiones </w:t>
      </w:r>
      <w:r>
        <w:t xml:space="preserve">o políticas públicas que pretenda adoptar la Corporación en el ámbito de sus competencias propias.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20. Participación Ciudadana en elaboración de Reglamentos y Ordenanzas.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5"/>
      </w:pPr>
      <w:r>
        <w:t>Con carácter previo a la elaboración de las normas reglamentarias lo</w:t>
      </w:r>
      <w:r>
        <w:t xml:space="preserve">cales se sustanciará una </w:t>
      </w:r>
      <w:r>
        <w:rPr>
          <w:b/>
        </w:rPr>
        <w:t xml:space="preserve">consulta pública </w:t>
      </w:r>
      <w:r>
        <w:t>en la que se recabará la opinión de la ciudadanía y de las organizaciones más representativas potencialmente afectados por la futura norma acerca de:</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numPr>
          <w:ilvl w:val="0"/>
          <w:numId w:val="179"/>
        </w:numPr>
        <w:ind w:right="200" w:hanging="259"/>
      </w:pPr>
      <w:r>
        <w:t xml:space="preserve">Los problemas que se pretenden solucionar con la iniciativa. </w:t>
      </w:r>
      <w:r>
        <w:t xml:space="preserve"> </w:t>
      </w:r>
    </w:p>
    <w:p w:rsidR="00025683" w:rsidRDefault="007C2AAB">
      <w:pPr>
        <w:spacing w:after="0" w:line="259" w:lineRule="auto"/>
        <w:ind w:left="240" w:firstLine="0"/>
        <w:jc w:val="left"/>
      </w:pPr>
      <w:r>
        <w:t xml:space="preserve"> </w:t>
      </w:r>
    </w:p>
    <w:p w:rsidR="00025683" w:rsidRDefault="007C2AAB">
      <w:pPr>
        <w:numPr>
          <w:ilvl w:val="0"/>
          <w:numId w:val="179"/>
        </w:numPr>
        <w:ind w:right="200" w:hanging="259"/>
      </w:pPr>
      <w:r>
        <w:t xml:space="preserve">La necesidad y oportunidad de su aprobación.  </w:t>
      </w:r>
    </w:p>
    <w:p w:rsidR="00025683" w:rsidRDefault="007C2AAB">
      <w:pPr>
        <w:spacing w:after="0" w:line="259" w:lineRule="auto"/>
        <w:ind w:left="240" w:firstLine="0"/>
        <w:jc w:val="left"/>
      </w:pPr>
      <w:r>
        <w:t xml:space="preserve"> </w:t>
      </w:r>
    </w:p>
    <w:p w:rsidR="00025683" w:rsidRDefault="007C2AAB">
      <w:pPr>
        <w:numPr>
          <w:ilvl w:val="0"/>
          <w:numId w:val="179"/>
        </w:numPr>
        <w:ind w:right="200" w:hanging="259"/>
      </w:pPr>
      <w:r>
        <w:t xml:space="preserve">Los objetivos de la norma.  </w:t>
      </w:r>
    </w:p>
    <w:p w:rsidR="00025683" w:rsidRDefault="007C2AAB">
      <w:pPr>
        <w:spacing w:after="0" w:line="259" w:lineRule="auto"/>
        <w:ind w:left="240" w:firstLine="0"/>
        <w:jc w:val="left"/>
      </w:pPr>
      <w:r>
        <w:t xml:space="preserve"> </w:t>
      </w:r>
    </w:p>
    <w:p w:rsidR="00025683" w:rsidRDefault="007C2AAB">
      <w:pPr>
        <w:numPr>
          <w:ilvl w:val="0"/>
          <w:numId w:val="179"/>
        </w:numPr>
        <w:ind w:right="200" w:hanging="259"/>
      </w:pPr>
      <w:r>
        <w:t xml:space="preserve">Las posibles soluciones alternativas regulatorias y no regulatorias.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21. Procedimiento</w:t>
      </w:r>
      <w:r>
        <w:t>.</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8"/>
      </w:pPr>
      <w:r>
        <w:t>1.La consulta pública deberá realizarse respetando las determinaciones establecidas en este título para los procesos participativos, de tal forma que todos los potenciales destinatarios de la norma tengan la posibilidad de emitir su opinión, para lo cual s</w:t>
      </w:r>
      <w:r>
        <w:t xml:space="preserve">e tendrán que poner a su disposición los documentos necesarios, que tienen que ser claros y concisos y aportar toda la información necesaria para poder pronunciarse sobre la materia.  </w:t>
      </w:r>
    </w:p>
    <w:p w:rsidR="00025683" w:rsidRDefault="007C2AAB">
      <w:pPr>
        <w:spacing w:after="0" w:line="259" w:lineRule="auto"/>
        <w:ind w:left="240" w:firstLine="0"/>
        <w:jc w:val="left"/>
      </w:pPr>
      <w:r>
        <w:t xml:space="preserve"> </w:t>
      </w:r>
    </w:p>
    <w:p w:rsidR="00025683" w:rsidRDefault="007C2AAB">
      <w:pPr>
        <w:ind w:left="240" w:right="60"/>
      </w:pPr>
      <w:r>
        <w:t xml:space="preserve">2.El plazo de presentación de aportaciones, propuestas y sugerencias </w:t>
      </w:r>
      <w:r>
        <w:t xml:space="preserve">en la fase de consulta previa será suficiente en atención al contenido y finalidad de la norma, que, salvo excepciones debidamente motivadas, no podrá ser inferior a treinta días naturales.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CAPÍTULO III. SISTEMA PÚBLICO DE PARTICIPACIÓN DIGITAL MUNIC</w:t>
      </w:r>
      <w:r>
        <w:rPr>
          <w:b/>
        </w:rPr>
        <w:t>IPAL</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22. Sistema Público de Participación Digital.</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5"/>
      </w:pPr>
      <w:r>
        <w:t>1.La participación digital es el conjunto de herramientas, espacios y procedimientos en línea que permiten a la ciudadanía informarse, opinar, debatir, proponer o decidir sobre asuntos públi</w:t>
      </w:r>
      <w:r>
        <w:t>cos de manera accesible y segura, a través de medios tecnológicos. Este tipo de participación no sustituye a los espacios presenciales, sino que los complementa, ampliando las posibilidades de implicación de la ciudadanía, especialmente de aquellos sectore</w:t>
      </w:r>
      <w:r>
        <w:t xml:space="preserve">s que por diferentes motivos tienen más dificultades para participar de forma presencial.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0844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0112" name="Group 4301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8950" name="Rectangle 4895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8951" name="Rectangle 4895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8952" name="Rectangle 4895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327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0112" style="width:18.7031pt;height:264.21pt;position:absolute;mso-position-horizontal-relative:page;mso-position-horizontal:absolute;margin-left:662.928pt;mso-position-vertical-relative:page;margin-top:507.75pt;" coordsize="2375,33554">
                <v:rect id="Rectangle 4895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895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895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327 de 350 </w:t>
                        </w:r>
                      </w:p>
                    </w:txbxContent>
                  </v:textbox>
                </v:rect>
                <w10:wrap type="square"/>
              </v:group>
            </w:pict>
          </mc:Fallback>
        </mc:AlternateContent>
      </w:r>
      <w:r>
        <w:t xml:space="preserve"> </w:t>
      </w:r>
    </w:p>
    <w:p w:rsidR="00025683" w:rsidRDefault="007C2AAB">
      <w:pPr>
        <w:ind w:left="240" w:right="60"/>
      </w:pPr>
      <w:r>
        <w:t>2. El Ayuntamiento garantizará que los procesos participativos de este Reglamento que necesiten de un soporte digital puedan llevarse a cabo, ya sea mediante e</w:t>
      </w:r>
      <w:r>
        <w:t>l desarrollo un portal municipal de participación que contenga las funcionalidades necesarias o empleando la web municipal. Asimismo, podrá ofrecer acompañamiento y formación básica en competencias digitales para garantizar el acceso equitativo a las herra</w:t>
      </w:r>
      <w:r>
        <w:t>mientas de participación en línea.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ind w:left="240" w:right="61"/>
      </w:pPr>
      <w:r>
        <w:t>3.Además, el Ayuntamiento podrá desarrollar herramientas digitales que permitan a la ciudadanía comunicar de forma sencilla y accesible incidencias, sugerencias o propuestas de mejora relativas a los servicios municipa</w:t>
      </w:r>
      <w:r>
        <w:t>les. Estas plataformas deberán garantizar la accesibilidad universal y podrán complementarse con el acompañamiento a los usuarios por parte de asociaciones especializadas, o puntos de atención presencial para aquellas personas que encuentren dificultades e</w:t>
      </w:r>
      <w:r>
        <w:t xml:space="preserve">n el uso de medios tecnológicos.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23. Características.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numPr>
          <w:ilvl w:val="0"/>
          <w:numId w:val="180"/>
        </w:numPr>
        <w:ind w:right="61"/>
      </w:pPr>
      <w:r>
        <w:t>El portal de participación debe facilitar el desarrollo de los procesos participativos permitiendo actividades de propuesta, deliberación, enmienda, votación y evaluación, y estará desar</w:t>
      </w:r>
      <w:r>
        <w:t xml:space="preserve">rollado en software libre.  </w:t>
      </w:r>
    </w:p>
    <w:p w:rsidR="00025683" w:rsidRDefault="007C2AAB">
      <w:pPr>
        <w:spacing w:after="0" w:line="259" w:lineRule="auto"/>
        <w:ind w:left="240" w:firstLine="0"/>
        <w:jc w:val="left"/>
      </w:pPr>
      <w:r>
        <w:t xml:space="preserve"> </w:t>
      </w:r>
    </w:p>
    <w:p w:rsidR="00025683" w:rsidRDefault="007C2AAB">
      <w:pPr>
        <w:numPr>
          <w:ilvl w:val="0"/>
          <w:numId w:val="180"/>
        </w:numPr>
        <w:ind w:right="61"/>
      </w:pPr>
      <w:r>
        <w:t xml:space="preserve">Deberá contar con un sistema de registro y autenticación abierto a la inscripción de las vecinas y los vecinos del municipio, que estará sujeto a la normativa existente en materia de protección de datos de carácter personal. </w:t>
      </w:r>
    </w:p>
    <w:p w:rsidR="00025683" w:rsidRDefault="007C2AAB">
      <w:pPr>
        <w:spacing w:after="0" w:line="259" w:lineRule="auto"/>
        <w:ind w:left="240" w:firstLine="0"/>
        <w:jc w:val="left"/>
      </w:pPr>
      <w:r>
        <w:t xml:space="preserve"> </w:t>
      </w:r>
    </w:p>
    <w:p w:rsidR="00025683" w:rsidRDefault="007C2AAB">
      <w:pPr>
        <w:ind w:left="240"/>
      </w:pPr>
      <w:r>
        <w:t xml:space="preserve">3.Los espacios digitales de participación contarán con mecanismos de moderación que garanticen la seguridad y el respeto en las interacciones, evitando el anonimato y cualquier forma de expresión </w:t>
      </w:r>
      <w:r>
        <w:t xml:space="preserve">violenta o discriminatoria. El Ayuntamiento promoverá la convivencia digital mediante normas claras de uso y la intervención moderadora cuando sea necesario, fomentando un debate público responsable y constructivo.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TÍTULO III: LA ORGANIZACIÓN MUNICIPA</w:t>
      </w:r>
      <w:r>
        <w:rPr>
          <w:b/>
        </w:rPr>
        <w:t>L EN MATERIA DE PARTICIPACIÓN.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CAPÍTULO I. REGISTRO MUNICIPAL DE ENTIDADES Y COLECTIVOS DE CIUDADANÍA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24. Registro Municipal De Entidades Y Colectivos de Ciudadanía.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8"/>
      </w:pPr>
      <w:r>
        <w:t>El Ayuntamiento podrá crear y mantener, mediante acuerdo del Pleno munic</w:t>
      </w:r>
      <w:r>
        <w:t>ipal, un Registro Municipal de Entidades Ciudadanas, adscrito al Área de Participación Ciudadana, cuyo objetivo es reconocer formalmente a las asociaciones y colectivos del municipio para que puedan ejercer los derechos de participación que les otorga este</w:t>
      </w:r>
      <w:r>
        <w:t xml:space="preserve"> Reglamento.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25. Requisitos y procedimiento de inscripción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7"/>
      </w:pPr>
      <w:r>
        <w:t>1.Podrán inscribirse en este registro todas las asociaciones, federaciones, uniones o colectivos sin ánimo de lucro legalmente constituidos conforme a la legislación vigente, que des</w:t>
      </w:r>
      <w:r>
        <w:t xml:space="preserve">arrollen su actividad en el municipio de Candelaria. La solicitud de inscripción debe presentarse firmada por la persona representante legal y deberá llevar acompañada la siguiente información: </w:t>
      </w:r>
    </w:p>
    <w:p w:rsidR="00025683" w:rsidRDefault="007C2AAB">
      <w:pPr>
        <w:spacing w:after="0" w:line="259" w:lineRule="auto"/>
        <w:ind w:left="240" w:firstLine="0"/>
        <w:jc w:val="left"/>
      </w:pPr>
      <w:r>
        <w:t xml:space="preserve"> </w:t>
      </w:r>
    </w:p>
    <w:p w:rsidR="00025683" w:rsidRDefault="007C2AAB">
      <w:pPr>
        <w:numPr>
          <w:ilvl w:val="0"/>
          <w:numId w:val="181"/>
        </w:numPr>
        <w:ind w:right="200"/>
      </w:pPr>
      <w:r>
        <w:t xml:space="preserve">Nombre, fecha de constitución y CIF de la entidad.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0947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0473" name="Group 43047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076" name="Rectangle 4907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9077" name="Rectangle 4907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078" name="Rectangle 4907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328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0473" style="width:18.7031pt;height:264.21pt;position:absolute;mso-position-horizontal-relative:page;mso-position-horizontal:absolute;margin-left:662.928pt;mso-position-vertical-relative:page;margin-top:507.75pt;" coordsize="2375,33554">
                <v:rect id="Rectangle 4907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907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07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328 de 350 </w:t>
                        </w:r>
                      </w:p>
                    </w:txbxContent>
                  </v:textbox>
                </v:rect>
                <w10:wrap type="square"/>
              </v:group>
            </w:pict>
          </mc:Fallback>
        </mc:AlternateContent>
      </w:r>
      <w:r>
        <w:t xml:space="preserve"> </w:t>
      </w:r>
    </w:p>
    <w:p w:rsidR="00025683" w:rsidRDefault="007C2AAB">
      <w:pPr>
        <w:numPr>
          <w:ilvl w:val="0"/>
          <w:numId w:val="181"/>
        </w:numPr>
        <w:ind w:right="200"/>
      </w:pPr>
      <w:r>
        <w:t>Número de inscripción en el Registro de Asociaciones del Gobierno de Canarias.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numPr>
          <w:ilvl w:val="0"/>
          <w:numId w:val="181"/>
        </w:numPr>
        <w:ind w:right="200"/>
      </w:pPr>
      <w:r>
        <w:t xml:space="preserve">Domicilio social y ámbito territorial de actuación. </w:t>
      </w:r>
    </w:p>
    <w:p w:rsidR="00025683" w:rsidRDefault="007C2AAB">
      <w:pPr>
        <w:spacing w:after="0" w:line="259" w:lineRule="auto"/>
        <w:ind w:left="240" w:firstLine="0"/>
        <w:jc w:val="left"/>
      </w:pPr>
      <w:r>
        <w:t xml:space="preserve"> </w:t>
      </w:r>
    </w:p>
    <w:p w:rsidR="00025683" w:rsidRDefault="007C2AAB">
      <w:pPr>
        <w:numPr>
          <w:ilvl w:val="0"/>
          <w:numId w:val="181"/>
        </w:numPr>
        <w:ind w:right="200"/>
      </w:pPr>
      <w:r>
        <w:t xml:space="preserve">Objetivos y temáticas de trabajo de la entidad. </w:t>
      </w:r>
    </w:p>
    <w:p w:rsidR="00025683" w:rsidRDefault="007C2AAB">
      <w:pPr>
        <w:spacing w:after="0" w:line="259" w:lineRule="auto"/>
        <w:ind w:left="240" w:firstLine="0"/>
        <w:jc w:val="left"/>
      </w:pPr>
      <w:r>
        <w:t xml:space="preserve"> </w:t>
      </w:r>
    </w:p>
    <w:p w:rsidR="00025683" w:rsidRDefault="007C2AAB">
      <w:pPr>
        <w:numPr>
          <w:ilvl w:val="0"/>
          <w:numId w:val="181"/>
        </w:numPr>
        <w:ind w:right="200"/>
      </w:pPr>
      <w:r>
        <w:t>Composición de los órganos de gobierno y normas internas de funciona</w:t>
      </w:r>
      <w:r>
        <w:t xml:space="preserve">miento. </w:t>
      </w:r>
    </w:p>
    <w:p w:rsidR="00025683" w:rsidRDefault="007C2AAB">
      <w:pPr>
        <w:spacing w:after="0" w:line="259" w:lineRule="auto"/>
        <w:ind w:left="240" w:firstLine="0"/>
        <w:jc w:val="left"/>
      </w:pPr>
      <w:r>
        <w:t xml:space="preserve"> </w:t>
      </w:r>
    </w:p>
    <w:p w:rsidR="00025683" w:rsidRDefault="007C2AAB">
      <w:pPr>
        <w:numPr>
          <w:ilvl w:val="0"/>
          <w:numId w:val="181"/>
        </w:numPr>
        <w:ind w:right="200"/>
      </w:pPr>
      <w:r>
        <w:t xml:space="preserve">Acta o certificado de la última asamblea en la que se eligió la junta directiva, incluyendo datos de contacto de sus miembros. </w:t>
      </w:r>
    </w:p>
    <w:p w:rsidR="00025683" w:rsidRDefault="007C2AAB">
      <w:pPr>
        <w:spacing w:after="0" w:line="259" w:lineRule="auto"/>
        <w:ind w:left="240" w:firstLine="0"/>
        <w:jc w:val="left"/>
      </w:pPr>
      <w:r>
        <w:t xml:space="preserve"> </w:t>
      </w:r>
    </w:p>
    <w:p w:rsidR="00025683" w:rsidRDefault="007C2AAB">
      <w:pPr>
        <w:ind w:left="240" w:right="58"/>
      </w:pPr>
      <w:r>
        <w:t>2.Si faltara documentación o esta fuera incorrecta, el Ayuntamiento solicitará su subsanación. Una vez revisada cor</w:t>
      </w:r>
      <w:r>
        <w:t xml:space="preserve">rectamente, la inscripción se resolverá en un plazo máximo de dos meses desde la presentación.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26. Actualización de datos.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200"/>
      </w:pPr>
      <w:r>
        <w:t xml:space="preserve">Las entidades inscritas deberán comunicar al Ayuntamiento: </w:t>
      </w:r>
    </w:p>
    <w:p w:rsidR="00025683" w:rsidRDefault="007C2AAB">
      <w:pPr>
        <w:spacing w:after="0" w:line="259" w:lineRule="auto"/>
        <w:ind w:left="240" w:firstLine="0"/>
        <w:jc w:val="left"/>
      </w:pPr>
      <w:r>
        <w:t xml:space="preserve"> </w:t>
      </w:r>
    </w:p>
    <w:p w:rsidR="00025683" w:rsidRDefault="007C2AAB">
      <w:pPr>
        <w:numPr>
          <w:ilvl w:val="0"/>
          <w:numId w:val="182"/>
        </w:numPr>
        <w:ind w:right="100"/>
      </w:pPr>
      <w:r>
        <w:t xml:space="preserve">El número de personas asociadas durante el primer trimestre de cada año. </w:t>
      </w:r>
    </w:p>
    <w:p w:rsidR="00025683" w:rsidRDefault="007C2AAB">
      <w:pPr>
        <w:spacing w:after="0" w:line="259" w:lineRule="auto"/>
        <w:ind w:left="240" w:firstLine="0"/>
        <w:jc w:val="left"/>
      </w:pPr>
      <w:r>
        <w:t xml:space="preserve"> </w:t>
      </w:r>
    </w:p>
    <w:p w:rsidR="00025683" w:rsidRDefault="007C2AAB">
      <w:pPr>
        <w:numPr>
          <w:ilvl w:val="0"/>
          <w:numId w:val="182"/>
        </w:numPr>
        <w:ind w:right="100"/>
      </w:pPr>
      <w:r>
        <w:t xml:space="preserve">Cualquier cambio en los datos registrados, en el plazo máximo de un mes desde que se pro-duzca. </w:t>
      </w:r>
    </w:p>
    <w:p w:rsidR="00025683" w:rsidRDefault="007C2AAB">
      <w:pPr>
        <w:spacing w:after="0" w:line="259" w:lineRule="auto"/>
        <w:ind w:left="240" w:firstLine="0"/>
        <w:jc w:val="left"/>
      </w:pPr>
      <w:r>
        <w:t xml:space="preserve"> </w:t>
      </w:r>
    </w:p>
    <w:p w:rsidR="00025683" w:rsidRDefault="007C2AAB">
      <w:pPr>
        <w:ind w:left="240"/>
      </w:pPr>
      <w:r>
        <w:t>El incumplimiento de estas obligaciones podrá conllevar la baja en el registro, p</w:t>
      </w:r>
      <w:r>
        <w:t xml:space="preserve">revio aviso y audiencia a la entidad afectada.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27. Base de datos de participación de la ciudadanía.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5"/>
      </w:pPr>
      <w:r>
        <w:t>1.El Ayuntamiento dispondrá de una base de datos para facilitar la participación de personas a título individual en procesos y órganos part</w:t>
      </w:r>
      <w:r>
        <w:t xml:space="preserve">icipativos. Podrán solicitar su inscripción las personas empadronadas en Candelaria, o que desarrollen su actividad profesional en el municipio y que tengan interés en la materia, indicando los siguientes datos: </w:t>
      </w:r>
    </w:p>
    <w:p w:rsidR="00025683" w:rsidRDefault="007C2AAB">
      <w:pPr>
        <w:spacing w:after="0" w:line="259" w:lineRule="auto"/>
        <w:ind w:left="240" w:firstLine="0"/>
        <w:jc w:val="left"/>
      </w:pPr>
      <w:r>
        <w:t xml:space="preserve"> </w:t>
      </w:r>
    </w:p>
    <w:p w:rsidR="00025683" w:rsidRDefault="007C2AAB">
      <w:pPr>
        <w:numPr>
          <w:ilvl w:val="0"/>
          <w:numId w:val="183"/>
        </w:numPr>
        <w:ind w:left="679" w:right="200" w:hanging="439"/>
      </w:pPr>
      <w:r>
        <w:t xml:space="preserve">Nombre y apellidos. </w:t>
      </w:r>
    </w:p>
    <w:p w:rsidR="00025683" w:rsidRDefault="007C2AAB">
      <w:pPr>
        <w:spacing w:after="0" w:line="259" w:lineRule="auto"/>
        <w:ind w:left="240" w:firstLine="0"/>
        <w:jc w:val="left"/>
      </w:pPr>
      <w:r>
        <w:t xml:space="preserve"> </w:t>
      </w:r>
    </w:p>
    <w:p w:rsidR="00025683" w:rsidRDefault="007C2AAB">
      <w:pPr>
        <w:numPr>
          <w:ilvl w:val="0"/>
          <w:numId w:val="183"/>
        </w:numPr>
        <w:ind w:left="679" w:right="200" w:hanging="439"/>
      </w:pPr>
      <w:r>
        <w:t>Dirección postal o</w:t>
      </w:r>
      <w:r>
        <w:t xml:space="preserve"> zona de referencia. </w:t>
      </w:r>
    </w:p>
    <w:p w:rsidR="00025683" w:rsidRDefault="007C2AAB">
      <w:pPr>
        <w:spacing w:after="0" w:line="259" w:lineRule="auto"/>
        <w:ind w:left="240" w:firstLine="0"/>
        <w:jc w:val="left"/>
      </w:pPr>
      <w:r>
        <w:t xml:space="preserve"> </w:t>
      </w:r>
    </w:p>
    <w:p w:rsidR="00025683" w:rsidRDefault="007C2AAB">
      <w:pPr>
        <w:numPr>
          <w:ilvl w:val="0"/>
          <w:numId w:val="183"/>
        </w:numPr>
        <w:ind w:left="679" w:right="200" w:hanging="439"/>
      </w:pPr>
      <w:r>
        <w:t xml:space="preserve">Fecha de nacimiento. </w:t>
      </w:r>
    </w:p>
    <w:p w:rsidR="00025683" w:rsidRDefault="007C2AAB">
      <w:pPr>
        <w:spacing w:after="0" w:line="259" w:lineRule="auto"/>
        <w:ind w:left="240" w:firstLine="0"/>
        <w:jc w:val="left"/>
      </w:pPr>
      <w:r>
        <w:t xml:space="preserve"> </w:t>
      </w:r>
    </w:p>
    <w:p w:rsidR="00025683" w:rsidRDefault="007C2AAB">
      <w:pPr>
        <w:numPr>
          <w:ilvl w:val="0"/>
          <w:numId w:val="183"/>
        </w:numPr>
        <w:ind w:left="679" w:right="200" w:hanging="439"/>
      </w:pPr>
      <w:r>
        <w:t xml:space="preserve">Teléfono y correo electrónico. </w:t>
      </w:r>
    </w:p>
    <w:p w:rsidR="00025683" w:rsidRDefault="007C2AAB">
      <w:pPr>
        <w:spacing w:after="0" w:line="259" w:lineRule="auto"/>
        <w:ind w:left="240" w:firstLine="0"/>
        <w:jc w:val="left"/>
      </w:pPr>
      <w:r>
        <w:t xml:space="preserve"> </w:t>
      </w:r>
    </w:p>
    <w:p w:rsidR="00025683" w:rsidRDefault="007C2AAB">
      <w:pPr>
        <w:ind w:left="240" w:right="60"/>
      </w:pPr>
      <w:r>
        <w:t>2.Las personas inscritas en esta base de datos recibirán información sobre actividades, convocatorias y procesos participativos, y podrán ser convocadas para formar parte de órganos o jurados ciudadanos cuando proceda.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12"/>
        <w:ind w:left="240" w:right="197"/>
      </w:pPr>
      <w:r>
        <w:rPr>
          <w:rFonts w:ascii="Calibri" w:eastAsia="Calibri" w:hAnsi="Calibri" w:cs="Calibri"/>
          <w:noProof/>
        </w:rPr>
        <mc:AlternateContent>
          <mc:Choice Requires="wpg">
            <w:drawing>
              <wp:anchor distT="0" distB="0" distL="114300" distR="114300" simplePos="0" relativeHeight="25201049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0779" name="Group 4307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189" name="Rectangle 4918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Cód. Validación: 3J3KYNW3CJM7</w:t>
                              </w:r>
                              <w:r>
                                <w:rPr>
                                  <w:sz w:val="12"/>
                                </w:rPr>
                                <w:t xml:space="preserve">4AZ6SEHNT4KKY </w:t>
                              </w:r>
                            </w:p>
                          </w:txbxContent>
                        </wps:txbx>
                        <wps:bodyPr horzOverflow="overflow" vert="horz" lIns="0" tIns="0" rIns="0" bIns="0" rtlCol="0">
                          <a:noAutofit/>
                        </wps:bodyPr>
                      </wps:wsp>
                      <wps:wsp>
                        <wps:cNvPr id="49190" name="Rectangle 4919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191" name="Rectangle 4919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329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0779" style="width:18.7031pt;height:264.21pt;position:absolute;mso-position-horizontal-relative:page;mso-position-horizontal:absolute;margin-left:662.928pt;mso-position-vertical-relative:page;margin-top:507.75pt;" coordsize="2375,33554">
                <v:rect id="Rectangle 4918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919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19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329 de 350 </w:t>
                        </w:r>
                      </w:p>
                    </w:txbxContent>
                  </v:textbox>
                </v:rect>
                <w10:wrap type="square"/>
              </v:group>
            </w:pict>
          </mc:Fallback>
        </mc:AlternateContent>
      </w:r>
      <w:r>
        <w:rPr>
          <w:b/>
        </w:rPr>
        <w:t xml:space="preserve">Artículo 28.- De la Oficina de la Defensa de la Ciudadanía.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5"/>
      </w:pPr>
      <w:r>
        <w:t>1.La Oficina de la Defens</w:t>
      </w:r>
      <w:r>
        <w:t>a de la Ciudadanía es un órgano al servicio de los ciudadanos y ciudadanas, que ejercerá sus funciones dentro de las competencias que se regulan en su Estatuto. Su misión general es el servicio a la ciudadanía, entendiendo que el contenido esencial de este</w:t>
      </w:r>
      <w:r>
        <w:t xml:space="preserve"> órgano es la protección y defensa de los derechos de los ciudadanos y ciudadanas ante la Administración Municipal.  </w:t>
      </w:r>
    </w:p>
    <w:p w:rsidR="00025683" w:rsidRDefault="007C2AAB">
      <w:pPr>
        <w:spacing w:after="0" w:line="259" w:lineRule="auto"/>
        <w:ind w:left="240" w:firstLine="0"/>
        <w:jc w:val="left"/>
      </w:pPr>
      <w:r>
        <w:t xml:space="preserve"> </w:t>
      </w:r>
    </w:p>
    <w:p w:rsidR="00025683" w:rsidRDefault="007C2AAB">
      <w:pPr>
        <w:ind w:left="240" w:right="57"/>
      </w:pPr>
      <w:r>
        <w:t>2.En cuanto a su marco de actuación, realiza funciones de asesoramiento, información, atención y mediación ante los problemas o conflict</w:t>
      </w:r>
      <w:r>
        <w:t>os que surjan entre el ciudadano o la ciudadana y la Administración Municipal, incluidos sus servicios, centros, organismos, entidades dependientes. Por lo tanto, sus facultades se extienden a actuaciones y procesos de carácter administrativo dependiente d</w:t>
      </w:r>
      <w:r>
        <w:t xml:space="preserve">el Ayuntamiento de Candelaria, salvo aquellas materias que versen sobre cuestiones de personal, o las que estén siendo objeto de procedimiento judicial. Quedan fuera de su competencia las funciones de control político.  </w:t>
      </w:r>
    </w:p>
    <w:p w:rsidR="00025683" w:rsidRDefault="007C2AAB">
      <w:pPr>
        <w:spacing w:after="0" w:line="259" w:lineRule="auto"/>
        <w:ind w:left="240" w:firstLine="0"/>
        <w:jc w:val="left"/>
      </w:pPr>
      <w:r>
        <w:t xml:space="preserve"> </w:t>
      </w:r>
    </w:p>
    <w:p w:rsidR="00025683" w:rsidRDefault="007C2AAB">
      <w:pPr>
        <w:ind w:left="240" w:right="56"/>
      </w:pPr>
      <w:r>
        <w:t>3. La persona titular de la Oficina tiene la naturaleza jurídica de personal directivo y que será seleccionado mediante convocatoria pública conforme los principios de igualdad, mérito y capacidad y suscribirá con el Ayuntamiento un contrato laboral de alt</w:t>
      </w:r>
      <w:r>
        <w:t xml:space="preserve">a dirección. La persona aspirante seleccionada será nombrada por el Pleno de la Corporación Defensor o Defensora de la Ciudadanía. El Pleno deberá al comienzo de cada mandato ratificar o revocar el nombramiento. </w:t>
      </w:r>
    </w:p>
    <w:p w:rsidR="00025683" w:rsidRDefault="007C2AAB">
      <w:pPr>
        <w:spacing w:after="12"/>
        <w:ind w:left="240" w:right="197"/>
      </w:pPr>
      <w:r>
        <w:rPr>
          <w:b/>
        </w:rPr>
        <w:t>CAPÍTULO II. DE LOS ÓRGANOS DE PARTICIPACIÓ</w:t>
      </w:r>
      <w:r>
        <w:rPr>
          <w:b/>
        </w:rPr>
        <w:t>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SECCIÓN I. DISPOSICIONES COMUNES A LOS ÓRGANOS DE PARTICIPACIÓN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29. Órganos de participación ciudadana y funcionalidad.</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numPr>
          <w:ilvl w:val="0"/>
          <w:numId w:val="184"/>
        </w:numPr>
        <w:ind w:right="59"/>
      </w:pPr>
      <w:r>
        <w:t>Los órganos municipales de participación son espacios estables creados por el Ayuntamiento para fomentar el diálogo</w:t>
      </w:r>
      <w:r>
        <w:t xml:space="preserve">, la colaboración y la implicación de la ciudadanía en los asuntos públicos del municipio, en el que las vecinas y vecinos pueden compartir sus ideas, opiniones, inquietudes y propuestas sobre asuntos que son competencia del gobierno municipal. </w:t>
      </w:r>
    </w:p>
    <w:p w:rsidR="00025683" w:rsidRDefault="007C2AAB">
      <w:pPr>
        <w:spacing w:after="0" w:line="259" w:lineRule="auto"/>
        <w:ind w:left="240" w:firstLine="0"/>
        <w:jc w:val="left"/>
      </w:pPr>
      <w:r>
        <w:t xml:space="preserve"> </w:t>
      </w:r>
    </w:p>
    <w:p w:rsidR="00025683" w:rsidRDefault="007C2AAB">
      <w:pPr>
        <w:numPr>
          <w:ilvl w:val="0"/>
          <w:numId w:val="184"/>
        </w:numPr>
        <w:ind w:right="59"/>
      </w:pPr>
      <w:r>
        <w:t>Todos lo</w:t>
      </w:r>
      <w:r>
        <w:t>s órganos de participación tienen un carácter consultivo, de informe preceptivo no vinculante, de formulación de propuestas y sugerencias, de acuerdo y con el alcance previsto en el artículo 69 de la Ley 7/1985 de 2 de abril, Reguladora de las Bases del Ré</w:t>
      </w:r>
      <w:r>
        <w:t xml:space="preserve">gimen Local. </w:t>
      </w:r>
    </w:p>
    <w:p w:rsidR="00025683" w:rsidRDefault="007C2AAB">
      <w:pPr>
        <w:spacing w:after="0" w:line="259" w:lineRule="auto"/>
        <w:ind w:left="240" w:firstLine="0"/>
        <w:jc w:val="left"/>
      </w:pPr>
      <w:r>
        <w:t xml:space="preserve"> </w:t>
      </w:r>
    </w:p>
    <w:p w:rsidR="00025683" w:rsidRDefault="007C2AAB">
      <w:pPr>
        <w:numPr>
          <w:ilvl w:val="0"/>
          <w:numId w:val="184"/>
        </w:numPr>
        <w:ind w:right="59"/>
      </w:pPr>
      <w:r>
        <w:t xml:space="preserve">Las relaciones entre el Ayuntamiento y la ciudadanía, entidades y colectivos del municipio se articularán, sin perjuicio de la creación de otros que puedan resultar necesario u oportuno crear, a través de los siguientes órganos: </w:t>
      </w:r>
    </w:p>
    <w:p w:rsidR="00025683" w:rsidRDefault="007C2AAB">
      <w:pPr>
        <w:spacing w:after="0" w:line="259" w:lineRule="auto"/>
        <w:ind w:left="240" w:firstLine="0"/>
        <w:jc w:val="left"/>
      </w:pPr>
      <w:r>
        <w:t xml:space="preserve"> </w:t>
      </w:r>
    </w:p>
    <w:p w:rsidR="00025683" w:rsidRDefault="007C2AAB">
      <w:pPr>
        <w:numPr>
          <w:ilvl w:val="0"/>
          <w:numId w:val="185"/>
        </w:numPr>
        <w:ind w:left="621" w:right="200" w:hanging="381"/>
      </w:pPr>
      <w:r>
        <w:t>Las Mesa</w:t>
      </w:r>
      <w:r>
        <w:t xml:space="preserve">s Comunitarias </w:t>
      </w:r>
    </w:p>
    <w:p w:rsidR="00025683" w:rsidRDefault="007C2AAB">
      <w:pPr>
        <w:spacing w:after="0" w:line="259" w:lineRule="auto"/>
        <w:ind w:left="240" w:firstLine="0"/>
        <w:jc w:val="left"/>
      </w:pPr>
      <w:r>
        <w:t xml:space="preserve"> </w:t>
      </w:r>
    </w:p>
    <w:p w:rsidR="00025683" w:rsidRDefault="007C2AAB">
      <w:pPr>
        <w:numPr>
          <w:ilvl w:val="0"/>
          <w:numId w:val="185"/>
        </w:numPr>
        <w:ind w:left="621" w:right="200" w:hanging="381"/>
      </w:pPr>
      <w:r>
        <w:t>Las Mesas Sectoriales de participación.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numPr>
          <w:ilvl w:val="0"/>
          <w:numId w:val="186"/>
        </w:numPr>
        <w:ind w:right="60"/>
      </w:pPr>
      <w:r>
        <w:t>Las Mesas Comunitarias y las Mesas Sectoriales se configuran como órganos de carácter permanente. Su sede oficial estará en las oficinas municipales del Ayuntamiento de Candelaria, pudiendo celebrar reuniones en otras localizaciones del municipio para favo</w:t>
      </w:r>
      <w:r>
        <w:t xml:space="preserve">recer la proximidad territorial y la descentralización de la participación. </w:t>
      </w:r>
    </w:p>
    <w:p w:rsidR="00025683" w:rsidRDefault="007C2AAB">
      <w:pPr>
        <w:spacing w:after="0" w:line="259" w:lineRule="auto"/>
        <w:ind w:left="240" w:firstLine="0"/>
        <w:jc w:val="left"/>
      </w:pPr>
      <w:r>
        <w:t xml:space="preserve"> </w:t>
      </w:r>
    </w:p>
    <w:p w:rsidR="00025683" w:rsidRDefault="007C2AAB">
      <w:pPr>
        <w:numPr>
          <w:ilvl w:val="0"/>
          <w:numId w:val="186"/>
        </w:numPr>
        <w:ind w:right="60"/>
      </w:pPr>
      <w:r>
        <w:rPr>
          <w:rFonts w:ascii="Calibri" w:eastAsia="Calibri" w:hAnsi="Calibri" w:cs="Calibri"/>
          <w:noProof/>
        </w:rPr>
        <mc:AlternateContent>
          <mc:Choice Requires="wpg">
            <w:drawing>
              <wp:anchor distT="0" distB="0" distL="114300" distR="114300" simplePos="0" relativeHeight="25201152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0917" name="Group 4309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305" name="Rectangle 4930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9306" name="Rectangle 4930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307" name="Rectangle 4930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330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0917" style="width:18.7031pt;height:264.21pt;position:absolute;mso-position-horizontal-relative:page;mso-position-horizontal:absolute;margin-left:662.928pt;mso-position-vertical-relative:page;margin-top:507.75pt;" coordsize="2375,33554">
                <v:rect id="Rectangle 4930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930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30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330 de 350 </w:t>
                        </w:r>
                      </w:p>
                    </w:txbxContent>
                  </v:textbox>
                </v:rect>
                <w10:wrap type="square"/>
              </v:group>
            </w:pict>
          </mc:Fallback>
        </mc:AlternateContent>
      </w:r>
      <w:r>
        <w:t>Los nuevos órganos de participación que se creen con posterioridad a la entrada en vigor de este Reglamento se regirán por las disposiciones comunes reguladas en</w:t>
      </w:r>
      <w:r>
        <w:t xml:space="preserve"> esta norma, todo ello sin perjuicio de que se pueda desarrollar una regulación propia que complemente y adapte su funcionamiento a las características y objetivos específicos.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30. De la Presidencia de las Mesas Comunitarias y Sectoriales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numPr>
          <w:ilvl w:val="0"/>
          <w:numId w:val="187"/>
        </w:numPr>
        <w:ind w:right="100"/>
      </w:pPr>
      <w:r>
        <w:t xml:space="preserve">La presidencia de las Mesas Comunitarias y Sectoriales, la ostentará el/la Alcalde/sa, quien podrá delegar esta función en el concejal o concejala que considere. </w:t>
      </w:r>
    </w:p>
    <w:p w:rsidR="00025683" w:rsidRDefault="007C2AAB">
      <w:pPr>
        <w:spacing w:after="0" w:line="259" w:lineRule="auto"/>
        <w:ind w:left="240" w:firstLine="0"/>
        <w:jc w:val="left"/>
      </w:pPr>
      <w:r>
        <w:t xml:space="preserve"> </w:t>
      </w:r>
    </w:p>
    <w:p w:rsidR="00025683" w:rsidRDefault="007C2AAB">
      <w:pPr>
        <w:numPr>
          <w:ilvl w:val="0"/>
          <w:numId w:val="187"/>
        </w:numPr>
        <w:ind w:right="100"/>
      </w:pPr>
      <w:r>
        <w:t xml:space="preserve">Son funciones de la Presidencia: </w:t>
      </w:r>
    </w:p>
    <w:p w:rsidR="00025683" w:rsidRDefault="007C2AAB">
      <w:pPr>
        <w:spacing w:after="0" w:line="259" w:lineRule="auto"/>
        <w:ind w:left="240" w:firstLine="0"/>
        <w:jc w:val="left"/>
      </w:pPr>
      <w:r>
        <w:t xml:space="preserve"> </w:t>
      </w:r>
    </w:p>
    <w:p w:rsidR="00025683" w:rsidRDefault="007C2AAB">
      <w:pPr>
        <w:ind w:left="240" w:right="200"/>
      </w:pPr>
      <w:r>
        <w:t>a)Ostentar la representación de la Mesa que correspon</w:t>
      </w:r>
      <w:r>
        <w:t xml:space="preserve">da. </w:t>
      </w:r>
    </w:p>
    <w:p w:rsidR="00025683" w:rsidRDefault="007C2AAB">
      <w:pPr>
        <w:spacing w:after="0" w:line="259" w:lineRule="auto"/>
        <w:ind w:left="240" w:firstLine="0"/>
        <w:jc w:val="left"/>
      </w:pPr>
      <w:r>
        <w:t xml:space="preserve"> </w:t>
      </w:r>
    </w:p>
    <w:p w:rsidR="00025683" w:rsidRDefault="007C2AAB">
      <w:pPr>
        <w:ind w:left="240" w:right="200"/>
      </w:pPr>
      <w:r>
        <w:t xml:space="preserve">b)Convocar las sesiones del Plenario, presidirlas y moderar el desarrollo de sus debates. </w:t>
      </w:r>
    </w:p>
    <w:p w:rsidR="00025683" w:rsidRDefault="007C2AAB">
      <w:pPr>
        <w:spacing w:after="0" w:line="259" w:lineRule="auto"/>
        <w:ind w:left="240" w:firstLine="0"/>
        <w:jc w:val="left"/>
      </w:pPr>
      <w:r>
        <w:t xml:space="preserve"> </w:t>
      </w:r>
    </w:p>
    <w:p w:rsidR="00025683" w:rsidRDefault="007C2AAB">
      <w:pPr>
        <w:ind w:left="240" w:right="200"/>
      </w:pPr>
      <w:r>
        <w:t xml:space="preserve">c)Formular el Orden del Día de las reuniones del Plenario.  </w:t>
      </w:r>
    </w:p>
    <w:p w:rsidR="00025683" w:rsidRDefault="007C2AAB">
      <w:pPr>
        <w:ind w:left="240"/>
      </w:pPr>
      <w:r>
        <w:t xml:space="preserve">d)Ordenar la tramitación de los acuerdos de la Mesa que presida, disponer su cumplimiento y visar las Actas de sus reuniones. </w:t>
      </w:r>
    </w:p>
    <w:p w:rsidR="00025683" w:rsidRDefault="007C2AAB">
      <w:pPr>
        <w:spacing w:after="0" w:line="259" w:lineRule="auto"/>
        <w:ind w:left="240" w:firstLine="0"/>
        <w:jc w:val="left"/>
      </w:pPr>
      <w:r>
        <w:t xml:space="preserve"> </w:t>
      </w:r>
    </w:p>
    <w:p w:rsidR="00025683" w:rsidRDefault="007C2AAB">
      <w:pPr>
        <w:ind w:left="240" w:right="200"/>
      </w:pPr>
      <w:r>
        <w:t xml:space="preserve">e)Velar por el cumplimiento del presente Reglamento de funcionamiento. </w:t>
      </w:r>
    </w:p>
    <w:p w:rsidR="00025683" w:rsidRDefault="007C2AAB">
      <w:pPr>
        <w:spacing w:after="0" w:line="259" w:lineRule="auto"/>
        <w:ind w:left="240" w:firstLine="0"/>
        <w:jc w:val="left"/>
      </w:pPr>
      <w:r>
        <w:t xml:space="preserve"> </w:t>
      </w:r>
    </w:p>
    <w:p w:rsidR="00025683" w:rsidRDefault="007C2AAB">
      <w:pPr>
        <w:ind w:left="240" w:right="200"/>
      </w:pPr>
      <w:r>
        <w:t>f)Las demás funciones que le sean encomendadas por el</w:t>
      </w:r>
      <w:r>
        <w:t xml:space="preserve"> Plenario de la Mesa que corresponda. </w:t>
      </w:r>
    </w:p>
    <w:p w:rsidR="00025683" w:rsidRDefault="007C2AAB">
      <w:pPr>
        <w:spacing w:after="12"/>
        <w:ind w:left="240" w:right="197"/>
      </w:pPr>
      <w:r>
        <w:rPr>
          <w:b/>
        </w:rPr>
        <w:t xml:space="preserve">Artículo 31. De la Secretaría de las Mesas. </w:t>
      </w:r>
      <w:r>
        <w:rPr>
          <w:rFonts w:ascii="Times New Roman" w:eastAsia="Times New Roman" w:hAnsi="Times New Roman" w:cs="Times New Roman"/>
          <w:sz w:val="24"/>
        </w:rPr>
        <w:t xml:space="preserve"> </w:t>
      </w:r>
    </w:p>
    <w:p w:rsidR="00025683" w:rsidRDefault="007C2AAB">
      <w:pPr>
        <w:spacing w:after="3" w:line="238" w:lineRule="auto"/>
        <w:ind w:left="250" w:hanging="10"/>
        <w:jc w:val="left"/>
      </w:pPr>
      <w:r>
        <w:t>1.Ejercerá la Secretaría de las Mesas el/la secretario/a de la Corporación Municipal o empleado/a público en quien delegue. Asistirá, con voz, pero sin voto, a las sesione</w:t>
      </w:r>
      <w:r>
        <w:t xml:space="preserve">s, levantando actas de las mismas. </w:t>
      </w:r>
    </w:p>
    <w:p w:rsidR="00025683" w:rsidRDefault="007C2AAB">
      <w:pPr>
        <w:spacing w:after="0" w:line="259" w:lineRule="auto"/>
        <w:ind w:left="240" w:firstLine="0"/>
        <w:jc w:val="left"/>
      </w:pPr>
      <w:r>
        <w:t xml:space="preserve"> </w:t>
      </w:r>
    </w:p>
    <w:p w:rsidR="00025683" w:rsidRDefault="007C2AAB">
      <w:pPr>
        <w:ind w:left="240" w:right="200"/>
      </w:pPr>
      <w:r>
        <w:t xml:space="preserve">2.Son funciones de la Secretaría: </w:t>
      </w:r>
    </w:p>
    <w:p w:rsidR="00025683" w:rsidRDefault="007C2AAB">
      <w:pPr>
        <w:spacing w:after="0" w:line="259" w:lineRule="auto"/>
        <w:ind w:left="240" w:firstLine="0"/>
        <w:jc w:val="left"/>
      </w:pPr>
      <w:r>
        <w:t xml:space="preserve"> </w:t>
      </w:r>
    </w:p>
    <w:p w:rsidR="00025683" w:rsidRDefault="007C2AAB">
      <w:pPr>
        <w:ind w:left="240" w:right="56"/>
      </w:pPr>
      <w:r>
        <w:t>a)  Trasladar las convocatorias de las sesiones de la Mesa por orden de la Presidencia, incluyendo el orden del día y la documentación necesaria. b)     Expedir certificaciones de l</w:t>
      </w:r>
      <w:r>
        <w:t xml:space="preserve">os acuerdos. </w:t>
      </w:r>
    </w:p>
    <w:p w:rsidR="00025683" w:rsidRDefault="007C2AAB">
      <w:pPr>
        <w:ind w:left="240" w:right="200"/>
      </w:pPr>
      <w:r>
        <w:t>c)    Facilitar los estudios, datos e informes que le sean solicitados por los miembros de la Mesa. d)     Custodiar la documentación.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numPr>
          <w:ilvl w:val="0"/>
          <w:numId w:val="188"/>
        </w:numPr>
        <w:ind w:right="200" w:hanging="504"/>
      </w:pPr>
      <w:r>
        <w:t xml:space="preserve">Levantar acta de las sesiones. </w:t>
      </w:r>
    </w:p>
    <w:p w:rsidR="00025683" w:rsidRDefault="007C2AAB">
      <w:pPr>
        <w:spacing w:after="0" w:line="259" w:lineRule="auto"/>
        <w:ind w:left="240" w:firstLine="0"/>
        <w:jc w:val="left"/>
      </w:pPr>
      <w:r>
        <w:t xml:space="preserve"> </w:t>
      </w:r>
    </w:p>
    <w:p w:rsidR="00025683" w:rsidRDefault="007C2AAB">
      <w:pPr>
        <w:numPr>
          <w:ilvl w:val="0"/>
          <w:numId w:val="188"/>
        </w:numPr>
        <w:ind w:right="200" w:hanging="504"/>
      </w:pPr>
      <w:r>
        <w:t xml:space="preserve">Las demás que le sean encomendadas por el Plenario o la Presidencia.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32. El plenario o asamblea de las Mesas.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64"/>
      </w:pPr>
      <w:r>
        <w:t xml:space="preserve">1. El Plenario o asamblea es el máximo órgano colegiado de decisión y formación de la voluntad </w:t>
      </w:r>
      <w:r>
        <w:t xml:space="preserve">de cada Mesa y estará formado por el/la presidente/a y un número de vocales determinado en función de las particularidades de cada Mesa.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1254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1190" name="Group 43119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430" name="Rectangle 4943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9431" name="Rectangle 4943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432" name="Rectangle 4943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Documento f</w:t>
                              </w:r>
                              <w:r>
                                <w:rPr>
                                  <w:sz w:val="12"/>
                                </w:rPr>
                                <w:t xml:space="preserve">irmado electrónicamente desde la plataforma esPublico Gestiona | Página 331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1190" style="width:18.7031pt;height:264.21pt;position:absolute;mso-position-horizontal-relative:page;mso-position-horizontal:absolute;margin-left:662.928pt;mso-position-vertical-relative:page;margin-top:507.75pt;" coordsize="2375,33554">
                <v:rect id="Rectangle 4943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943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43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331 de 350 </w:t>
                        </w:r>
                      </w:p>
                    </w:txbxContent>
                  </v:textbox>
                </v:rect>
                <w10:wrap type="square"/>
              </v:group>
            </w:pict>
          </mc:Fallback>
        </mc:AlternateContent>
      </w:r>
      <w:r>
        <w:rPr>
          <w:b/>
        </w:rPr>
        <w:t xml:space="preserve"> </w:t>
      </w:r>
    </w:p>
    <w:p w:rsidR="00025683" w:rsidRDefault="007C2AAB">
      <w:pPr>
        <w:spacing w:after="12"/>
        <w:ind w:left="240" w:right="197"/>
      </w:pPr>
      <w:r>
        <w:rPr>
          <w:b/>
        </w:rPr>
        <w:t>Artículo 33. Convocatoria del Plenario y quorum de constitución.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8"/>
      </w:pPr>
      <w:r>
        <w:t>1.El Plenario de las Mesas se reunirá atendiendo a sus especificidades, pero como mínimo, en sesión or</w:t>
      </w:r>
      <w:r>
        <w:t>dinaria, dos veces al año. Podrá, asimismo, reunirse con carácter extraordinario a propuesta de la Presidencia, la concejalía que corresponda o por solicitud de un tercio como mínimo de sus miembros. En el escrito deberá hacerse constar los motivos de la m</w:t>
      </w:r>
      <w:r>
        <w:t xml:space="preserve">isma y los asuntos que se deseen incluir en el orden del día. </w:t>
      </w:r>
    </w:p>
    <w:p w:rsidR="00025683" w:rsidRDefault="007C2AAB">
      <w:pPr>
        <w:spacing w:after="0" w:line="259" w:lineRule="auto"/>
        <w:ind w:left="240" w:firstLine="0"/>
        <w:jc w:val="left"/>
      </w:pPr>
      <w:r>
        <w:t xml:space="preserve"> </w:t>
      </w:r>
    </w:p>
    <w:p w:rsidR="00025683" w:rsidRDefault="007C2AAB">
      <w:pPr>
        <w:ind w:left="240" w:right="60"/>
      </w:pPr>
      <w:r>
        <w:t>2.Las sesiones del Plenario se convocarán, como mínimo, con siete días de antelación, salvo las extraordinarias con carácter urgente que lo serán con dos días. La convocatoria deberá contener</w:t>
      </w:r>
      <w:r>
        <w:t xml:space="preserve"> el orden del día de los asuntos a tratar y la documentación complementaria y en caso de urgencia, se podrán incluir otros asuntos, si así se acuerda por mayoría de sus miembros presentes. Deberá hacerse públicos a través de los medios oficiales del Ayunta</w:t>
      </w:r>
      <w:r>
        <w:t xml:space="preserve">miento, garantizando así la transparencia y el acceso a la información por parte de la ciudadanía. </w:t>
      </w:r>
    </w:p>
    <w:p w:rsidR="00025683" w:rsidRDefault="007C2AAB">
      <w:pPr>
        <w:spacing w:after="0" w:line="259" w:lineRule="auto"/>
        <w:ind w:left="240" w:firstLine="0"/>
        <w:jc w:val="left"/>
      </w:pPr>
      <w:r>
        <w:t xml:space="preserve"> </w:t>
      </w:r>
    </w:p>
    <w:p w:rsidR="00025683" w:rsidRDefault="007C2AAB">
      <w:pPr>
        <w:ind w:left="240" w:right="59"/>
      </w:pPr>
      <w:r>
        <w:t>3.El Plenario quedará válidamente constituido en primera convocatoria con la asistencia de al menos dos tercios de sus miembros, y en segunda convocatoria con la asistencia de los presentes. Será en todo caso imprescindible la asistencia del presidente/a y</w:t>
      </w:r>
      <w:r>
        <w:t xml:space="preserve">/o del Secretario/a.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34. Los acuerdos del Plenario.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numPr>
          <w:ilvl w:val="0"/>
          <w:numId w:val="189"/>
        </w:numPr>
        <w:ind w:right="58"/>
      </w:pPr>
      <w:r>
        <w:t xml:space="preserve">La toma de acuerdos se llevará a cabo por consenso, y en caso de que no fuera posible, las decisiones se adoptarán por mayoría simple de los/as asistentes.  </w:t>
      </w:r>
    </w:p>
    <w:p w:rsidR="00025683" w:rsidRDefault="007C2AAB">
      <w:pPr>
        <w:spacing w:after="0" w:line="259" w:lineRule="auto"/>
        <w:ind w:left="240" w:firstLine="0"/>
        <w:jc w:val="left"/>
      </w:pPr>
      <w:r>
        <w:t xml:space="preserve"> </w:t>
      </w:r>
    </w:p>
    <w:p w:rsidR="00025683" w:rsidRDefault="007C2AAB">
      <w:pPr>
        <w:numPr>
          <w:ilvl w:val="0"/>
          <w:numId w:val="189"/>
        </w:numPr>
        <w:ind w:right="58"/>
      </w:pPr>
      <w:r>
        <w:t>Los acuerdos adoptados por</w:t>
      </w:r>
      <w:r>
        <w:t xml:space="preserve"> las Asambleas de las diferentes Mesas Comunitarias y Sectoriales no tendrán carácter vinculante, sin embargo, cuando las decisiones que se acuerden por parte de la administración municipal se aparten o se opongan a los acuerdos aprobados por estos, deberá</w:t>
      </w:r>
      <w:r>
        <w:t xml:space="preserve">n emitir informe justificando los motivos que fundamentan esa decisión. </w:t>
      </w:r>
    </w:p>
    <w:p w:rsidR="00025683" w:rsidRDefault="007C2AAB">
      <w:pPr>
        <w:spacing w:after="0" w:line="259" w:lineRule="auto"/>
        <w:ind w:left="240" w:firstLine="0"/>
        <w:jc w:val="left"/>
      </w:pPr>
      <w:r>
        <w:t xml:space="preserve"> </w:t>
      </w:r>
    </w:p>
    <w:p w:rsidR="00025683" w:rsidRDefault="007C2AAB">
      <w:pPr>
        <w:numPr>
          <w:ilvl w:val="0"/>
          <w:numId w:val="189"/>
        </w:numPr>
        <w:ind w:right="58"/>
      </w:pPr>
      <w:r>
        <w:t>De cada sesión que se celebre, se levantará un acta por la Secretaría o empleado público en quien delegue, que especificará necesariamente los asistentes, el orden del día de la reu</w:t>
      </w:r>
      <w:r>
        <w:t>nión, las circunstancias del lugar y tiempo en que se hayan celebrado, los puntos principales de las deliberaciones, así como el contenido de los acuerdos adoptados. Una vez aprobadas, las actas se publicarán en el Portal de Transparencia o en la página we</w:t>
      </w:r>
      <w:r>
        <w:t xml:space="preserve">b municipal, con el fin de garantizar el acceso público a la información y reforzar la transparencia del funcionamiento del Plenario.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35. Las Comisiones de Trabajo.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ind w:left="240" w:right="56"/>
      </w:pPr>
      <w:r>
        <w:t>El Plenario de las diferentes Mesas podrá crear Comisiones de Trabajo con la forma de organización y funcionamiento que se estimen oportunas pudiendo participar en ellas Instituciones, Entidades o personas distintas de las representadas en el Pleno. Se pod</w:t>
      </w:r>
      <w:r>
        <w:t xml:space="preserve">rán crear de forma permanente o temporal. Su organización, duración y mandato vendrá especificado por resolución del órgano que la convoque.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36. El Consejo Municipal de Participación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8"/>
      </w:pPr>
      <w:r>
        <w:rPr>
          <w:rFonts w:ascii="Calibri" w:eastAsia="Calibri" w:hAnsi="Calibri" w:cs="Calibri"/>
          <w:noProof/>
        </w:rPr>
        <mc:AlternateContent>
          <mc:Choice Requires="wpg">
            <w:drawing>
              <wp:anchor distT="0" distB="0" distL="114300" distR="114300" simplePos="0" relativeHeight="25201356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1442" name="Group 4314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555" name="Rectangle 4955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9556" name="Rectangle 4955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557" name="Rectangle 4955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332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1442" style="width:18.7031pt;height:264.21pt;position:absolute;mso-position-horizontal-relative:page;mso-position-horizontal:absolute;margin-left:662.928pt;mso-position-vertical-relative:page;margin-top:507.75pt;" coordsize="2375,33554">
                <v:rect id="Rectangle 4955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955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55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332 de 350 </w:t>
                        </w:r>
                      </w:p>
                    </w:txbxContent>
                  </v:textbox>
                </v:rect>
                <w10:wrap type="square"/>
              </v:group>
            </w:pict>
          </mc:Fallback>
        </mc:AlternateContent>
      </w:r>
      <w:r>
        <w:t>1.El Consejo de Participación Ciudadana es un órgano consultivo, de estudio, asesoramiento, propuesta y se</w:t>
      </w:r>
      <w:r>
        <w:t>guimiento de la gestión municipal, donde se fomenta la participación directa de la ciudadanía en los asuntos públicos locales. En él podrán integrarse entidades ciudadanas, colectivos sociales y vecinos y vecinas a título individual, junto con representant</w:t>
      </w:r>
      <w:r>
        <w:t xml:space="preserve">es municipales y técnicos, conforme se determine reglamentariamente. </w:t>
      </w:r>
    </w:p>
    <w:p w:rsidR="00025683" w:rsidRDefault="007C2AAB">
      <w:pPr>
        <w:spacing w:after="0" w:line="259" w:lineRule="auto"/>
        <w:ind w:left="240" w:firstLine="0"/>
        <w:jc w:val="left"/>
      </w:pPr>
      <w:r>
        <w:t xml:space="preserve"> </w:t>
      </w:r>
    </w:p>
    <w:p w:rsidR="00025683" w:rsidRDefault="007C2AAB">
      <w:pPr>
        <w:numPr>
          <w:ilvl w:val="0"/>
          <w:numId w:val="190"/>
        </w:numPr>
      </w:pPr>
      <w:r>
        <w:t xml:space="preserve">Su creación tendrá carácter potestativo y, en su caso, se regulará mediante su propio reglamento de organización y funcionamiento. </w:t>
      </w:r>
    </w:p>
    <w:p w:rsidR="00025683" w:rsidRDefault="007C2AAB">
      <w:pPr>
        <w:spacing w:after="0" w:line="259" w:lineRule="auto"/>
        <w:ind w:left="240" w:firstLine="0"/>
        <w:jc w:val="left"/>
      </w:pPr>
      <w:r>
        <w:t xml:space="preserve"> </w:t>
      </w:r>
    </w:p>
    <w:p w:rsidR="00025683" w:rsidRDefault="007C2AAB">
      <w:pPr>
        <w:numPr>
          <w:ilvl w:val="0"/>
          <w:numId w:val="190"/>
        </w:numPr>
      </w:pPr>
      <w:r>
        <w:t>El Consejo estará presidido por un miembro de la C</w:t>
      </w:r>
      <w:r>
        <w:t xml:space="preserve">orporación, designado por la Alcaldía, que actuará como enlace entre el Consejo y el Ayuntamiento. </w:t>
      </w:r>
    </w:p>
    <w:p w:rsidR="00025683" w:rsidRDefault="007C2AAB">
      <w:pPr>
        <w:ind w:left="240" w:right="200"/>
      </w:pPr>
      <w:r>
        <w:t xml:space="preserve">Sus funciones serán: </w:t>
      </w:r>
    </w:p>
    <w:p w:rsidR="00025683" w:rsidRDefault="007C2AAB">
      <w:pPr>
        <w:spacing w:after="0" w:line="259" w:lineRule="auto"/>
        <w:ind w:left="240" w:firstLine="0"/>
        <w:jc w:val="left"/>
      </w:pPr>
      <w:r>
        <w:t xml:space="preserve"> </w:t>
      </w:r>
    </w:p>
    <w:p w:rsidR="00025683" w:rsidRDefault="007C2AAB">
      <w:pPr>
        <w:numPr>
          <w:ilvl w:val="0"/>
          <w:numId w:val="191"/>
        </w:numPr>
        <w:ind w:right="200"/>
      </w:pPr>
      <w:r>
        <w:t xml:space="preserve">Estudiar y evaluar los problemas que afectan al municipio, especialmente en materias sociales, educativas y culturales. </w:t>
      </w:r>
    </w:p>
    <w:p w:rsidR="00025683" w:rsidRDefault="007C2AAB">
      <w:pPr>
        <w:spacing w:after="0" w:line="259" w:lineRule="auto"/>
        <w:ind w:left="240" w:firstLine="0"/>
        <w:jc w:val="left"/>
      </w:pPr>
      <w:r>
        <w:t xml:space="preserve"> </w:t>
      </w:r>
    </w:p>
    <w:p w:rsidR="00025683" w:rsidRDefault="007C2AAB">
      <w:pPr>
        <w:numPr>
          <w:ilvl w:val="0"/>
          <w:numId w:val="191"/>
        </w:numPr>
        <w:ind w:right="200"/>
      </w:pPr>
      <w:r>
        <w:t xml:space="preserve">Formular </w:t>
      </w:r>
      <w:r>
        <w:t xml:space="preserve">propuestas a los órganos competentes del Ayuntamiento. </w:t>
      </w:r>
    </w:p>
    <w:p w:rsidR="00025683" w:rsidRDefault="007C2AAB">
      <w:pPr>
        <w:spacing w:after="0" w:line="259" w:lineRule="auto"/>
        <w:ind w:left="240" w:firstLine="0"/>
        <w:jc w:val="left"/>
      </w:pPr>
      <w:r>
        <w:t xml:space="preserve"> </w:t>
      </w:r>
    </w:p>
    <w:p w:rsidR="00025683" w:rsidRDefault="007C2AAB">
      <w:pPr>
        <w:numPr>
          <w:ilvl w:val="0"/>
          <w:numId w:val="191"/>
        </w:numPr>
        <w:ind w:right="200"/>
      </w:pPr>
      <w:r>
        <w:t xml:space="preserve">Informar sobre asuntos de su ámbito de actuación. </w:t>
      </w:r>
    </w:p>
    <w:p w:rsidR="00025683" w:rsidRDefault="007C2AAB">
      <w:pPr>
        <w:spacing w:after="0" w:line="259" w:lineRule="auto"/>
        <w:ind w:left="240" w:firstLine="0"/>
        <w:jc w:val="left"/>
      </w:pPr>
      <w:r>
        <w:t xml:space="preserve"> </w:t>
      </w:r>
    </w:p>
    <w:p w:rsidR="00025683" w:rsidRDefault="007C2AAB">
      <w:pPr>
        <w:numPr>
          <w:ilvl w:val="0"/>
          <w:numId w:val="191"/>
        </w:numPr>
        <w:ind w:right="200"/>
      </w:pPr>
      <w:r>
        <w:t xml:space="preserve">Participar en actividades municipales organizadas por la Corporación. </w:t>
      </w:r>
    </w:p>
    <w:p w:rsidR="00025683" w:rsidRDefault="007C2AAB">
      <w:pPr>
        <w:spacing w:after="0" w:line="259" w:lineRule="auto"/>
        <w:ind w:left="240" w:firstLine="0"/>
        <w:jc w:val="left"/>
      </w:pPr>
      <w:r>
        <w:t xml:space="preserve"> </w:t>
      </w:r>
    </w:p>
    <w:p w:rsidR="00025683" w:rsidRDefault="007C2AAB">
      <w:pPr>
        <w:numPr>
          <w:ilvl w:val="0"/>
          <w:numId w:val="191"/>
        </w:numPr>
        <w:ind w:right="200"/>
      </w:pPr>
      <w:r>
        <w:t xml:space="preserve">Contribuir al desarrollo y ejecución del Plan Estratégico Municipal.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SECCIÓN II. LAS MESAS COMUNITARIAS.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37. Definición.</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6"/>
      </w:pPr>
      <w:r>
        <w:t>1.Las Mesas Comunitarias son órganos de participación, espacios estables de encuentro, diálogo y colaboración entre la ciudadanía, las entidades sociales y el Ayuntamiento, orientados a ana</w:t>
      </w:r>
      <w:r>
        <w:t xml:space="preserve">lizar las necesidades del municipio, formular propuestas y contribuir a la mejora de la gestión pública local. </w:t>
      </w:r>
    </w:p>
    <w:p w:rsidR="00025683" w:rsidRDefault="007C2AAB">
      <w:pPr>
        <w:spacing w:after="0" w:line="259" w:lineRule="auto"/>
        <w:ind w:left="240" w:firstLine="0"/>
        <w:jc w:val="left"/>
      </w:pPr>
      <w:r>
        <w:t xml:space="preserve"> </w:t>
      </w:r>
    </w:p>
    <w:p w:rsidR="00025683" w:rsidRDefault="007C2AAB">
      <w:pPr>
        <w:ind w:left="240"/>
      </w:pPr>
      <w:r>
        <w:t xml:space="preserve">2.Están formadas por vecinos y vecinas a título individual, representantes de asociaciones, colectivos sin formalizar, técnicos y técnicas del Ayuntamiento y concejales y concejalas de la zona.  </w:t>
      </w:r>
    </w:p>
    <w:p w:rsidR="00025683" w:rsidRDefault="007C2AAB">
      <w:pPr>
        <w:spacing w:after="0" w:line="259" w:lineRule="auto"/>
        <w:ind w:left="240" w:firstLine="0"/>
        <w:jc w:val="left"/>
      </w:pPr>
      <w:r>
        <w:t xml:space="preserve"> </w:t>
      </w:r>
    </w:p>
    <w:p w:rsidR="00025683" w:rsidRDefault="007C2AAB">
      <w:pPr>
        <w:ind w:left="240"/>
      </w:pPr>
      <w:r>
        <w:t>3.Debido a la realidad de cada zona del municipio se han c</w:t>
      </w:r>
      <w:r>
        <w:t xml:space="preserve">reado siete Mesas Comunitarias: </w:t>
      </w:r>
    </w:p>
    <w:p w:rsidR="00025683" w:rsidRDefault="007C2AAB">
      <w:pPr>
        <w:ind w:left="240" w:right="58"/>
      </w:pPr>
      <w:r>
        <w:t>Barranco Hondo, Igueste, Las Caletillas, Punta Larga, Candelaria casco, Playa La Viuda y ArayaLas Cuevecitas-Malpaís, pero el Ayuntamiento podrá decidir la creación de nuevas mesas cuando así se considere necesario.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0" w:line="259" w:lineRule="auto"/>
        <w:ind w:left="240" w:firstLine="0"/>
        <w:jc w:val="left"/>
      </w:pPr>
      <w:r>
        <w:rPr>
          <w:b/>
          <w:color w:val="FF0000"/>
        </w:rPr>
        <w:t xml:space="preserve"> </w:t>
      </w:r>
    </w:p>
    <w:p w:rsidR="00025683" w:rsidRDefault="007C2AAB">
      <w:pPr>
        <w:spacing w:after="12"/>
        <w:ind w:left="240" w:right="197"/>
      </w:pPr>
      <w:r>
        <w:rPr>
          <w:b/>
        </w:rPr>
        <w:t>Ar</w:t>
      </w:r>
      <w:r>
        <w:rPr>
          <w:b/>
        </w:rPr>
        <w:t>tículo 38. Funciones de las Mesas Comunitarias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pPr>
      <w:r>
        <w:t xml:space="preserve">1.Las funciones serán de informe, estudio y propuesta, en materias que tengan que ver con su ámbito territorial, enumerándose con carácter enunciativo, las siguientes: </w:t>
      </w:r>
    </w:p>
    <w:p w:rsidR="00025683" w:rsidRDefault="007C2AAB">
      <w:pPr>
        <w:spacing w:after="0" w:line="259" w:lineRule="auto"/>
        <w:ind w:left="240" w:firstLine="0"/>
        <w:jc w:val="left"/>
      </w:pPr>
      <w:r>
        <w:t xml:space="preserve"> </w:t>
      </w:r>
    </w:p>
    <w:p w:rsidR="00025683" w:rsidRDefault="007C2AAB">
      <w:pPr>
        <w:numPr>
          <w:ilvl w:val="0"/>
          <w:numId w:val="192"/>
        </w:numPr>
      </w:pPr>
      <w:r>
        <w:rPr>
          <w:rFonts w:ascii="Calibri" w:eastAsia="Calibri" w:hAnsi="Calibri" w:cs="Calibri"/>
          <w:noProof/>
        </w:rPr>
        <mc:AlternateContent>
          <mc:Choice Requires="wpg">
            <w:drawing>
              <wp:anchor distT="0" distB="0" distL="114300" distR="114300" simplePos="0" relativeHeight="25201459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1969" name="Group 4319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675" name="Rectangle 4967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9676" name="Rectangle 4967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677" name="Rectangle 4967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333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1969" style="width:18.7031pt;height:264.21pt;position:absolute;mso-position-horizontal-relative:page;mso-position-horizontal:absolute;margin-left:662.928pt;mso-position-vertical-relative:page;margin-top:507.75pt;" coordsize="2375,33554">
                <v:rect id="Rectangle 4967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967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67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333 de 350 </w:t>
                        </w:r>
                      </w:p>
                    </w:txbxContent>
                  </v:textbox>
                </v:rect>
                <w10:wrap type="square"/>
              </v:group>
            </w:pict>
          </mc:Fallback>
        </mc:AlternateContent>
      </w:r>
      <w:r>
        <w:t>Estudiar y evaluar los problemas y necesidades que afectan a</w:t>
      </w:r>
      <w:r>
        <w:t xml:space="preserve">l municipio en sus distintos ámbitos territoriales o sectoriales. </w:t>
      </w:r>
    </w:p>
    <w:p w:rsidR="00025683" w:rsidRDefault="007C2AAB">
      <w:pPr>
        <w:spacing w:after="0" w:line="259" w:lineRule="auto"/>
        <w:ind w:left="240" w:firstLine="0"/>
        <w:jc w:val="left"/>
      </w:pPr>
      <w:r>
        <w:t xml:space="preserve"> </w:t>
      </w:r>
    </w:p>
    <w:p w:rsidR="00025683" w:rsidRDefault="007C2AAB">
      <w:pPr>
        <w:numPr>
          <w:ilvl w:val="0"/>
          <w:numId w:val="192"/>
        </w:numPr>
      </w:pPr>
      <w:r>
        <w:t xml:space="preserve">Formular y elevar propuestas a los órganos competentes del Ayuntamiento, así como realizar el seguimiento de su gestión y grado de ejecución. </w:t>
      </w:r>
    </w:p>
    <w:p w:rsidR="00025683" w:rsidRDefault="007C2AAB">
      <w:pPr>
        <w:spacing w:after="0" w:line="259" w:lineRule="auto"/>
        <w:ind w:left="240" w:firstLine="0"/>
        <w:jc w:val="left"/>
      </w:pPr>
      <w:r>
        <w:t xml:space="preserve"> </w:t>
      </w:r>
    </w:p>
    <w:p w:rsidR="00025683" w:rsidRDefault="007C2AAB">
      <w:pPr>
        <w:numPr>
          <w:ilvl w:val="0"/>
          <w:numId w:val="192"/>
        </w:numPr>
      </w:pPr>
      <w:r>
        <w:t>Promover y participar en actividades munic</w:t>
      </w:r>
      <w:r>
        <w:t xml:space="preserve">ipales de carácter comunitario. </w:t>
      </w:r>
    </w:p>
    <w:p w:rsidR="00025683" w:rsidRDefault="007C2AAB">
      <w:pPr>
        <w:spacing w:after="0" w:line="259" w:lineRule="auto"/>
        <w:ind w:left="240" w:firstLine="0"/>
        <w:jc w:val="left"/>
      </w:pPr>
      <w:r>
        <w:t xml:space="preserve"> </w:t>
      </w:r>
    </w:p>
    <w:p w:rsidR="00025683" w:rsidRDefault="007C2AAB">
      <w:pPr>
        <w:numPr>
          <w:ilvl w:val="0"/>
          <w:numId w:val="192"/>
        </w:numPr>
      </w:pPr>
      <w:r>
        <w:t xml:space="preserve">Debatir los planes, programas y actuaciones concretas de su ámbito sometidos a consideración por el Ayuntamiento, y hacer aportaciones al respecto. </w:t>
      </w:r>
    </w:p>
    <w:p w:rsidR="00025683" w:rsidRDefault="007C2AAB">
      <w:pPr>
        <w:spacing w:after="0" w:line="259" w:lineRule="auto"/>
        <w:ind w:left="240" w:firstLine="0"/>
        <w:jc w:val="left"/>
      </w:pPr>
      <w:r>
        <w:t xml:space="preserve"> </w:t>
      </w:r>
    </w:p>
    <w:p w:rsidR="00025683" w:rsidRDefault="007C2AAB">
      <w:pPr>
        <w:numPr>
          <w:ilvl w:val="0"/>
          <w:numId w:val="192"/>
        </w:numPr>
      </w:pPr>
      <w:r>
        <w:t>Favorecer la coordinación y cooperación entre las entidades ciudadanas</w:t>
      </w:r>
      <w:r>
        <w:t xml:space="preserve"> del municipio. </w:t>
      </w:r>
    </w:p>
    <w:p w:rsidR="00025683" w:rsidRDefault="007C2AAB">
      <w:pPr>
        <w:numPr>
          <w:ilvl w:val="0"/>
          <w:numId w:val="192"/>
        </w:numPr>
      </w:pPr>
      <w:r>
        <w:t xml:space="preserve">Impulsar la participación y la corresponsabilidad ciudadana en la mejora del entorno y la convi-vencia.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SECCIÓN III. MESAS SECTORIALES.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39.- Definición.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8"/>
      </w:pPr>
      <w:r>
        <w:t xml:space="preserve">1.Las Mesas Sectoriales son órganos de participación ciudadana con funciones de información, debate, consulta y, en su caso, propuesta sobre los asuntos relacionados con los distintos sectores de actuación en los que el Ayuntamiento tiene competencia.  </w:t>
      </w:r>
    </w:p>
    <w:p w:rsidR="00025683" w:rsidRDefault="007C2AAB">
      <w:pPr>
        <w:spacing w:after="0" w:line="259" w:lineRule="auto"/>
        <w:ind w:left="240" w:firstLine="0"/>
        <w:jc w:val="left"/>
      </w:pPr>
      <w:r>
        <w:t xml:space="preserve"> </w:t>
      </w:r>
    </w:p>
    <w:p w:rsidR="00025683" w:rsidRDefault="007C2AAB">
      <w:pPr>
        <w:spacing w:after="3" w:line="238" w:lineRule="auto"/>
        <w:ind w:left="250" w:hanging="10"/>
        <w:jc w:val="left"/>
      </w:pPr>
      <w:r>
        <w:t xml:space="preserve">2.Las Mesas Sectoriales que se creen se organizarán conforme a lo previsto en el presente reglamento, sin perjuicio de que puedan desarrollar su normativa específica de funcionamiento interno, que se aprobará mediante acuerdo plenario.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40- </w:t>
      </w:r>
      <w:r>
        <w:rPr>
          <w:b/>
        </w:rPr>
        <w:t xml:space="preserve">Funciones de las Mesas Sectoriales.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200"/>
      </w:pPr>
      <w:r>
        <w:t xml:space="preserve">Son funciones concretas de las Mesas como órganos consultivos: </w:t>
      </w:r>
    </w:p>
    <w:p w:rsidR="00025683" w:rsidRDefault="007C2AAB">
      <w:pPr>
        <w:spacing w:after="0" w:line="259" w:lineRule="auto"/>
        <w:ind w:left="240" w:firstLine="0"/>
        <w:jc w:val="left"/>
      </w:pPr>
      <w:r>
        <w:t xml:space="preserve"> </w:t>
      </w:r>
    </w:p>
    <w:p w:rsidR="00025683" w:rsidRDefault="007C2AAB">
      <w:pPr>
        <w:numPr>
          <w:ilvl w:val="0"/>
          <w:numId w:val="193"/>
        </w:numPr>
        <w:ind w:right="57"/>
      </w:pPr>
      <w:r>
        <w:t>Conocimiento, en su caso, del plan de actuación del área correspondiente, así como el segui-miento y evaluación de los programas de cada uno de los se</w:t>
      </w:r>
      <w:r>
        <w:t xml:space="preserve">ctores de actuación. </w:t>
      </w:r>
    </w:p>
    <w:p w:rsidR="00025683" w:rsidRDefault="007C2AAB">
      <w:pPr>
        <w:spacing w:after="0" w:line="259" w:lineRule="auto"/>
        <w:ind w:left="240" w:firstLine="0"/>
        <w:jc w:val="left"/>
      </w:pPr>
      <w:r>
        <w:t xml:space="preserve"> </w:t>
      </w:r>
    </w:p>
    <w:p w:rsidR="00025683" w:rsidRDefault="007C2AAB">
      <w:pPr>
        <w:numPr>
          <w:ilvl w:val="0"/>
          <w:numId w:val="193"/>
        </w:numPr>
        <w:ind w:right="57"/>
      </w:pPr>
      <w:r>
        <w:t>Proponer soluciones alternativas a los problemas concretos del sector, siendo preceptiva su consideración por el órgano decisorio competente del Ayuntamiento.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numPr>
          <w:ilvl w:val="0"/>
          <w:numId w:val="193"/>
        </w:numPr>
        <w:ind w:right="57"/>
      </w:pPr>
      <w:r>
        <w:t>Elaborar propuestas propias de su ámbito, para someterlas mediante los</w:t>
      </w:r>
      <w:r>
        <w:t xml:space="preserve"> cauces que se determinen a la concejalía responsable de su área de actuación para elevarla a la Junta de Gobierno valorando su aprobación. </w:t>
      </w:r>
    </w:p>
    <w:p w:rsidR="00025683" w:rsidRDefault="007C2AAB">
      <w:pPr>
        <w:spacing w:after="0" w:line="259" w:lineRule="auto"/>
        <w:ind w:left="240" w:firstLine="0"/>
        <w:jc w:val="left"/>
      </w:pPr>
      <w:r>
        <w:t xml:space="preserve"> </w:t>
      </w:r>
    </w:p>
    <w:p w:rsidR="00025683" w:rsidRDefault="007C2AAB">
      <w:pPr>
        <w:numPr>
          <w:ilvl w:val="0"/>
          <w:numId w:val="193"/>
        </w:numPr>
        <w:ind w:right="57"/>
      </w:pPr>
      <w:r>
        <w:t xml:space="preserve">Fomentar la protección y la promoción de la calidad de vida de los sectores implicados.  </w:t>
      </w:r>
    </w:p>
    <w:p w:rsidR="00025683" w:rsidRDefault="007C2AAB">
      <w:pPr>
        <w:spacing w:after="0" w:line="259" w:lineRule="auto"/>
        <w:ind w:left="240" w:firstLine="0"/>
        <w:jc w:val="left"/>
      </w:pPr>
      <w:r>
        <w:t xml:space="preserve"> </w:t>
      </w:r>
    </w:p>
    <w:p w:rsidR="00025683" w:rsidRDefault="007C2AAB">
      <w:pPr>
        <w:numPr>
          <w:ilvl w:val="0"/>
          <w:numId w:val="193"/>
        </w:numPr>
        <w:ind w:right="57"/>
      </w:pPr>
      <w:r>
        <w:t>Promover proyectos in</w:t>
      </w:r>
      <w:r>
        <w:t xml:space="preserve">tersectoriales que vinculen la cultura, el deporte y el comercio como motores de cohesión social y dinamización comunitaria, fomentando la colaboración entre colectivos culturales, artísticos, sociales, educativos, deportivos y el tejido económico local. </w:t>
      </w:r>
    </w:p>
    <w:p w:rsidR="00025683" w:rsidRDefault="007C2AAB">
      <w:pPr>
        <w:spacing w:after="0" w:line="259" w:lineRule="auto"/>
        <w:ind w:left="240" w:firstLine="0"/>
        <w:jc w:val="left"/>
      </w:pPr>
      <w:r>
        <w:t xml:space="preserve"> </w:t>
      </w:r>
    </w:p>
    <w:p w:rsidR="00025683" w:rsidRDefault="007C2AAB">
      <w:pPr>
        <w:numPr>
          <w:ilvl w:val="0"/>
          <w:numId w:val="193"/>
        </w:numPr>
        <w:ind w:right="57"/>
      </w:pPr>
      <w:r>
        <w:rPr>
          <w:rFonts w:ascii="Calibri" w:eastAsia="Calibri" w:hAnsi="Calibri" w:cs="Calibri"/>
          <w:noProof/>
        </w:rPr>
        <mc:AlternateContent>
          <mc:Choice Requires="wpg">
            <w:drawing>
              <wp:anchor distT="0" distB="0" distL="114300" distR="114300" simplePos="0" relativeHeight="25201561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1766" name="Group 43176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796" name="Rectangle 4979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9797" name="Rectangle 4979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798" name="Rectangle 4979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334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1766" style="width:18.7031pt;height:264.21pt;position:absolute;mso-position-horizontal-relative:page;mso-position-horizontal:absolute;margin-left:662.928pt;mso-position-vertical-relative:page;margin-top:507.75pt;" coordsize="2375,33554">
                <v:rect id="Rectangle 4979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979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79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334 de 350 </w:t>
                        </w:r>
                      </w:p>
                    </w:txbxContent>
                  </v:textbox>
                </v:rect>
                <w10:wrap type="square"/>
              </v:group>
            </w:pict>
          </mc:Fallback>
        </mc:AlternateContent>
      </w:r>
      <w:r>
        <w:t xml:space="preserve">Seguimiento en el cumplimiento de los acuerdos adoptados por el Ayuntamiento sobre sus propuestas. </w:t>
      </w:r>
    </w:p>
    <w:p w:rsidR="00025683" w:rsidRDefault="007C2AAB">
      <w:pPr>
        <w:spacing w:after="0" w:line="259" w:lineRule="auto"/>
        <w:ind w:left="240" w:firstLine="0"/>
        <w:jc w:val="left"/>
      </w:pPr>
      <w:r>
        <w:t xml:space="preserve"> </w:t>
      </w:r>
    </w:p>
    <w:p w:rsidR="00025683" w:rsidRDefault="007C2AAB">
      <w:pPr>
        <w:numPr>
          <w:ilvl w:val="0"/>
          <w:numId w:val="193"/>
        </w:numPr>
        <w:ind w:right="57"/>
      </w:pPr>
      <w:r>
        <w:t xml:space="preserve">Emisión de informes previos a requerimiento de los órganos municipales correspondientes.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41. Composición de las Mesas Sectoriales.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200"/>
      </w:pPr>
      <w:r>
        <w:t>La co</w:t>
      </w:r>
      <w:r>
        <w:t xml:space="preserve">mposición de cada una de las Mesas Sectoriales será la siguiente: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t xml:space="preserve"> </w:t>
      </w:r>
    </w:p>
    <w:p w:rsidR="00025683" w:rsidRDefault="007C2AAB">
      <w:pPr>
        <w:numPr>
          <w:ilvl w:val="0"/>
          <w:numId w:val="194"/>
        </w:numPr>
        <w:ind w:right="200"/>
      </w:pPr>
      <w:r>
        <w:t xml:space="preserve">El Concejal del área, tema o actividad de que se trate. </w:t>
      </w:r>
    </w:p>
    <w:p w:rsidR="00025683" w:rsidRDefault="007C2AAB">
      <w:pPr>
        <w:spacing w:after="0" w:line="259" w:lineRule="auto"/>
        <w:ind w:left="240" w:firstLine="0"/>
        <w:jc w:val="left"/>
      </w:pPr>
      <w:r>
        <w:t xml:space="preserve"> </w:t>
      </w:r>
    </w:p>
    <w:p w:rsidR="00025683" w:rsidRDefault="007C2AAB">
      <w:pPr>
        <w:numPr>
          <w:ilvl w:val="0"/>
          <w:numId w:val="194"/>
        </w:numPr>
        <w:ind w:right="200"/>
      </w:pPr>
      <w:r>
        <w:t xml:space="preserve">Personal municipal técnico del área en cuestión. </w:t>
      </w:r>
    </w:p>
    <w:p w:rsidR="00025683" w:rsidRDefault="007C2AAB">
      <w:pPr>
        <w:spacing w:after="0" w:line="259" w:lineRule="auto"/>
        <w:ind w:left="240" w:firstLine="0"/>
        <w:jc w:val="left"/>
      </w:pPr>
      <w:r>
        <w:t xml:space="preserve"> </w:t>
      </w:r>
    </w:p>
    <w:p w:rsidR="00025683" w:rsidRDefault="007C2AAB">
      <w:pPr>
        <w:numPr>
          <w:ilvl w:val="0"/>
          <w:numId w:val="194"/>
        </w:numPr>
        <w:ind w:right="200"/>
      </w:pPr>
      <w:r>
        <w:t xml:space="preserve">Representantes de cada una de las asociaciones y/o entidades cuyo objeto sea la defensa de los intereses sectoriales a que se refiera la respectiva Mesa Sectorial. </w:t>
      </w:r>
    </w:p>
    <w:p w:rsidR="00025683" w:rsidRDefault="007C2AAB">
      <w:pPr>
        <w:spacing w:after="0" w:line="259" w:lineRule="auto"/>
        <w:ind w:left="240" w:firstLine="0"/>
        <w:jc w:val="left"/>
      </w:pPr>
      <w:r>
        <w:t xml:space="preserve"> </w:t>
      </w:r>
    </w:p>
    <w:p w:rsidR="00025683" w:rsidRDefault="007C2AAB">
      <w:pPr>
        <w:ind w:left="240" w:right="59"/>
      </w:pPr>
      <w:r>
        <w:t>Podrán participar con voz, pero sin voto, representantes de sectores, entidades o personas, que, por su cualificación, se estimen necesarias para ayudar a aclarar temas específicos y para mejor tratamiento del tema. Asimismo, cuando el tema a tratar así lo</w:t>
      </w:r>
      <w:r>
        <w:t xml:space="preserve"> recomiende, se podrá contar con el asesoramiento técnico del personal municipal, con carácter exclusivamente informativo, sin derecho a voto.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TÍTULO IV. CULTURA PARTICIPATIVA, ASOCIACIONISMO Y VOLUNTARIADO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42. Medidas para fomentar la parti</w:t>
      </w:r>
      <w:r>
        <w:rPr>
          <w:b/>
        </w:rPr>
        <w:t>cipación ciudadana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7"/>
      </w:pPr>
      <w:r>
        <w:t>El Ayuntamiento promoverá acciones que ayuden a construir una cultura participativa en el municipio, fomentando una ciudadanía activa, informada y comprometida. Estas medidas estarán dirigidas tanto a la ciudadanía en general como a a</w:t>
      </w:r>
      <w:r>
        <w:t xml:space="preserve">sociaciones, centros educativos y personal técnico municipal. Entre ellas se incluyen: </w:t>
      </w:r>
    </w:p>
    <w:p w:rsidR="00025683" w:rsidRDefault="007C2AAB">
      <w:pPr>
        <w:spacing w:after="0" w:line="259" w:lineRule="auto"/>
        <w:ind w:left="240" w:firstLine="0"/>
        <w:jc w:val="left"/>
      </w:pPr>
      <w:r>
        <w:t xml:space="preserve"> </w:t>
      </w:r>
    </w:p>
    <w:p w:rsidR="00025683" w:rsidRDefault="007C2AAB">
      <w:pPr>
        <w:numPr>
          <w:ilvl w:val="0"/>
          <w:numId w:val="195"/>
        </w:numPr>
        <w:ind w:right="60"/>
      </w:pPr>
      <w:r>
        <w:t>Formación para la ciudadanía: a través de programas como escuelas de colectivos, presenciales y digitales, donde se ofrezca formación sobre derechos de participación,</w:t>
      </w:r>
      <w:r>
        <w:t xml:space="preserve"> funcionamiento de las asociaciones o acceso a recursos públicos, procurando que los contenidos formativos respondan a las necesidades reales del tejido asociativo y a las demandas expresadas por la propia ciudadanía.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numPr>
          <w:ilvl w:val="0"/>
          <w:numId w:val="195"/>
        </w:numPr>
        <w:ind w:right="60"/>
      </w:pPr>
      <w:r>
        <w:t>Formación para el personal municipa</w:t>
      </w:r>
      <w:r>
        <w:t xml:space="preserve">l: con el objetivo de mejorar su capacidad para facilitar procesos participativos, usar metodologías innovadoras y promover una administración más cercana y colaborativa. </w:t>
      </w:r>
    </w:p>
    <w:p w:rsidR="00025683" w:rsidRDefault="007C2AAB">
      <w:pPr>
        <w:spacing w:after="0" w:line="259" w:lineRule="auto"/>
        <w:ind w:left="240" w:firstLine="0"/>
        <w:jc w:val="left"/>
      </w:pPr>
      <w:r>
        <w:t xml:space="preserve"> </w:t>
      </w:r>
    </w:p>
    <w:p w:rsidR="00025683" w:rsidRDefault="007C2AAB">
      <w:pPr>
        <w:numPr>
          <w:ilvl w:val="0"/>
          <w:numId w:val="195"/>
        </w:numPr>
        <w:ind w:right="60"/>
      </w:pPr>
      <w:r>
        <w:t>Educación en participación desde la infancia: desarrollando acciones en los centro</w:t>
      </w:r>
      <w:r>
        <w:t xml:space="preserve">s educativos para fomentar desde edades tempranas valores como la participación, la corresponsabilidad y el pensamiento crítico. </w:t>
      </w:r>
    </w:p>
    <w:p w:rsidR="00025683" w:rsidRDefault="007C2AAB">
      <w:pPr>
        <w:spacing w:after="0" w:line="259" w:lineRule="auto"/>
        <w:ind w:left="240" w:firstLine="0"/>
        <w:jc w:val="left"/>
      </w:pPr>
      <w:r>
        <w:t xml:space="preserve"> </w:t>
      </w:r>
    </w:p>
    <w:p w:rsidR="00025683" w:rsidRDefault="007C2AAB">
      <w:pPr>
        <w:numPr>
          <w:ilvl w:val="0"/>
          <w:numId w:val="195"/>
        </w:numPr>
        <w:ind w:right="60"/>
      </w:pPr>
      <w:r>
        <w:rPr>
          <w:rFonts w:ascii="Calibri" w:eastAsia="Calibri" w:hAnsi="Calibri" w:cs="Calibri"/>
          <w:noProof/>
        </w:rPr>
        <mc:AlternateContent>
          <mc:Choice Requires="wpg">
            <w:drawing>
              <wp:anchor distT="0" distB="0" distL="114300" distR="114300" simplePos="0" relativeHeight="25201664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3359" name="Group 4333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49908" name="Rectangle 4990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49909" name="Rectangle 4990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49910" name="Rectangle 4991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335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3359" style="width:18.7031pt;height:264.21pt;position:absolute;mso-position-horizontal-relative:page;mso-position-horizontal:absolute;margin-left:662.928pt;mso-position-vertical-relative:page;margin-top:507.75pt;" coordsize="2375,33554">
                <v:rect id="Rectangle 4990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4990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4991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335 de 350 </w:t>
                        </w:r>
                      </w:p>
                    </w:txbxContent>
                  </v:textbox>
                </v:rect>
                <w10:wrap type="square"/>
              </v:group>
            </w:pict>
          </mc:Fallback>
        </mc:AlternateContent>
      </w:r>
      <w:r>
        <w:t>Campañas de sensibilización y comunicación: para aumentar la conciencia sobre la participación ciudadana, utilizando medios tradicionales y digitales, la web mun</w:t>
      </w:r>
      <w:r>
        <w:t xml:space="preserve">icipal y otros canales públicos, difundiendo de forma visible los resultados y logros alcanzados mediante la participación ciudadana para reforzar el sentido de utilidad y reconocimiento de las aportaciones vecinales. </w:t>
      </w:r>
    </w:p>
    <w:p w:rsidR="00025683" w:rsidRDefault="007C2AAB">
      <w:pPr>
        <w:spacing w:after="0" w:line="259" w:lineRule="auto"/>
        <w:ind w:left="240" w:firstLine="0"/>
        <w:jc w:val="left"/>
      </w:pPr>
      <w:r>
        <w:t xml:space="preserve"> </w:t>
      </w:r>
    </w:p>
    <w:p w:rsidR="00025683" w:rsidRDefault="007C2AAB">
      <w:pPr>
        <w:numPr>
          <w:ilvl w:val="0"/>
          <w:numId w:val="195"/>
        </w:numPr>
        <w:ind w:right="60"/>
      </w:pPr>
      <w:r>
        <w:t>Planes estratégicos y buenas prácti</w:t>
      </w:r>
      <w:r>
        <w:t xml:space="preserve">cas: elaborando herramientas que ayuden a incorporar la participación ciudadana en la gestión municipal y promuevan una ciudadanía activa y responsable. </w:t>
      </w:r>
    </w:p>
    <w:p w:rsidR="00025683" w:rsidRDefault="007C2AAB">
      <w:pPr>
        <w:spacing w:after="0" w:line="259" w:lineRule="auto"/>
        <w:ind w:left="240" w:firstLine="0"/>
        <w:jc w:val="left"/>
      </w:pPr>
      <w:r>
        <w:t xml:space="preserve"> </w:t>
      </w:r>
    </w:p>
    <w:p w:rsidR="00025683" w:rsidRDefault="007C2AAB">
      <w:pPr>
        <w:numPr>
          <w:ilvl w:val="0"/>
          <w:numId w:val="195"/>
        </w:numPr>
        <w:ind w:right="60"/>
      </w:pPr>
      <w:r>
        <w:t>Accesibilidad en la participación: adaptando los procesos participativos para que sean accesibles fí</w:t>
      </w:r>
      <w:r>
        <w:t xml:space="preserve">sica, sensorial y cognitivamente, garantizando la igualdad de oportunidades. Asimismo, se procurará la adaptación de los horarios, la duración y los formatos de las reuniones y actividades participativas para facilitar la conciliación personal, familiar y </w:t>
      </w:r>
      <w:r>
        <w:t xml:space="preserve">laboral, de modo que todas las personas puedan ejercer su derecho a participar en igualdad de condiciones.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43. Apoyo al asociacionismo y al voluntariado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60"/>
      </w:pPr>
      <w:r>
        <w:t>1.El Ayuntamiento reconoce el valor del asociacionismo como forma de participación col</w:t>
      </w:r>
      <w:r>
        <w:t xml:space="preserve">ectiva y del voluntariado como expresión solidaria y transformadora, y se compromete a impulsarlos como pilares del tejido social local. </w:t>
      </w:r>
    </w:p>
    <w:p w:rsidR="00025683" w:rsidRDefault="007C2AAB">
      <w:pPr>
        <w:spacing w:after="0" w:line="259" w:lineRule="auto"/>
        <w:ind w:left="240" w:firstLine="0"/>
        <w:jc w:val="left"/>
      </w:pPr>
      <w:r>
        <w:t xml:space="preserve"> </w:t>
      </w:r>
    </w:p>
    <w:p w:rsidR="00025683" w:rsidRDefault="007C2AAB">
      <w:pPr>
        <w:ind w:left="240" w:right="200"/>
      </w:pPr>
      <w:r>
        <w:t xml:space="preserve">Para ello, el Ayuntamiento podrá colaborar en: </w:t>
      </w:r>
    </w:p>
    <w:p w:rsidR="00025683" w:rsidRDefault="007C2AAB">
      <w:pPr>
        <w:spacing w:after="0" w:line="259" w:lineRule="auto"/>
        <w:ind w:left="240" w:firstLine="0"/>
        <w:jc w:val="left"/>
      </w:pPr>
      <w:r>
        <w:t xml:space="preserve"> </w:t>
      </w:r>
    </w:p>
    <w:p w:rsidR="00025683" w:rsidRDefault="007C2AAB">
      <w:pPr>
        <w:numPr>
          <w:ilvl w:val="0"/>
          <w:numId w:val="196"/>
        </w:numPr>
        <w:ind w:right="200"/>
      </w:pPr>
      <w:r>
        <w:t xml:space="preserve">Ofrecer asesoramiento y apoyo en la gestión de las entidades. </w:t>
      </w:r>
    </w:p>
    <w:p w:rsidR="00025683" w:rsidRDefault="007C2AAB">
      <w:pPr>
        <w:spacing w:after="0" w:line="259" w:lineRule="auto"/>
        <w:ind w:left="240" w:firstLine="0"/>
        <w:jc w:val="left"/>
      </w:pPr>
      <w:r>
        <w:t xml:space="preserve"> </w:t>
      </w:r>
    </w:p>
    <w:p w:rsidR="00025683" w:rsidRDefault="007C2AAB">
      <w:pPr>
        <w:numPr>
          <w:ilvl w:val="0"/>
          <w:numId w:val="196"/>
        </w:numPr>
        <w:ind w:right="200"/>
      </w:pPr>
      <w:r>
        <w:t xml:space="preserve">Facilitar recursos económicos y materiales para la realización de actividades. </w:t>
      </w:r>
    </w:p>
    <w:p w:rsidR="00025683" w:rsidRDefault="007C2AAB">
      <w:pPr>
        <w:spacing w:after="0" w:line="259" w:lineRule="auto"/>
        <w:ind w:left="240" w:firstLine="0"/>
        <w:jc w:val="left"/>
      </w:pPr>
      <w:r>
        <w:t xml:space="preserve"> </w:t>
      </w:r>
    </w:p>
    <w:p w:rsidR="00025683" w:rsidRDefault="007C2AAB">
      <w:pPr>
        <w:numPr>
          <w:ilvl w:val="0"/>
          <w:numId w:val="196"/>
        </w:numPr>
        <w:ind w:right="200"/>
      </w:pPr>
      <w:r>
        <w:t xml:space="preserve">Organizar programas de formación en gestión asociativa y dinamización comunitaria. </w:t>
      </w:r>
    </w:p>
    <w:p w:rsidR="00025683" w:rsidRDefault="007C2AAB">
      <w:pPr>
        <w:spacing w:after="0" w:line="259" w:lineRule="auto"/>
        <w:ind w:left="240" w:firstLine="0"/>
        <w:jc w:val="left"/>
      </w:pPr>
      <w:r>
        <w:t xml:space="preserve"> </w:t>
      </w:r>
    </w:p>
    <w:p w:rsidR="00025683" w:rsidRDefault="007C2AAB">
      <w:pPr>
        <w:numPr>
          <w:ilvl w:val="0"/>
          <w:numId w:val="196"/>
        </w:numPr>
        <w:ind w:right="200"/>
      </w:pPr>
      <w:r>
        <w:t xml:space="preserve">Promover el uso compartido de locales e infraestructuras municipales según la normativa </w:t>
      </w:r>
      <w:r>
        <w:t xml:space="preserve">vigente y disponibilidad. </w:t>
      </w:r>
    </w:p>
    <w:p w:rsidR="00025683" w:rsidRDefault="007C2AAB">
      <w:pPr>
        <w:spacing w:after="0" w:line="259" w:lineRule="auto"/>
        <w:ind w:left="240" w:firstLine="0"/>
        <w:jc w:val="left"/>
      </w:pPr>
      <w:r>
        <w:t xml:space="preserve"> </w:t>
      </w:r>
    </w:p>
    <w:p w:rsidR="00025683" w:rsidRDefault="007C2AAB">
      <w:pPr>
        <w:ind w:left="240" w:right="57"/>
      </w:pPr>
      <w:r>
        <w:t xml:space="preserve">2.Las asociaciones y entidades ciudadanas también deben asumir un compromiso activo con la vida del municipio, participando en los espacios formales de participación, colaborando con las iniciativas impulsadas desde el área de </w:t>
      </w:r>
      <w:r>
        <w:t xml:space="preserve">participación ciudadana, y tomando parte en los procesos participativos que se convoquen. Esta implicación es clave para construir una comunidad más democrática, cohesionada y corresponsable.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Artículo 44. Subvenciones para entidades ciudadanas.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ind w:left="240" w:right="58"/>
      </w:pPr>
      <w:r>
        <w:t>1.E</w:t>
      </w:r>
      <w:r>
        <w:t>l Ayuntamiento podrá incluir en su presupuesto anual una línea de ayudas económicas destinadas a apoyar a las entidades que desarrollen su labor en el municipio, con el objetivo de impulsar sus actividades, fortalecer el tejido asociativo y fomentar la par</w:t>
      </w:r>
      <w:r>
        <w:t xml:space="preserve">ticipación ciudadana en el municipio. </w:t>
      </w:r>
    </w:p>
    <w:p w:rsidR="00025683" w:rsidRDefault="007C2AAB">
      <w:pPr>
        <w:spacing w:after="0" w:line="259" w:lineRule="auto"/>
        <w:ind w:left="240" w:firstLine="0"/>
        <w:jc w:val="left"/>
      </w:pPr>
      <w:r>
        <w:t xml:space="preserve"> </w:t>
      </w:r>
    </w:p>
    <w:p w:rsidR="00025683" w:rsidRDefault="007C2AAB">
      <w:pPr>
        <w:ind w:left="240" w:right="58"/>
      </w:pPr>
      <w:r>
        <w:t>2.Las subvenciones se regirán por unas bases específicas que serán elaboradas, informadas y aprobadas por el órgano municipal competente. Dichas bases se publicarán conforme a la normativa vigente en materia de subv</w:t>
      </w:r>
      <w:r>
        <w:t xml:space="preserve">enciones y se difundirán a través de la página web municipal y otros canales de comunicación oficiales. </w:t>
      </w:r>
    </w:p>
    <w:p w:rsidR="00025683" w:rsidRDefault="007C2AAB">
      <w:pPr>
        <w:spacing w:after="0" w:line="259" w:lineRule="auto"/>
        <w:ind w:left="240" w:firstLine="0"/>
        <w:jc w:val="left"/>
      </w:pPr>
      <w:r>
        <w:t xml:space="preserve"> </w:t>
      </w:r>
    </w:p>
    <w:p w:rsidR="00025683" w:rsidRDefault="007C2AAB">
      <w:pPr>
        <w:ind w:left="240" w:right="58"/>
      </w:pPr>
      <w:r>
        <w:rPr>
          <w:rFonts w:ascii="Calibri" w:eastAsia="Calibri" w:hAnsi="Calibri" w:cs="Calibri"/>
          <w:noProof/>
        </w:rPr>
        <mc:AlternateContent>
          <mc:Choice Requires="wpg">
            <w:drawing>
              <wp:anchor distT="0" distB="0" distL="114300" distR="114300" simplePos="0" relativeHeight="25201766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2382" name="Group 4323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019" name="Rectangle 50019"/>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0020" name="Rectangle 50020"/>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021" name="Rectangle 50021"/>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336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2382" style="width:18.7031pt;height:264.21pt;position:absolute;mso-position-horizontal-relative:page;mso-position-horizontal:absolute;margin-left:662.928pt;mso-position-vertical-relative:page;margin-top:507.75pt;" coordsize="2375,33554">
                <v:rect id="Rectangle 50019"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0020"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021"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336 de 350 </w:t>
                        </w:r>
                      </w:p>
                    </w:txbxContent>
                  </v:textbox>
                </v:rect>
                <w10:wrap type="square"/>
              </v:group>
            </w:pict>
          </mc:Fallback>
        </mc:AlternateContent>
      </w:r>
      <w:r>
        <w:t xml:space="preserve">3.Se aplicará un baremo para valorar las solicitudes, que tendrá en cuenta criterios objetivos, entre los cuales se puntuará especialmente la implicación de las </w:t>
      </w:r>
      <w:r>
        <w:t>entidades solicitantes en la vida pública del municipio, así como su participación activa en los procesos, programas y propuestas promovidas por el Ayuntamiento. Los resultados de la puntuación se harán públicos, en aras de la transparencia y la igualdad d</w:t>
      </w:r>
      <w:r>
        <w:t xml:space="preserve">e trato. </w:t>
      </w:r>
    </w:p>
    <w:p w:rsidR="00025683" w:rsidRDefault="007C2AAB">
      <w:pPr>
        <w:spacing w:after="0" w:line="259" w:lineRule="auto"/>
        <w:ind w:left="240" w:firstLine="0"/>
        <w:jc w:val="left"/>
      </w:pPr>
      <w:r>
        <w:t xml:space="preserve"> </w:t>
      </w:r>
    </w:p>
    <w:p w:rsidR="00025683" w:rsidRDefault="007C2AAB">
      <w:pPr>
        <w:ind w:left="240" w:right="58"/>
      </w:pPr>
      <w:r>
        <w:t xml:space="preserve">4.Las entidades beneficiarias estarán obligadas a justificar de forma adecuada y documentada el uso de los fondos recibidos, dentro de los procedimientos y plazos que se establezcan en las bases de la convocatoria.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Artículo 45. Fomento de </w:t>
      </w:r>
      <w:r>
        <w:rPr>
          <w:b/>
        </w:rPr>
        <w:t>la innovación en la participación ciudadana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56"/>
      </w:pPr>
      <w:r>
        <w:t>1.El Ayuntamiento promoverá la innovación en las políticas y prácticas de participación ciudadana como elemento clave para hacerlas más inclusivas, eficaces y adaptadas a los cambios sociales, culturales y tec</w:t>
      </w:r>
      <w:r>
        <w:t>nológicos. Esta innovación podrá materializarse en la creación o mejora de metodologías participativas, en el uso de tecnologías que faciliten el acceso y la interacción con la ciudadanía, y en la experimentación de nuevos formatos que favorezcan la implic</w:t>
      </w:r>
      <w:r>
        <w:t xml:space="preserve">ación de sectores tradicionalmente menos representados. </w:t>
      </w:r>
    </w:p>
    <w:p w:rsidR="00025683" w:rsidRDefault="007C2AAB">
      <w:pPr>
        <w:spacing w:after="0" w:line="259" w:lineRule="auto"/>
        <w:ind w:left="240" w:firstLine="0"/>
        <w:jc w:val="left"/>
      </w:pPr>
      <w:r>
        <w:t xml:space="preserve"> </w:t>
      </w:r>
    </w:p>
    <w:p w:rsidR="00025683" w:rsidRDefault="007C2AAB">
      <w:pPr>
        <w:ind w:left="240" w:right="59"/>
      </w:pPr>
      <w:r>
        <w:t xml:space="preserve">2.Se fomentará especialmente la creatividad en el diseño de espacios de participación, la incorporación de herramientas digitales, la gamificación, el diseño centrado en las personas usuarias y la </w:t>
      </w:r>
      <w:r>
        <w:t xml:space="preserve">combinación de formatos lúdicos, culturales y formativos que contribuyan a generar entornos de participación más atractivos y accesibles. </w:t>
      </w:r>
    </w:p>
    <w:p w:rsidR="00025683" w:rsidRDefault="007C2AAB">
      <w:pPr>
        <w:spacing w:after="0" w:line="259" w:lineRule="auto"/>
        <w:ind w:left="240" w:firstLine="0"/>
        <w:jc w:val="left"/>
      </w:pPr>
      <w:r>
        <w:t xml:space="preserve"> </w:t>
      </w:r>
    </w:p>
    <w:p w:rsidR="00025683" w:rsidRDefault="007C2AAB">
      <w:pPr>
        <w:numPr>
          <w:ilvl w:val="0"/>
          <w:numId w:val="197"/>
        </w:numPr>
        <w:spacing w:after="3" w:line="238" w:lineRule="auto"/>
        <w:ind w:right="29" w:hanging="10"/>
        <w:jc w:val="left"/>
      </w:pPr>
      <w:r>
        <w:t xml:space="preserve">Asimismo, se impulsará el intercambio de experiencias y buenas prácticas con otras administraciones y organizaciones, y se incorporarán aprendizajes derivados de la evaluación de los propios procesos participativos. </w:t>
      </w:r>
    </w:p>
    <w:p w:rsidR="00025683" w:rsidRDefault="007C2AAB">
      <w:pPr>
        <w:spacing w:after="0" w:line="259" w:lineRule="auto"/>
        <w:ind w:left="240" w:firstLine="0"/>
        <w:jc w:val="left"/>
      </w:pPr>
      <w:r>
        <w:t xml:space="preserve"> </w:t>
      </w:r>
    </w:p>
    <w:p w:rsidR="00025683" w:rsidRDefault="007C2AAB">
      <w:pPr>
        <w:numPr>
          <w:ilvl w:val="0"/>
          <w:numId w:val="197"/>
        </w:numPr>
        <w:ind w:right="29" w:hanging="10"/>
        <w:jc w:val="left"/>
      </w:pPr>
      <w:r>
        <w:t>El Ayuntamiento podrá destinar recurs</w:t>
      </w:r>
      <w:r>
        <w:t xml:space="preserve">os específicos al desarrollo de proyectos piloto, programas de formación y acompañamiento técnico que promuevan la innovación en este ámbito, en colaboración con entidades sociales, centros educativos, universidades o profesionales especializados.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DISPOSICIÓN ADICIONAL ÚNICA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60"/>
      </w:pPr>
      <w:r>
        <w:t xml:space="preserve">La puesta en marcha de los nuevos canales establecidos en este reglamento o el desarrollo de los ya existentes se hará de manera gradual y de acuerdo con las disponibilidades técnicas y presupuestarias del Ayuntamiento.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DISPOSICIÓN DEROGATORIA ÚNICA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FF0000"/>
        </w:rPr>
        <w:t xml:space="preserve"> </w:t>
      </w:r>
    </w:p>
    <w:p w:rsidR="00025683" w:rsidRDefault="007C2AAB">
      <w:pPr>
        <w:ind w:left="240" w:right="54"/>
      </w:pPr>
      <w:r>
        <w:t xml:space="preserve">A partir de la entrada en vigor del presente Reglamento, quedan derogadas las disposiciones de igual o inferior rango que se opongan, contradigan o resulten incompatibles con el mismo. De manera expresa, queda derogado el </w:t>
      </w:r>
      <w:r>
        <w:t>Reglamento del Foro de Participación Ciudadana de la Agenda Local 21 de la Villa de Candelaria de 11 de junio de 2004. Asimismo, quedan derogados los artículos 106, 107 y 108 del Reglamento Orgánico y de la Administración Municipal de 5 de octubre de 2009.</w:t>
      </w:r>
      <w: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18688" behindDoc="0" locked="0" layoutInCell="1" allowOverlap="1">
                <wp:simplePos x="0" y="0"/>
                <wp:positionH relativeFrom="page">
                  <wp:posOffset>8419190</wp:posOffset>
                </wp:positionH>
                <wp:positionV relativeFrom="page">
                  <wp:posOffset>6448426</wp:posOffset>
                </wp:positionV>
                <wp:extent cx="237530" cy="3355467"/>
                <wp:effectExtent l="0" t="0" r="0" b="0"/>
                <wp:wrapTopAndBottom/>
                <wp:docPr id="432299" name="Group 4322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130" name="Rectangle 5013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0131" name="Rectangle 5013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132" name="Rectangle 5013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337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2299" style="width:18.7031pt;height:264.21pt;position:absolute;mso-position-horizontal-relative:page;mso-position-horizontal:absolute;margin-left:662.928pt;mso-position-vertical-relative:page;margin-top:507.75pt;" coordsize="2375,33554">
                <v:rect id="Rectangle 5013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013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13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337 de 350 </w:t>
                        </w:r>
                      </w:p>
                    </w:txbxContent>
                  </v:textbox>
                </v:rect>
                <w10:wrap type="topAndBottom"/>
              </v:group>
            </w:pict>
          </mc:Fallback>
        </mc:AlternateContent>
      </w:r>
      <w:r>
        <w:rPr>
          <w:b/>
        </w:rPr>
        <w:t xml:space="preserve"> </w:t>
      </w:r>
    </w:p>
    <w:p w:rsidR="00025683" w:rsidRDefault="007C2AAB">
      <w:pPr>
        <w:spacing w:after="12"/>
        <w:ind w:left="240" w:right="197"/>
      </w:pPr>
      <w:r>
        <w:rPr>
          <w:b/>
        </w:rPr>
        <w:t>DISPOSICIÓN FINAL ÚNICA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right="65"/>
      </w:pPr>
      <w:r>
        <w:t xml:space="preserve">Este Reglamento entrará en vigor tras su publicación en el Boletín Oficial de la Provincia, previa tramitación del procedimiento establecido en el art. 49 de la Ley 7/1985, de 2 de abril, reguladora de las bases de régimen local.” </w:t>
      </w:r>
    </w:p>
    <w:p w:rsidR="00025683" w:rsidRDefault="007C2AAB">
      <w:pPr>
        <w:spacing w:after="0" w:line="259" w:lineRule="auto"/>
        <w:ind w:left="948" w:firstLine="0"/>
        <w:jc w:val="left"/>
      </w:pPr>
      <w:r>
        <w:rPr>
          <w:rFonts w:ascii="Times New Roman" w:eastAsia="Times New Roman" w:hAnsi="Times New Roman" w:cs="Times New Roman"/>
          <w:b/>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16" w:line="259" w:lineRule="auto"/>
        <w:ind w:left="240" w:firstLine="0"/>
        <w:jc w:val="left"/>
      </w:pPr>
      <w:r>
        <w:rPr>
          <w:b/>
          <w:sz w:val="24"/>
        </w:rPr>
        <w:t xml:space="preserve"> </w:t>
      </w:r>
    </w:p>
    <w:p w:rsidR="00025683" w:rsidRDefault="007C2AAB">
      <w:pPr>
        <w:spacing w:after="4" w:line="245" w:lineRule="auto"/>
        <w:ind w:left="250" w:right="60" w:hanging="10"/>
      </w:pPr>
      <w:r>
        <w:rPr>
          <w:b/>
          <w:sz w:val="28"/>
        </w:rPr>
        <w:t xml:space="preserve">10.- </w:t>
      </w:r>
      <w:r>
        <w:rPr>
          <w:b/>
          <w:sz w:val="28"/>
          <w:u w:val="single" w:color="000000"/>
        </w:rPr>
        <w:t>Expediente 12632/2025</w:t>
      </w:r>
      <w:r>
        <w:rPr>
          <w:b/>
          <w:sz w:val="28"/>
        </w:rPr>
        <w:t>. Moción del Grupo del Partido Popular para la accesibilidad cognitiva en los espacios públicos del municipio de Candelaria</w:t>
      </w:r>
      <w:r>
        <w:rPr>
          <w:b/>
          <w:sz w:val="24"/>
        </w:rPr>
        <w:t>.</w:t>
      </w:r>
      <w:r>
        <w:rPr>
          <w:rFonts w:ascii="Times New Roman" w:eastAsia="Times New Roman" w:hAnsi="Times New Roman" w:cs="Times New Roman"/>
          <w:b/>
          <w:sz w:val="24"/>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12"/>
        <w:ind w:left="240"/>
      </w:pPr>
      <w:r>
        <w:rPr>
          <w:b/>
        </w:rPr>
        <w:t>Consta en el expediente moción presentada por el Grupo Popular de fecha 15 de dici</w:t>
      </w:r>
      <w:r>
        <w:rPr>
          <w:b/>
        </w:rPr>
        <w:t xml:space="preserve">embre de 2025 que transcrita literalmente dice: </w:t>
      </w:r>
    </w:p>
    <w:p w:rsidR="00025683" w:rsidRDefault="007C2AAB">
      <w:pPr>
        <w:spacing w:after="0" w:line="259" w:lineRule="auto"/>
        <w:ind w:left="240" w:firstLine="0"/>
        <w:jc w:val="left"/>
      </w:pPr>
      <w:r>
        <w:rPr>
          <w:b/>
        </w:rPr>
        <w:t xml:space="preserve"> </w:t>
      </w:r>
    </w:p>
    <w:p w:rsidR="00025683" w:rsidRDefault="007C2AAB">
      <w:pPr>
        <w:spacing w:after="3" w:line="259" w:lineRule="auto"/>
        <w:ind w:left="240" w:firstLine="0"/>
        <w:jc w:val="left"/>
      </w:pPr>
      <w:r>
        <w:rPr>
          <w:b/>
        </w:rPr>
        <w:t xml:space="preserve"> </w:t>
      </w:r>
    </w:p>
    <w:p w:rsidR="00025683" w:rsidRDefault="007C2AAB">
      <w:pPr>
        <w:spacing w:after="264"/>
        <w:ind w:left="240" w:right="197"/>
      </w:pPr>
      <w:r>
        <w:rPr>
          <w:b/>
        </w:rPr>
        <w:t xml:space="preserve">“ </w:t>
      </w:r>
    </w:p>
    <w:p w:rsidR="00025683" w:rsidRDefault="007C2AAB">
      <w:pPr>
        <w:spacing w:after="190" w:line="259" w:lineRule="auto"/>
        <w:ind w:left="236" w:firstLine="0"/>
        <w:jc w:val="left"/>
      </w:pPr>
      <w:r>
        <w:rPr>
          <w:b/>
          <w:color w:val="FF0000"/>
        </w:rPr>
        <w:t xml:space="preserve"> </w:t>
      </w:r>
      <w:r>
        <w:rPr>
          <w:noProof/>
        </w:rPr>
        <w:drawing>
          <wp:inline distT="0" distB="0" distL="0" distR="0">
            <wp:extent cx="1826013" cy="409940"/>
            <wp:effectExtent l="0" t="0" r="0" b="0"/>
            <wp:docPr id="50240" name="Picture 50240"/>
            <wp:cNvGraphicFramePr/>
            <a:graphic xmlns:a="http://schemas.openxmlformats.org/drawingml/2006/main">
              <a:graphicData uri="http://schemas.openxmlformats.org/drawingml/2006/picture">
                <pic:pic xmlns:pic="http://schemas.openxmlformats.org/drawingml/2006/picture">
                  <pic:nvPicPr>
                    <pic:cNvPr id="50240" name="Picture 50240"/>
                    <pic:cNvPicPr/>
                  </pic:nvPicPr>
                  <pic:blipFill>
                    <a:blip r:embed="rId145"/>
                    <a:stretch>
                      <a:fillRect/>
                    </a:stretch>
                  </pic:blipFill>
                  <pic:spPr>
                    <a:xfrm>
                      <a:off x="0" y="0"/>
                      <a:ext cx="1826013" cy="409940"/>
                    </a:xfrm>
                    <a:prstGeom prst="rect">
                      <a:avLst/>
                    </a:prstGeom>
                  </pic:spPr>
                </pic:pic>
              </a:graphicData>
            </a:graphic>
          </wp:inline>
        </w:drawing>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sz w:val="24"/>
        </w:rPr>
        <w:t xml:space="preserve"> </w:t>
      </w:r>
    </w:p>
    <w:p w:rsidR="00025683" w:rsidRDefault="007C2AAB">
      <w:pPr>
        <w:spacing w:after="0" w:line="259" w:lineRule="auto"/>
        <w:ind w:left="181" w:firstLine="0"/>
        <w:jc w:val="center"/>
      </w:pPr>
      <w:r>
        <w:rPr>
          <w:b/>
          <w:i/>
          <w:sz w:val="23"/>
          <w:u w:val="single" w:color="000000"/>
        </w:rPr>
        <w:t>MOCIÓN GRUPO MUNICIPAL POPULAR</w:t>
      </w:r>
      <w:r>
        <w:rPr>
          <w:b/>
          <w:i/>
          <w:sz w:val="23"/>
        </w:rPr>
        <w:t xml:space="preserve"> </w:t>
      </w:r>
    </w:p>
    <w:p w:rsidR="00025683" w:rsidRDefault="007C2AAB">
      <w:pPr>
        <w:spacing w:after="0" w:line="259" w:lineRule="auto"/>
        <w:ind w:left="245" w:firstLine="0"/>
        <w:jc w:val="center"/>
      </w:pPr>
      <w:r>
        <w:rPr>
          <w:sz w:val="23"/>
        </w:rPr>
        <w:t xml:space="preserve"> </w:t>
      </w:r>
    </w:p>
    <w:p w:rsidR="00025683" w:rsidRDefault="007C2AAB">
      <w:pPr>
        <w:ind w:left="240" w:right="61"/>
      </w:pPr>
      <w:r>
        <w:rPr>
          <w:rFonts w:ascii="Calibri" w:eastAsia="Calibri" w:hAnsi="Calibri" w:cs="Calibri"/>
          <w:noProof/>
        </w:rPr>
        <mc:AlternateContent>
          <mc:Choice Requires="wpg">
            <w:drawing>
              <wp:anchor distT="0" distB="0" distL="114300" distR="114300" simplePos="0" relativeHeight="25201971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5283" name="Group 4352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243" name="Rectangle 50243"/>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0244" name="Rectangle 50244"/>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245" name="Rectangle 50245"/>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338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5283" style="width:18.7031pt;height:264.21pt;position:absolute;mso-position-horizontal-relative:page;mso-position-horizontal:absolute;margin-left:662.928pt;mso-position-vertical-relative:page;margin-top:507.75pt;" coordsize="2375,33554">
                <v:rect id="Rectangle 50243"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0244"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245"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338 de 350 </w:t>
                        </w:r>
                      </w:p>
                    </w:txbxContent>
                  </v:textbox>
                </v:rect>
                <w10:wrap type="square"/>
              </v:group>
            </w:pict>
          </mc:Fallback>
        </mc:AlternateContent>
      </w:r>
      <w:r>
        <w:rPr>
          <w:sz w:val="23"/>
        </w:rPr>
        <w:t xml:space="preserve">      D. JACOBO LÓPEZ FARIÑA, con DNI 78707763-S, en calidad de portavoz del Grupo Municipal Partido Popular (PP), conforme establece el artículo 97.3 del Reglam</w:t>
      </w:r>
      <w:r>
        <w:rPr>
          <w:sz w:val="23"/>
        </w:rPr>
        <w:t xml:space="preserve">ento de Organización, Funcionamiento y Régimen Jurídico de las Entidades Locales, aprobado por R.D. 2568/1986, de 28 de noviembre, presenta: </w:t>
      </w:r>
      <w:r>
        <w:rPr>
          <w:b/>
          <w:sz w:val="23"/>
        </w:rPr>
        <w:t xml:space="preserve">MOCIÓN PARA EL IMPULSO DE LA ACCESIBILIDAD COGNITIVA EN LOS ESPACIOS PÚBLICOS DEL MUNICIPIO DE CANDELARIA.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sz w:val="23"/>
        </w:rPr>
        <w:t xml:space="preserve"> </w:t>
      </w:r>
    </w:p>
    <w:p w:rsidR="00025683" w:rsidRDefault="007C2AAB">
      <w:pPr>
        <w:spacing w:after="0" w:line="259" w:lineRule="auto"/>
        <w:ind w:left="240" w:firstLine="0"/>
        <w:jc w:val="left"/>
      </w:pPr>
      <w:r>
        <w:rPr>
          <w:sz w:val="23"/>
        </w:rPr>
        <w:t xml:space="preserve"> </w:t>
      </w:r>
    </w:p>
    <w:p w:rsidR="00025683" w:rsidRDefault="007C2AAB">
      <w:pPr>
        <w:tabs>
          <w:tab w:val="center" w:pos="240"/>
          <w:tab w:val="center" w:pos="2364"/>
          <w:tab w:val="center" w:pos="4581"/>
        </w:tabs>
        <w:spacing w:line="249" w:lineRule="auto"/>
        <w:ind w:left="0" w:firstLine="0"/>
        <w:jc w:val="left"/>
      </w:pPr>
      <w:r>
        <w:rPr>
          <w:rFonts w:ascii="Calibri" w:eastAsia="Calibri" w:hAnsi="Calibri" w:cs="Calibri"/>
        </w:rPr>
        <w:tab/>
      </w:r>
      <w:r>
        <w:rPr>
          <w:b/>
          <w:sz w:val="23"/>
        </w:rPr>
        <w:t xml:space="preserve">                             </w:t>
      </w:r>
      <w:r>
        <w:rPr>
          <w:b/>
          <w:sz w:val="23"/>
        </w:rPr>
        <w:tab/>
        <w:t xml:space="preserve"> </w:t>
      </w:r>
      <w:r>
        <w:rPr>
          <w:b/>
          <w:sz w:val="23"/>
        </w:rPr>
        <w:tab/>
        <w:t xml:space="preserve">EXPOSICIÓN DE MOTIVOS:  </w:t>
      </w:r>
    </w:p>
    <w:p w:rsidR="00025683" w:rsidRDefault="007C2AAB">
      <w:pPr>
        <w:spacing w:after="0" w:line="259" w:lineRule="auto"/>
        <w:ind w:left="240" w:firstLine="0"/>
        <w:jc w:val="left"/>
      </w:pPr>
      <w:r>
        <w:rPr>
          <w:sz w:val="23"/>
        </w:rPr>
        <w:t xml:space="preserve"> </w:t>
      </w:r>
    </w:p>
    <w:p w:rsidR="00025683" w:rsidRDefault="007C2AAB">
      <w:pPr>
        <w:ind w:left="240" w:right="62"/>
      </w:pPr>
      <w:r>
        <w:rPr>
          <w:sz w:val="23"/>
        </w:rPr>
        <w:t xml:space="preserve">          El pasado 3 de diciembre, Día Internacional de las Personas con Discapacidad, nos recordó la obligación de las administraciones públicas de garantizar una sociedad inclusiva, en la que to</w:t>
      </w:r>
      <w:r>
        <w:rPr>
          <w:sz w:val="23"/>
        </w:rPr>
        <w:t xml:space="preserve">das las personas puedan participar de forma plena, autónoma y segura. La accesibilidad universal no se limita únicamente a la eliminación de barreras físicas o sensoriales. En los últimos años, y de manera expresa en la legislación española vigente, se ha </w:t>
      </w:r>
      <w:r>
        <w:rPr>
          <w:sz w:val="23"/>
        </w:rPr>
        <w:t xml:space="preserve">reconocido la accesibilidad cognitiva como un derecho fundamental, imprescindible para que las personas comprendan la información, se orienten en los espacios y ejerzan sus derechos en igualdad de condiciones.  </w:t>
      </w:r>
    </w:p>
    <w:p w:rsidR="00025683" w:rsidRDefault="007C2AAB">
      <w:pPr>
        <w:spacing w:after="0" w:line="259" w:lineRule="auto"/>
        <w:ind w:left="240" w:firstLine="0"/>
        <w:jc w:val="left"/>
      </w:pPr>
      <w:r>
        <w:rPr>
          <w:sz w:val="23"/>
        </w:rPr>
        <w:t xml:space="preserve"> </w:t>
      </w:r>
    </w:p>
    <w:p w:rsidR="00025683" w:rsidRDefault="007C2AAB">
      <w:pPr>
        <w:ind w:left="240" w:right="60" w:firstLine="708"/>
      </w:pPr>
      <w:r>
        <w:rPr>
          <w:sz w:val="23"/>
        </w:rPr>
        <w:t>La Ley 6/2022, de 31 de marzo, modifica el</w:t>
      </w:r>
      <w:r>
        <w:rPr>
          <w:sz w:val="23"/>
        </w:rPr>
        <w:t xml:space="preserve"> Texto Refundido de la Ley General de derechos de las personas con discapacidad y de su inclusión social (Real Decreto Legislativo 1/2013), incorporando de forma explícita la accesibilidad cognitiva como parte integrante de la accesibilidad universal. Dich</w:t>
      </w:r>
      <w:r>
        <w:rPr>
          <w:sz w:val="23"/>
        </w:rPr>
        <w:t>a ley define la accesibilidad cognitiva como el conjunto de características que permiten que los entornos, procesos, bienes, productos, servicios, objetos o instrumentos sean fácilmente comprendidos, y obliga a las administraciones públicas a adoptar las m</w:t>
      </w:r>
      <w:r>
        <w:rPr>
          <w:sz w:val="23"/>
        </w:rPr>
        <w:t>edidas necesarias para garantizarla. Es decir, hablamos de que las personas puedan entender lo que pasa a su alrededor, orientarse, tomar decisiones y usar los servicios de forma autónoma, sin confundirse ni depender siempre de otra persona.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ind w:left="240" w:right="57"/>
      </w:pPr>
      <w:r>
        <w:rPr>
          <w:sz w:val="23"/>
        </w:rPr>
        <w:t xml:space="preserve">           </w:t>
      </w:r>
      <w:r>
        <w:rPr>
          <w:sz w:val="23"/>
        </w:rPr>
        <w:t>La accesibilidad cognitiva beneficia no solo a personas con discapacidad intelectual o del espectro autista, sino también a personas mayores, menores, personas con dificultades de comprensión, turistas y ciudadanía en general. En el ámbito autonómico, Cana</w:t>
      </w:r>
      <w:r>
        <w:rPr>
          <w:sz w:val="23"/>
        </w:rPr>
        <w:t xml:space="preserve">rias cuenta con la Ley 8/1995, de Accesibilidad y Supresión de Barreras Físicas y de la Comunicación, así como con su desarrollo reglamentario, que establecen la obligación de garantizar la accesibilidad en los espacios, servicios y comunicaciones. Aunque </w:t>
      </w:r>
      <w:r>
        <w:rPr>
          <w:sz w:val="23"/>
        </w:rPr>
        <w:t xml:space="preserve">esta normativa fue aprobada con anterioridad al reconocimiento expreso de la accesibilidad cognitiva en la legislación estatal, sus principios permiten y exigen una interpretación acorde con los avances normativos y sociales actuales.  </w:t>
      </w:r>
    </w:p>
    <w:p w:rsidR="00025683" w:rsidRDefault="007C2AAB">
      <w:pPr>
        <w:spacing w:after="0" w:line="259" w:lineRule="auto"/>
        <w:ind w:left="240" w:firstLine="0"/>
        <w:jc w:val="left"/>
      </w:pPr>
      <w:r>
        <w:rPr>
          <w:sz w:val="23"/>
        </w:rPr>
        <w:t xml:space="preserve"> </w:t>
      </w:r>
    </w:p>
    <w:p w:rsidR="00025683" w:rsidRDefault="007C2AAB">
      <w:pPr>
        <w:ind w:left="240" w:right="56"/>
      </w:pPr>
      <w:r>
        <w:rPr>
          <w:sz w:val="23"/>
        </w:rPr>
        <w:t xml:space="preserve">           En la </w:t>
      </w:r>
      <w:r>
        <w:rPr>
          <w:sz w:val="23"/>
        </w:rPr>
        <w:t>actualidad, Canarias no dispone aún de una normativa autonómica específica que regule de forma expresa la accesibilidad cognitiva, lo que convierte a los ayuntamientos en actores clave para impulsar medidas concretas desde el ámbito local, en coherencia co</w:t>
      </w:r>
      <w:r>
        <w:rPr>
          <w:sz w:val="23"/>
        </w:rPr>
        <w:t>n la legislación estatal vigente. Espacios públicos como edificios municipales, centros educativos y culturales, instalaciones deportivas, parques, transportes, señalética urbana, trámites administrativos o información institucional deben ser claros, compr</w:t>
      </w:r>
      <w:r>
        <w:rPr>
          <w:sz w:val="23"/>
        </w:rPr>
        <w:t xml:space="preserve">ensibles y previsibles.  </w:t>
      </w:r>
    </w:p>
    <w:p w:rsidR="00025683" w:rsidRDefault="007C2AAB">
      <w:pPr>
        <w:spacing w:after="0" w:line="259" w:lineRule="auto"/>
        <w:ind w:left="240" w:firstLine="0"/>
        <w:jc w:val="left"/>
      </w:pPr>
      <w:r>
        <w:rPr>
          <w:sz w:val="23"/>
        </w:rPr>
        <w:t xml:space="preserve"> </w:t>
      </w:r>
    </w:p>
    <w:p w:rsidR="00025683" w:rsidRDefault="007C2AAB">
      <w:pPr>
        <w:ind w:left="240" w:right="61"/>
      </w:pPr>
      <w:r>
        <w:rPr>
          <w:sz w:val="23"/>
        </w:rPr>
        <w:t xml:space="preserve">           Desde el Partido Popular de Candelaria consideramos que avanzar en accesibilidad cognitiva no es solo cumplir con la normativa vigente, sino mejorar la calidad de los servicios públicos, facilitar la relación de los v</w:t>
      </w:r>
      <w:r>
        <w:rPr>
          <w:sz w:val="23"/>
        </w:rPr>
        <w:t xml:space="preserve">ecinos y vecinas con su Ayuntamiento y hacer de Candelaria un municipio más amable y cercano.  </w:t>
      </w:r>
    </w:p>
    <w:p w:rsidR="00025683" w:rsidRDefault="007C2AAB">
      <w:pPr>
        <w:spacing w:after="0" w:line="259" w:lineRule="auto"/>
        <w:ind w:left="240" w:firstLine="0"/>
        <w:jc w:val="left"/>
      </w:pPr>
      <w:r>
        <w:rPr>
          <w:sz w:val="23"/>
        </w:rPr>
        <w:t xml:space="preserve"> </w:t>
      </w:r>
    </w:p>
    <w:p w:rsidR="00025683" w:rsidRDefault="007C2AAB">
      <w:pPr>
        <w:ind w:left="240" w:right="65"/>
      </w:pPr>
      <w:r>
        <w:rPr>
          <w:rFonts w:ascii="Calibri" w:eastAsia="Calibri" w:hAnsi="Calibri" w:cs="Calibri"/>
          <w:noProof/>
        </w:rPr>
        <mc:AlternateContent>
          <mc:Choice Requires="wpg">
            <w:drawing>
              <wp:anchor distT="0" distB="0" distL="114300" distR="114300" simplePos="0" relativeHeight="25202073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5471" name="Group 4354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395" name="Rectangle 50395"/>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0396" name="Rectangle 50396"/>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397" name="Rectangle 50397"/>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339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5471" style="width:18.7031pt;height:264.21pt;position:absolute;mso-position-horizontal-relative:page;mso-position-horizontal:absolute;margin-left:662.928pt;mso-position-vertical-relative:page;margin-top:507.75pt;" coordsize="2375,33554">
                <v:rect id="Rectangle 50395"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0396"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397"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339 de 350 </w:t>
                        </w:r>
                      </w:p>
                    </w:txbxContent>
                  </v:textbox>
                </v:rect>
                <w10:wrap type="square"/>
              </v:group>
            </w:pict>
          </mc:Fallback>
        </mc:AlternateContent>
      </w:r>
      <w:r>
        <w:rPr>
          <w:sz w:val="23"/>
        </w:rPr>
        <w:t xml:space="preserve">           Por todo ello, consideramos necesario iniciar un trabajo planificado y progresivo que permita incorporar la accesibilidad cognitiva en los espacios pú</w:t>
      </w:r>
      <w:r>
        <w:rPr>
          <w:sz w:val="23"/>
        </w:rPr>
        <w:t>blicos de Candelaria, alineando la acción municipal con la normativa estatal y autonómica y con las buenas prácticas que ya comienzan a desarrollarse en otros municipios de Canarias. Por todo lo expuesto, el Grupo Municipal del Partido Popular propone al P</w:t>
      </w:r>
      <w:r>
        <w:rPr>
          <w:sz w:val="23"/>
        </w:rPr>
        <w:t>leno la adopción de los siguientes acuerdos:</w:t>
      </w:r>
      <w:r>
        <w:rPr>
          <w:rFonts w:ascii="Times New Roman" w:eastAsia="Times New Roman" w:hAnsi="Times New Roman" w:cs="Times New Roman"/>
          <w:sz w:val="24"/>
        </w:rPr>
        <w:t xml:space="preserve"> </w:t>
      </w:r>
    </w:p>
    <w:p w:rsidR="00025683" w:rsidRDefault="007C2AAB">
      <w:pPr>
        <w:spacing w:after="0" w:line="259" w:lineRule="auto"/>
        <w:ind w:left="948" w:firstLine="0"/>
        <w:jc w:val="left"/>
      </w:pPr>
      <w:r>
        <w:rPr>
          <w:b/>
          <w:color w:val="FF0000"/>
        </w:rPr>
        <w:t xml:space="preserve"> </w:t>
      </w:r>
    </w:p>
    <w:p w:rsidR="00025683" w:rsidRDefault="007C2AAB">
      <w:pPr>
        <w:spacing w:after="0" w:line="259" w:lineRule="auto"/>
        <w:ind w:left="948" w:firstLine="0"/>
        <w:jc w:val="left"/>
      </w:pPr>
      <w:r>
        <w:t xml:space="preserve"> </w:t>
      </w:r>
    </w:p>
    <w:p w:rsidR="00025683" w:rsidRDefault="007C2AAB">
      <w:pPr>
        <w:spacing w:after="0" w:line="259" w:lineRule="auto"/>
        <w:ind w:left="240" w:firstLine="0"/>
        <w:jc w:val="left"/>
      </w:pPr>
      <w:r>
        <w:rPr>
          <w:b/>
          <w:sz w:val="23"/>
        </w:rPr>
        <w:t xml:space="preserve">          </w:t>
      </w:r>
      <w:r>
        <w:rPr>
          <w:b/>
          <w:sz w:val="23"/>
        </w:rPr>
        <w:tab/>
        <w:t xml:space="preserve"> </w:t>
      </w:r>
      <w:r>
        <w:rPr>
          <w:b/>
          <w:sz w:val="23"/>
        </w:rPr>
        <w:tab/>
        <w:t xml:space="preserve"> </w:t>
      </w:r>
      <w:r>
        <w:rPr>
          <w:b/>
          <w:sz w:val="23"/>
        </w:rPr>
        <w:tab/>
        <w:t xml:space="preserve"> </w:t>
      </w:r>
      <w:r>
        <w:rPr>
          <w:b/>
          <w:sz w:val="23"/>
        </w:rPr>
        <w:tab/>
        <w:t xml:space="preserve"> </w:t>
      </w:r>
    </w:p>
    <w:p w:rsidR="00025683" w:rsidRDefault="007C2AAB">
      <w:pPr>
        <w:spacing w:after="0" w:line="259" w:lineRule="auto"/>
        <w:ind w:left="240" w:firstLine="0"/>
        <w:jc w:val="left"/>
      </w:pPr>
      <w:r>
        <w:rPr>
          <w:b/>
          <w:sz w:val="23"/>
        </w:rPr>
        <w:t xml:space="preserve"> </w:t>
      </w:r>
    </w:p>
    <w:p w:rsidR="00025683" w:rsidRDefault="007C2AAB">
      <w:pPr>
        <w:spacing w:after="0" w:line="259" w:lineRule="auto"/>
        <w:ind w:left="240" w:firstLine="0"/>
        <w:jc w:val="left"/>
      </w:pPr>
      <w:r>
        <w:rPr>
          <w:b/>
          <w:sz w:val="23"/>
        </w:rPr>
        <w:t xml:space="preserve"> </w:t>
      </w:r>
    </w:p>
    <w:p w:rsidR="00025683" w:rsidRDefault="007C2AAB">
      <w:pPr>
        <w:pStyle w:val="Ttulo4"/>
        <w:spacing w:after="0"/>
        <w:ind w:left="228" w:right="38"/>
      </w:pPr>
      <w:r>
        <w:rPr>
          <w:sz w:val="23"/>
        </w:rPr>
        <w:t xml:space="preserve">ACUERDOS </w:t>
      </w:r>
    </w:p>
    <w:p w:rsidR="00025683" w:rsidRDefault="007C2AAB">
      <w:pPr>
        <w:spacing w:after="0" w:line="259" w:lineRule="auto"/>
        <w:ind w:left="240" w:firstLine="0"/>
        <w:jc w:val="left"/>
      </w:pPr>
      <w:r>
        <w:rPr>
          <w:b/>
          <w:sz w:val="23"/>
        </w:rPr>
        <w:t xml:space="preserve">       </w:t>
      </w:r>
    </w:p>
    <w:p w:rsidR="00025683" w:rsidRDefault="007C2AAB">
      <w:pPr>
        <w:spacing w:after="12"/>
        <w:ind w:left="240" w:right="61" w:firstLine="708"/>
      </w:pPr>
      <w:r>
        <w:rPr>
          <w:b/>
        </w:rPr>
        <w:t xml:space="preserve">1.- </w:t>
      </w:r>
      <w:r>
        <w:rPr>
          <w:b/>
        </w:rPr>
        <w:t xml:space="preserve">Reconocer de forma expresa la accesibilidad cognitiva como un eje fundamental de la accesibilidad universal en el municipio de Candelaria, en consonancia con la legislación estatal vigente.  </w:t>
      </w:r>
    </w:p>
    <w:p w:rsidR="00025683" w:rsidRDefault="007C2AAB">
      <w:pPr>
        <w:spacing w:after="0" w:line="259" w:lineRule="auto"/>
        <w:ind w:left="240" w:firstLine="0"/>
        <w:jc w:val="left"/>
      </w:pPr>
      <w:r>
        <w:t xml:space="preserve"> </w:t>
      </w:r>
    </w:p>
    <w:p w:rsidR="00025683" w:rsidRDefault="007C2AAB">
      <w:pPr>
        <w:spacing w:after="12"/>
        <w:ind w:left="240" w:right="58"/>
      </w:pPr>
      <w:r>
        <w:t xml:space="preserve">        </w:t>
      </w:r>
      <w:r>
        <w:rPr>
          <w:b/>
        </w:rPr>
        <w:t xml:space="preserve"> 2.- Elaborar un diagnóstico municipal de accesibilida</w:t>
      </w:r>
      <w:r>
        <w:rPr>
          <w:b/>
        </w:rPr>
        <w:t xml:space="preserve">d cognitiva, que evalúe la situación actual de: - Edificios y dependencias municipales. - Espacios públicos y señalética urbana. - Información y comunicación institucional (cartelería, web, documentos, trámites).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spacing w:after="12"/>
        <w:ind w:left="240" w:right="54"/>
      </w:pPr>
      <w:r>
        <w:rPr>
          <w:b/>
        </w:rPr>
        <w:t xml:space="preserve">        3.- Implantar progresivamente </w:t>
      </w:r>
      <w:r>
        <w:rPr>
          <w:b/>
        </w:rPr>
        <w:t xml:space="preserve">medidas de accesibilidad cognitiva en los espacios públicos municipales, tales como: - Señalización clara, comprensible y coherente. - Uso de lectura fácil, pictogramas y apoyos visuales cuando proceda, bajo criterio técnico y con sentido.  </w:t>
      </w:r>
    </w:p>
    <w:p w:rsidR="00025683" w:rsidRDefault="007C2AAB">
      <w:pPr>
        <w:spacing w:after="0" w:line="259" w:lineRule="auto"/>
        <w:ind w:left="240" w:firstLine="0"/>
        <w:jc w:val="left"/>
      </w:pPr>
      <w:r>
        <w:t xml:space="preserve"> </w:t>
      </w:r>
    </w:p>
    <w:p w:rsidR="00025683" w:rsidRDefault="007C2AAB">
      <w:pPr>
        <w:spacing w:after="12"/>
        <w:ind w:left="240"/>
      </w:pPr>
      <w:r>
        <w:rPr>
          <w:b/>
        </w:rPr>
        <w:t xml:space="preserve">        </w:t>
      </w:r>
      <w:r>
        <w:rPr>
          <w:b/>
        </w:rPr>
        <w:tab/>
        <w:t>4.-</w:t>
      </w:r>
      <w:r>
        <w:rPr>
          <w:b/>
        </w:rPr>
        <w:t xml:space="preserve"> Formar y sensibilizar al personal municipal en materia de accesibilidad cognitiva, comunicación clara y atención inclusiva a la ciudadanía.  </w:t>
      </w:r>
    </w:p>
    <w:p w:rsidR="00025683" w:rsidRDefault="007C2AAB">
      <w:pPr>
        <w:spacing w:after="0" w:line="259" w:lineRule="auto"/>
        <w:ind w:left="240" w:firstLine="0"/>
        <w:jc w:val="left"/>
      </w:pPr>
      <w:r>
        <w:t xml:space="preserve"> </w:t>
      </w:r>
    </w:p>
    <w:p w:rsidR="00025683" w:rsidRDefault="007C2AAB">
      <w:pPr>
        <w:spacing w:after="12"/>
        <w:ind w:left="240" w:right="61"/>
      </w:pPr>
      <w:r>
        <w:rPr>
          <w:b/>
        </w:rPr>
        <w:t xml:space="preserve">        5.- Incorporar criterios de accesibilidad cognitiva en futuras obras, reformas, contratos públicos, pro</w:t>
      </w:r>
      <w:r>
        <w:rPr>
          <w:b/>
        </w:rPr>
        <w:t xml:space="preserve">yectos urbanísticos y acciones comunicativas impulsadas por el Ayuntamiento.  </w:t>
      </w:r>
    </w:p>
    <w:p w:rsidR="00025683" w:rsidRDefault="007C2AAB">
      <w:pPr>
        <w:spacing w:after="0" w:line="259" w:lineRule="auto"/>
        <w:ind w:left="240" w:firstLine="0"/>
        <w:jc w:val="left"/>
      </w:pPr>
      <w:r>
        <w:t xml:space="preserve"> </w:t>
      </w:r>
    </w:p>
    <w:p w:rsidR="00025683" w:rsidRDefault="007C2AAB">
      <w:pPr>
        <w:spacing w:after="12"/>
        <w:ind w:left="240" w:right="61"/>
      </w:pPr>
      <w:r>
        <w:rPr>
          <w:b/>
        </w:rPr>
        <w:t xml:space="preserve">        6.- Colaborar con entidades sociales, educativas y profesionales especializados en discapacidad y accesibilidad cognitiva para el diseño, evaluación y mejora de las me</w:t>
      </w:r>
      <w:r>
        <w:rPr>
          <w:b/>
        </w:rPr>
        <w:t xml:space="preserve">didas adoptadas.  </w:t>
      </w:r>
    </w:p>
    <w:p w:rsidR="00025683" w:rsidRDefault="007C2AAB">
      <w:pPr>
        <w:spacing w:after="0" w:line="259" w:lineRule="auto"/>
        <w:ind w:left="240" w:firstLine="0"/>
        <w:jc w:val="left"/>
      </w:pPr>
      <w:r>
        <w:t xml:space="preserve"> </w:t>
      </w:r>
      <w:r>
        <w:tab/>
        <w:t xml:space="preserve"> </w:t>
      </w:r>
    </w:p>
    <w:p w:rsidR="00025683" w:rsidRDefault="007C2AAB">
      <w:pPr>
        <w:spacing w:after="12"/>
        <w:ind w:left="240"/>
      </w:pPr>
      <w:r>
        <w:rPr>
          <w:b/>
        </w:rPr>
        <w:t xml:space="preserve">        7.- Dar traslado de los acuerdos adoptados a las áreas municipales competentes y hacer un seguimiento periódico de su cumplimiento.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sz w:val="24"/>
        </w:rPr>
        <w:t xml:space="preserve"> </w:t>
      </w:r>
    </w:p>
    <w:p w:rsidR="00025683" w:rsidRDefault="007C2AAB">
      <w:pPr>
        <w:spacing w:after="0" w:line="259" w:lineRule="auto"/>
        <w:ind w:left="240" w:firstLine="0"/>
        <w:jc w:val="left"/>
      </w:pPr>
      <w:r>
        <w:rPr>
          <w:sz w:val="24"/>
        </w:rPr>
        <w:t xml:space="preserve"> </w:t>
      </w:r>
    </w:p>
    <w:p w:rsidR="00025683" w:rsidRDefault="007C2AAB">
      <w:pPr>
        <w:spacing w:after="10"/>
        <w:ind w:left="193" w:right="3" w:hanging="10"/>
        <w:jc w:val="center"/>
      </w:pPr>
      <w:r>
        <w:t xml:space="preserve">En Candelaria, a 15 de diciembre de 2024 </w:t>
      </w:r>
    </w:p>
    <w:p w:rsidR="00025683" w:rsidRDefault="007C2AAB">
      <w:pPr>
        <w:spacing w:after="0" w:line="259" w:lineRule="auto"/>
        <w:ind w:left="243" w:firstLine="0"/>
        <w:jc w:val="center"/>
      </w:pPr>
      <w:r>
        <w:t xml:space="preserve"> </w:t>
      </w:r>
    </w:p>
    <w:p w:rsidR="00025683" w:rsidRDefault="007C2AAB">
      <w:pPr>
        <w:spacing w:after="10"/>
        <w:ind w:left="193" w:hanging="10"/>
        <w:jc w:val="center"/>
      </w:pPr>
      <w:r>
        <w:t xml:space="preserve">Jacobo López Fariña </w:t>
      </w:r>
    </w:p>
    <w:p w:rsidR="00025683" w:rsidRDefault="007C2AAB">
      <w:pPr>
        <w:spacing w:after="10"/>
        <w:ind w:left="193" w:right="5" w:hanging="10"/>
        <w:jc w:val="center"/>
      </w:pPr>
      <w:r>
        <w:t>Portavoz Grupo Municipa</w:t>
      </w:r>
      <w:r>
        <w:t xml:space="preserve">l Popular. </w:t>
      </w:r>
    </w:p>
    <w:p w:rsidR="00025683" w:rsidRDefault="007C2AAB">
      <w:pPr>
        <w:spacing w:after="0" w:line="259" w:lineRule="auto"/>
        <w:ind w:left="243" w:firstLine="0"/>
        <w:jc w:val="center"/>
      </w:pPr>
      <w:r>
        <w:t xml:space="preserve">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rPr>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948" w:right="197"/>
      </w:pPr>
      <w:r>
        <w:rPr>
          <w:b/>
        </w:rPr>
        <w:t xml:space="preserve">DICTAMEN DE LA COMISIÓN INFORMATIVA DE SERVICIOS A LAS PERSONAS. </w:t>
      </w:r>
    </w:p>
    <w:p w:rsidR="00025683" w:rsidRDefault="007C2AAB">
      <w:pPr>
        <w:spacing w:after="0" w:line="259" w:lineRule="auto"/>
        <w:ind w:left="240" w:firstLine="0"/>
        <w:jc w:val="left"/>
      </w:pPr>
      <w:r>
        <w:t xml:space="preserve"> </w:t>
      </w:r>
    </w:p>
    <w:p w:rsidR="00025683" w:rsidRDefault="007C2AAB">
      <w:pPr>
        <w:ind w:left="240"/>
      </w:pPr>
      <w:r>
        <w:t xml:space="preserve">La moción fue dictaminada favorablemente por la Comisión Informativa de 22 de diciembre de 2025.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2176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4137" name="Group 43413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528" name="Rectangle 5052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0529" name="Rectangle 5052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530" name="Rectangle 5053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340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4137" style="width:18.7031pt;height:264.21pt;position:absolute;mso-position-horizontal-relative:page;mso-position-horizontal:absolute;margin-left:662.928pt;mso-position-vertical-relative:page;margin-top:507.75pt;" coordsize="2375,33554">
                <v:rect id="Rectangle 5052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052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53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340 de 350 </w:t>
                        </w:r>
                      </w:p>
                    </w:txbxContent>
                  </v:textbox>
                </v:rect>
                <w10:wrap type="square"/>
              </v:group>
            </w:pict>
          </mc:Fallback>
        </mc:AlternateContent>
      </w: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948" w:firstLine="0"/>
        <w:jc w:val="left"/>
      </w:pPr>
      <w:r>
        <w:rPr>
          <w:b/>
        </w:rPr>
        <w:t xml:space="preserve"> </w:t>
      </w:r>
    </w:p>
    <w:p w:rsidR="00025683" w:rsidRDefault="007C2AAB">
      <w:pPr>
        <w:spacing w:after="12"/>
        <w:ind w:left="948" w:right="197"/>
      </w:pPr>
      <w:r>
        <w:rPr>
          <w:b/>
        </w:rPr>
        <w:t xml:space="preserve">JUNTA DE PORTAVOCES DE 22 DE DICIEMBRE DE 2025. </w:t>
      </w:r>
    </w:p>
    <w:p w:rsidR="00025683" w:rsidRDefault="007C2AAB">
      <w:pPr>
        <w:ind w:left="948" w:right="200"/>
      </w:pPr>
      <w:r>
        <w:t xml:space="preserve">Quedó oída. </w:t>
      </w:r>
    </w:p>
    <w:p w:rsidR="00025683" w:rsidRDefault="007C2AAB">
      <w:pPr>
        <w:spacing w:after="0" w:line="259" w:lineRule="auto"/>
        <w:ind w:left="948" w:firstLine="0"/>
        <w:jc w:val="left"/>
      </w:pPr>
      <w:r>
        <w:t xml:space="preserve"> </w:t>
      </w:r>
    </w:p>
    <w:p w:rsidR="00025683" w:rsidRDefault="007C2AAB">
      <w:pPr>
        <w:spacing w:after="0" w:line="259" w:lineRule="auto"/>
        <w:ind w:left="948" w:firstLine="0"/>
        <w:jc w:val="left"/>
      </w:pPr>
      <w:r>
        <w:t xml:space="preserve">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t xml:space="preserve"> </w:t>
      </w:r>
    </w:p>
    <w:p w:rsidR="00025683" w:rsidRDefault="007C2AAB">
      <w:pPr>
        <w:spacing w:after="12"/>
        <w:ind w:left="240" w:right="197" w:firstLine="708"/>
      </w:pPr>
      <w:r>
        <w:rPr>
          <w:b/>
        </w:rPr>
        <w:t xml:space="preserve">Enmienda del Grupo Socialista PSOE a la Moción del Partido Popular al Pleno de diciembre de 2025. </w:t>
      </w:r>
    </w:p>
    <w:p w:rsidR="00025683" w:rsidRDefault="007C2AAB">
      <w:pPr>
        <w:spacing w:after="0" w:line="259" w:lineRule="auto"/>
        <w:ind w:left="240" w:firstLine="0"/>
        <w:jc w:val="left"/>
      </w:pPr>
      <w:r>
        <w:t xml:space="preserve"> </w:t>
      </w:r>
    </w:p>
    <w:p w:rsidR="00025683" w:rsidRDefault="007C2AAB">
      <w:pPr>
        <w:tabs>
          <w:tab w:val="center" w:pos="240"/>
          <w:tab w:val="center" w:pos="948"/>
          <w:tab w:val="center" w:pos="1656"/>
          <w:tab w:val="center" w:pos="2364"/>
          <w:tab w:val="center" w:pos="3073"/>
          <w:tab w:val="center" w:pos="4404"/>
        </w:tabs>
        <w:spacing w:line="238" w:lineRule="auto"/>
        <w:ind w:left="0" w:firstLine="0"/>
        <w:jc w:val="left"/>
      </w:pPr>
      <w:r>
        <w:rPr>
          <w:rFonts w:ascii="Calibri" w:eastAsia="Calibri" w:hAnsi="Calibri" w:cs="Calibri"/>
        </w:rPr>
        <w:tab/>
      </w:r>
      <w:r>
        <w:rPr>
          <w:color w:val="FF0000"/>
        </w:rPr>
        <w:t xml:space="preserve"> </w:t>
      </w:r>
      <w:r>
        <w:rPr>
          <w:color w:val="FF0000"/>
        </w:rPr>
        <w:tab/>
        <w:t xml:space="preserve"> </w:t>
      </w:r>
      <w:r>
        <w:rPr>
          <w:color w:val="FF0000"/>
        </w:rPr>
        <w:tab/>
        <w:t xml:space="preserve"> </w:t>
      </w:r>
      <w:r>
        <w:rPr>
          <w:color w:val="FF0000"/>
        </w:rPr>
        <w:tab/>
        <w:t xml:space="preserve"> </w:t>
      </w:r>
      <w:r>
        <w:rPr>
          <w:color w:val="FF0000"/>
        </w:rPr>
        <w:tab/>
        <w:t xml:space="preserve"> </w:t>
      </w:r>
      <w:r>
        <w:rPr>
          <w:color w:val="FF0000"/>
        </w:rPr>
        <w:tab/>
      </w:r>
      <w:r>
        <w:rPr>
          <w:i/>
        </w:rPr>
        <w:t>ACUERDOS</w:t>
      </w:r>
      <w:r>
        <w:rPr>
          <w:rFonts w:ascii="Times New Roman" w:eastAsia="Times New Roman" w:hAnsi="Times New Roman" w:cs="Times New Roman"/>
          <w:sz w:val="24"/>
        </w:rPr>
        <w:t xml:space="preserve"> </w:t>
      </w:r>
    </w:p>
    <w:p w:rsidR="00025683" w:rsidRDefault="007C2AAB">
      <w:pPr>
        <w:spacing w:line="238" w:lineRule="auto"/>
        <w:ind w:left="240" w:right="49" w:firstLine="708"/>
      </w:pPr>
      <w:r>
        <w:rPr>
          <w:i/>
        </w:rPr>
        <w:t>1.- Elaborar un diagnóstico municipal de accesibilidad cognitiva, que evalúe la situación actual de edificios y dependencias municipal</w:t>
      </w:r>
      <w:r>
        <w:rPr>
          <w:i/>
        </w:rPr>
        <w:t xml:space="preserve">es, espacios públicos y señalética urbana, implantando progresivamente medidas de accesibilidad cognitiva en los espacios públicos municipales.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firstLine="708"/>
      </w:pPr>
      <w:r>
        <w:rPr>
          <w:i/>
        </w:rPr>
        <w:t xml:space="preserve">2.- Formar y sensibilizar al personal municipal en materia de accesibilidad cognitiva y atención inclusiva a </w:t>
      </w:r>
      <w:r>
        <w:rPr>
          <w:i/>
        </w:rPr>
        <w:t xml:space="preserve">la ciudadanía.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rPr>
          <w:b/>
        </w:rPr>
        <w:t xml:space="preserve"> </w:t>
      </w:r>
      <w:r>
        <w:rPr>
          <w:b/>
        </w:rPr>
        <w:tab/>
        <w:t xml:space="preserve"> </w:t>
      </w:r>
    </w:p>
    <w:p w:rsidR="00025683" w:rsidRDefault="007C2AAB">
      <w:pPr>
        <w:spacing w:after="0" w:line="259" w:lineRule="auto"/>
        <w:ind w:left="1659" w:firstLine="0"/>
        <w:jc w:val="left"/>
      </w:pPr>
      <w:r>
        <w:rPr>
          <w:b/>
        </w:rPr>
        <w:t xml:space="preserve"> </w:t>
      </w:r>
    </w:p>
    <w:p w:rsidR="00025683" w:rsidRDefault="007C2AAB">
      <w:pPr>
        <w:spacing w:after="0" w:line="259" w:lineRule="auto"/>
        <w:ind w:left="1659" w:firstLine="0"/>
        <w:jc w:val="left"/>
      </w:pPr>
      <w:r>
        <w:rPr>
          <w:b/>
        </w:rPr>
        <w:t xml:space="preserve"> </w:t>
      </w:r>
    </w:p>
    <w:p w:rsidR="00025683" w:rsidRDefault="007C2AAB">
      <w:pPr>
        <w:spacing w:after="12"/>
        <w:ind w:left="948" w:right="197"/>
      </w:pPr>
      <w:r>
        <w:rPr>
          <w:b/>
        </w:rPr>
        <w:t xml:space="preserve">VOTACIÓN EN EL PLENO DE LA ENMIENDA DEL GRUPO SOCIALISTA: </w:t>
      </w:r>
    </w:p>
    <w:p w:rsidR="00025683" w:rsidRDefault="007C2AAB">
      <w:pPr>
        <w:spacing w:after="0" w:line="259" w:lineRule="auto"/>
        <w:ind w:left="240" w:firstLine="0"/>
        <w:jc w:val="left"/>
      </w:pPr>
      <w:r>
        <w:rPr>
          <w:b/>
        </w:rPr>
        <w:t xml:space="preserve"> </w:t>
      </w:r>
    </w:p>
    <w:p w:rsidR="00025683" w:rsidRDefault="007C2AAB">
      <w:pPr>
        <w:ind w:left="948" w:right="200"/>
      </w:pPr>
      <w:r>
        <w:t xml:space="preserve">Votos a favor:11 </w:t>
      </w:r>
    </w:p>
    <w:p w:rsidR="00025683" w:rsidRDefault="007C2AAB">
      <w:pPr>
        <w:spacing w:after="0" w:line="259" w:lineRule="auto"/>
        <w:ind w:left="948" w:firstLine="0"/>
        <w:jc w:val="left"/>
      </w:pPr>
      <w:r>
        <w:t xml:space="preserve"> </w:t>
      </w:r>
    </w:p>
    <w:p w:rsidR="00025683" w:rsidRDefault="007C2AAB">
      <w:pPr>
        <w:ind w:left="240" w:right="60" w:firstLine="708"/>
      </w:pPr>
      <w:r>
        <w:t>11 concejales del Grupo Socialista: Dª. María Concepción Brito Núñez, D. Jorge Baute Delgado, D. José Francisco Pinto Ramos, Dª. Olivia Concepción Pérez, D. Reinaldo José Triviño Blanco, D. Manuel Alberto González Pestano, Dª. Margarita Eva Tendero Barroso</w:t>
      </w:r>
      <w:r>
        <w:t xml:space="preserve">, D. Airam Pérez Chinea, Dª. María del Carmen Clemente Díaz, D. Olegario Francisco Alonso Bello, Dª. Mónica Monserrat Yanes Delgado.  </w:t>
      </w:r>
    </w:p>
    <w:p w:rsidR="00025683" w:rsidRDefault="007C2AAB">
      <w:pPr>
        <w:spacing w:after="0" w:line="259" w:lineRule="auto"/>
        <w:ind w:left="240" w:firstLine="0"/>
        <w:jc w:val="left"/>
      </w:pPr>
      <w:r>
        <w:t xml:space="preserve"> </w:t>
      </w:r>
    </w:p>
    <w:p w:rsidR="00025683" w:rsidRDefault="007C2AAB">
      <w:pPr>
        <w:ind w:left="948" w:right="200"/>
      </w:pPr>
      <w:r>
        <w:t xml:space="preserve">Votos en contra: 7. </w:t>
      </w:r>
    </w:p>
    <w:p w:rsidR="00025683" w:rsidRDefault="007C2AAB">
      <w:pPr>
        <w:ind w:left="240" w:firstLine="708"/>
      </w:pPr>
      <w:r>
        <w:t>5 concejales del Grupo Popular: D. Jacobo López Fariña, D. Miguel Eduardo Hernández Chitty, Dª. Ra</w:t>
      </w:r>
      <w:r>
        <w:t xml:space="preserve">quel Martín Castro, Dª. María Carlota Díaz González y D. José Daniel Sosa González. </w:t>
      </w:r>
    </w:p>
    <w:p w:rsidR="00025683" w:rsidRDefault="007C2AAB">
      <w:pPr>
        <w:ind w:left="948" w:right="2355"/>
      </w:pPr>
      <w:r>
        <w:t xml:space="preserve">1 de la concejal del Grupo Mixto (CC), Doña Ángela Cruz Perera. 1 del concejal del Grupo Mixto (Vox), D. José Tortosa Pallarés. </w:t>
      </w:r>
    </w:p>
    <w:p w:rsidR="00025683" w:rsidRDefault="007C2AAB">
      <w:pPr>
        <w:spacing w:after="0" w:line="259" w:lineRule="auto"/>
        <w:ind w:left="948" w:firstLine="0"/>
        <w:jc w:val="left"/>
      </w:pPr>
      <w:r>
        <w:t xml:space="preserve"> </w:t>
      </w:r>
    </w:p>
    <w:p w:rsidR="00025683" w:rsidRDefault="007C2AAB">
      <w:pPr>
        <w:spacing w:after="0" w:line="259" w:lineRule="auto"/>
        <w:ind w:left="948" w:firstLine="0"/>
        <w:jc w:val="left"/>
      </w:pPr>
      <w:r>
        <w:rPr>
          <w:b/>
        </w:rPr>
        <w:t xml:space="preserve"> </w:t>
      </w:r>
    </w:p>
    <w:p w:rsidR="00025683" w:rsidRDefault="007C2AAB">
      <w:pPr>
        <w:ind w:left="948" w:right="200"/>
      </w:pPr>
      <w:r>
        <w:t xml:space="preserve">Abstenciones: 1. </w:t>
      </w:r>
    </w:p>
    <w:p w:rsidR="00025683" w:rsidRDefault="007C2AAB">
      <w:pPr>
        <w:ind w:left="948" w:right="200"/>
      </w:pPr>
      <w:r>
        <w:t xml:space="preserve">1 de la concejal del Grupo Mixto (USP), Dª. Violeta López Jiménez. </w:t>
      </w:r>
    </w:p>
    <w:p w:rsidR="00025683" w:rsidRDefault="007C2AAB">
      <w:pPr>
        <w:spacing w:after="0" w:line="259" w:lineRule="auto"/>
        <w:ind w:left="948" w:firstLine="0"/>
        <w:jc w:val="left"/>
      </w:pPr>
      <w:r>
        <w:rPr>
          <w:b/>
        </w:rPr>
        <w:t xml:space="preserve"> </w:t>
      </w:r>
    </w:p>
    <w:p w:rsidR="00025683" w:rsidRDefault="007C2AAB">
      <w:pPr>
        <w:spacing w:after="0" w:line="259" w:lineRule="auto"/>
        <w:ind w:left="948"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948" w:right="197"/>
      </w:pPr>
      <w:r>
        <w:rPr>
          <w:b/>
        </w:rPr>
        <w:t xml:space="preserve">VOTACIÓN EN EL PLENO DE LA MOCIÓN DEL GRUPO POPULAR: </w:t>
      </w:r>
    </w:p>
    <w:p w:rsidR="00025683" w:rsidRDefault="007C2AAB">
      <w:pPr>
        <w:spacing w:after="0" w:line="259" w:lineRule="auto"/>
        <w:ind w:left="240" w:firstLine="0"/>
        <w:jc w:val="left"/>
      </w:pPr>
      <w:r>
        <w:rPr>
          <w:b/>
        </w:rPr>
        <w:t xml:space="preserve"> </w:t>
      </w:r>
    </w:p>
    <w:p w:rsidR="00025683" w:rsidRDefault="007C2AAB">
      <w:pPr>
        <w:tabs>
          <w:tab w:val="center" w:pos="240"/>
          <w:tab w:val="center" w:pos="1743"/>
        </w:tabs>
        <w:ind w:left="0" w:firstLine="0"/>
        <w:jc w:val="left"/>
      </w:pPr>
      <w:r>
        <w:rPr>
          <w:rFonts w:ascii="Calibri" w:eastAsia="Calibri" w:hAnsi="Calibri" w:cs="Calibri"/>
        </w:rPr>
        <w:tab/>
      </w:r>
      <w:r>
        <w:rPr>
          <w:b/>
        </w:rPr>
        <w:t xml:space="preserve"> </w:t>
      </w:r>
      <w:r>
        <w:rPr>
          <w:b/>
        </w:rPr>
        <w:tab/>
      </w:r>
      <w:r>
        <w:t>Votos a favor: 8.</w:t>
      </w:r>
      <w:r>
        <w:rPr>
          <w:rFonts w:ascii="Times New Roman" w:eastAsia="Times New Roman" w:hAnsi="Times New Roman" w:cs="Times New Roman"/>
          <w:sz w:val="24"/>
        </w:rPr>
        <w:t xml:space="preserve"> </w:t>
      </w:r>
    </w:p>
    <w:p w:rsidR="00025683" w:rsidRDefault="007C2AAB">
      <w:pPr>
        <w:spacing w:after="0" w:line="259" w:lineRule="auto"/>
        <w:ind w:left="948" w:firstLine="0"/>
        <w:jc w:val="left"/>
      </w:pPr>
      <w:r>
        <w:t xml:space="preserve"> </w:t>
      </w:r>
    </w:p>
    <w:p w:rsidR="00025683" w:rsidRDefault="007C2AAB">
      <w:pPr>
        <w:ind w:left="240" w:firstLine="708"/>
      </w:pPr>
      <w:r>
        <w:rPr>
          <w:rFonts w:ascii="Calibri" w:eastAsia="Calibri" w:hAnsi="Calibri" w:cs="Calibri"/>
          <w:noProof/>
        </w:rPr>
        <mc:AlternateContent>
          <mc:Choice Requires="wpg">
            <w:drawing>
              <wp:anchor distT="0" distB="0" distL="114300" distR="114300" simplePos="0" relativeHeight="252022784"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3902" name="Group 4339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648" name="Rectangle 50648"/>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0649" name="Rectangle 50649"/>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650" name="Rectangle 50650"/>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341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3902" style="width:18.7031pt;height:264.21pt;position:absolute;mso-position-horizontal-relative:page;mso-position-horizontal:absolute;margin-left:662.928pt;mso-position-vertical-relative:page;margin-top:507.75pt;" coordsize="2375,33554">
                <v:rect id="Rectangle 50648"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0649"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650"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341 de 350 </w:t>
                        </w:r>
                      </w:p>
                    </w:txbxContent>
                  </v:textbox>
                </v:rect>
                <w10:wrap type="square"/>
              </v:group>
            </w:pict>
          </mc:Fallback>
        </mc:AlternateContent>
      </w:r>
      <w:r>
        <w:t>5 concejales del Grupo Popular: D. Jacobo López Fariña, D. Miguel Eduardo Hernández Chitty, Dª. Raquel Mar</w:t>
      </w:r>
      <w:r>
        <w:t xml:space="preserve">tín Castro, Dª. María Carlota Díaz González y D. José Daniel Sosa González. </w:t>
      </w:r>
    </w:p>
    <w:p w:rsidR="00025683" w:rsidRDefault="007C2AAB">
      <w:pPr>
        <w:ind w:left="948" w:right="200"/>
      </w:pPr>
      <w:r>
        <w:t xml:space="preserve">1 de la concejal del Grupo Mixto (CC), Doña Ángela Cruz Perera. </w:t>
      </w:r>
    </w:p>
    <w:p w:rsidR="00025683" w:rsidRDefault="007C2AAB">
      <w:pPr>
        <w:ind w:left="948" w:right="200"/>
      </w:pPr>
      <w:r>
        <w:t xml:space="preserve">1 del concejal del Grupo Mixto (Vox), D. José Tortosa Pallarés. </w:t>
      </w:r>
    </w:p>
    <w:p w:rsidR="00025683" w:rsidRDefault="007C2AAB">
      <w:pPr>
        <w:ind w:left="948" w:right="200"/>
      </w:pPr>
      <w:r>
        <w:t xml:space="preserve">1 de la concejal del Grupo Mixto (USP), Dª. Violeta López Jiménez. </w:t>
      </w:r>
    </w:p>
    <w:p w:rsidR="00025683" w:rsidRDefault="007C2AAB">
      <w:pPr>
        <w:spacing w:after="0" w:line="259" w:lineRule="auto"/>
        <w:ind w:left="240" w:firstLine="0"/>
        <w:jc w:val="left"/>
      </w:pPr>
      <w:r>
        <w:t xml:space="preserve"> </w:t>
      </w:r>
    </w:p>
    <w:p w:rsidR="00025683" w:rsidRDefault="007C2AAB">
      <w:pPr>
        <w:ind w:left="948" w:right="200"/>
      </w:pPr>
      <w:r>
        <w:t xml:space="preserve">Votos en contra: 11. </w:t>
      </w:r>
    </w:p>
    <w:p w:rsidR="00025683" w:rsidRDefault="007C2AAB">
      <w:pPr>
        <w:ind w:left="240" w:right="60" w:firstLine="708"/>
      </w:pPr>
      <w:r>
        <w:t>11 concejales del Grupo Socialista: Dª. María Concepción Brito Núñez, D. Jorge Baute Delgado, D. José Francisco Pinto Ramos, Dª. Olivia Concepción Pérez, D. Reinald</w:t>
      </w:r>
      <w:r>
        <w:t xml:space="preserve">o José Triviño Blanco, D. Manuel Alberto González Pestano, Dª. Margarita Eva Tendero Barroso, D. Airam Pérez Chinea, Dª. María del Carmen Clemente Díaz, D. Olegario Francisco Alonso Bello, Dª. Mónica Monserrat Yanes Delgado.  </w:t>
      </w:r>
    </w:p>
    <w:p w:rsidR="00025683" w:rsidRDefault="007C2AAB">
      <w:pPr>
        <w:ind w:left="948" w:right="200"/>
      </w:pPr>
      <w:r>
        <w:t xml:space="preserve">Abstenciones: 0. </w:t>
      </w:r>
    </w:p>
    <w:p w:rsidR="00025683" w:rsidRDefault="007C2AAB">
      <w:pPr>
        <w:spacing w:after="0" w:line="259" w:lineRule="auto"/>
        <w:ind w:left="1659" w:firstLine="0"/>
        <w:jc w:val="left"/>
      </w:pPr>
      <w:r>
        <w:rPr>
          <w:b/>
        </w:rPr>
        <w:t xml:space="preserve"> </w:t>
      </w:r>
    </w:p>
    <w:p w:rsidR="00025683" w:rsidRDefault="007C2AAB">
      <w:pPr>
        <w:spacing w:after="0" w:line="259" w:lineRule="auto"/>
        <w:ind w:left="1659" w:firstLine="0"/>
        <w:jc w:val="left"/>
      </w:pPr>
      <w:r>
        <w:rPr>
          <w:b/>
        </w:rPr>
        <w:t xml:space="preserve"> </w:t>
      </w:r>
    </w:p>
    <w:p w:rsidR="00025683" w:rsidRDefault="007C2AAB">
      <w:pPr>
        <w:spacing w:after="0" w:line="259" w:lineRule="auto"/>
        <w:ind w:left="1659" w:firstLine="0"/>
        <w:jc w:val="left"/>
      </w:pPr>
      <w:r>
        <w:rPr>
          <w:b/>
        </w:rPr>
        <w:t xml:space="preserve"> </w:t>
      </w:r>
    </w:p>
    <w:p w:rsidR="00025683" w:rsidRDefault="007C2AAB">
      <w:pPr>
        <w:spacing w:after="0" w:line="259" w:lineRule="auto"/>
        <w:ind w:left="1659" w:firstLine="0"/>
        <w:jc w:val="left"/>
      </w:pPr>
      <w:r>
        <w:rPr>
          <w:b/>
        </w:rPr>
        <w:t xml:space="preserve"> </w:t>
      </w:r>
    </w:p>
    <w:p w:rsidR="00025683" w:rsidRDefault="007C2AAB">
      <w:pPr>
        <w:spacing w:after="12"/>
        <w:ind w:left="1659" w:right="197"/>
      </w:pPr>
      <w:r>
        <w:rPr>
          <w:b/>
        </w:rPr>
        <w:t>ACU</w:t>
      </w:r>
      <w:r>
        <w:rPr>
          <w:b/>
        </w:rPr>
        <w:t xml:space="preserve">ERDO DEL PLENO DE 29 DE DICIEMBRE DE 2025. </w:t>
      </w:r>
    </w:p>
    <w:p w:rsidR="00025683" w:rsidRDefault="007C2AAB">
      <w:pPr>
        <w:spacing w:after="0" w:line="259" w:lineRule="auto"/>
        <w:ind w:left="240" w:firstLine="0"/>
        <w:jc w:val="left"/>
      </w:pPr>
      <w:r>
        <w:rPr>
          <w:b/>
        </w:rPr>
        <w:t xml:space="preserve"> </w:t>
      </w:r>
    </w:p>
    <w:p w:rsidR="00025683" w:rsidRDefault="007C2AAB">
      <w:pPr>
        <w:spacing w:after="12"/>
        <w:ind w:left="240" w:firstLine="708"/>
      </w:pPr>
      <w:r>
        <w:rPr>
          <w:b/>
        </w:rPr>
        <w:t xml:space="preserve">Aprobar la Enmienda del Grupo Socialista PSOE a la Moción del Partido Popular al Pleno de diciembre de 2025. </w:t>
      </w:r>
    </w:p>
    <w:p w:rsidR="00025683" w:rsidRDefault="007C2AAB">
      <w:pPr>
        <w:spacing w:after="0" w:line="259" w:lineRule="auto"/>
        <w:ind w:left="240" w:firstLine="0"/>
        <w:jc w:val="left"/>
      </w:pPr>
      <w:r>
        <w:t xml:space="preserve"> </w:t>
      </w:r>
    </w:p>
    <w:p w:rsidR="00025683" w:rsidRDefault="007C2AAB">
      <w:pPr>
        <w:tabs>
          <w:tab w:val="center" w:pos="240"/>
          <w:tab w:val="center" w:pos="948"/>
          <w:tab w:val="center" w:pos="1656"/>
          <w:tab w:val="center" w:pos="2364"/>
          <w:tab w:val="center" w:pos="3073"/>
          <w:tab w:val="center" w:pos="4404"/>
        </w:tabs>
        <w:spacing w:line="238" w:lineRule="auto"/>
        <w:ind w:left="0" w:firstLine="0"/>
        <w:jc w:val="left"/>
      </w:pPr>
      <w:r>
        <w:rPr>
          <w:rFonts w:ascii="Calibri" w:eastAsia="Calibri" w:hAnsi="Calibri" w:cs="Calibri"/>
        </w:rPr>
        <w:tab/>
      </w:r>
      <w:r>
        <w:rPr>
          <w:color w:val="FF0000"/>
        </w:rPr>
        <w:t xml:space="preserve"> </w:t>
      </w:r>
      <w:r>
        <w:rPr>
          <w:color w:val="FF0000"/>
        </w:rPr>
        <w:tab/>
        <w:t xml:space="preserve"> </w:t>
      </w:r>
      <w:r>
        <w:rPr>
          <w:color w:val="FF0000"/>
        </w:rPr>
        <w:tab/>
        <w:t xml:space="preserve"> </w:t>
      </w:r>
      <w:r>
        <w:rPr>
          <w:color w:val="FF0000"/>
        </w:rPr>
        <w:tab/>
        <w:t xml:space="preserve"> </w:t>
      </w:r>
      <w:r>
        <w:rPr>
          <w:color w:val="FF0000"/>
        </w:rPr>
        <w:tab/>
        <w:t xml:space="preserve"> </w:t>
      </w:r>
      <w:r>
        <w:rPr>
          <w:color w:val="FF0000"/>
        </w:rPr>
        <w:tab/>
      </w:r>
      <w:r>
        <w:rPr>
          <w:i/>
        </w:rPr>
        <w:t>ACUERDOS</w:t>
      </w:r>
      <w:r>
        <w:rPr>
          <w:rFonts w:ascii="Times New Roman" w:eastAsia="Times New Roman" w:hAnsi="Times New Roman" w:cs="Times New Roman"/>
          <w:sz w:val="24"/>
        </w:rPr>
        <w:t xml:space="preserve"> </w:t>
      </w:r>
    </w:p>
    <w:p w:rsidR="00025683" w:rsidRDefault="007C2AAB">
      <w:pPr>
        <w:spacing w:line="238" w:lineRule="auto"/>
        <w:ind w:left="240" w:right="49" w:firstLine="708"/>
      </w:pPr>
      <w:r>
        <w:rPr>
          <w:i/>
        </w:rPr>
        <w:t xml:space="preserve">1.- </w:t>
      </w:r>
      <w:r>
        <w:rPr>
          <w:i/>
        </w:rPr>
        <w:t>Elaborar un diagnóstico municipal de accesibilidad cognitiva, que evalúe la situación actual de edificios y dependencias municipales, espacios públicos y señalética urbana, implantando progresivamente medidas de accesibilidad cognitiva en los espacios públ</w:t>
      </w:r>
      <w:r>
        <w:rPr>
          <w:i/>
        </w:rPr>
        <w:t xml:space="preserve">icos municipales. </w:t>
      </w:r>
    </w:p>
    <w:p w:rsidR="00025683" w:rsidRDefault="007C2AAB">
      <w:pPr>
        <w:spacing w:after="0" w:line="259" w:lineRule="auto"/>
        <w:ind w:left="240" w:firstLine="0"/>
        <w:jc w:val="left"/>
      </w:pPr>
      <w:r>
        <w:rPr>
          <w:i/>
        </w:rPr>
        <w:t xml:space="preserve"> </w:t>
      </w:r>
    </w:p>
    <w:p w:rsidR="00025683" w:rsidRDefault="007C2AAB">
      <w:pPr>
        <w:spacing w:line="238" w:lineRule="auto"/>
        <w:ind w:left="240" w:right="49" w:firstLine="708"/>
      </w:pPr>
      <w:r>
        <w:rPr>
          <w:i/>
        </w:rPr>
        <w:t xml:space="preserve">2.- Formar y sensibilizar al personal municipal en materia de accesibilidad cognitiva y atención inclusiva a la ciudadanía.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sz w:val="24"/>
        </w:rPr>
        <w:t xml:space="preserve"> </w:t>
      </w:r>
    </w:p>
    <w:p w:rsidR="00025683" w:rsidRDefault="007C2AAB">
      <w:pPr>
        <w:spacing w:after="16" w:line="259" w:lineRule="auto"/>
        <w:ind w:left="240" w:firstLine="0"/>
        <w:jc w:val="left"/>
      </w:pPr>
      <w:r>
        <w:rPr>
          <w:b/>
          <w:sz w:val="24"/>
        </w:rPr>
        <w:t xml:space="preserve"> </w:t>
      </w:r>
    </w:p>
    <w:p w:rsidR="00025683" w:rsidRDefault="007C2AAB">
      <w:pPr>
        <w:spacing w:after="4" w:line="245" w:lineRule="auto"/>
        <w:ind w:left="250" w:right="63" w:hanging="10"/>
      </w:pPr>
      <w:r>
        <w:rPr>
          <w:b/>
          <w:sz w:val="28"/>
        </w:rPr>
        <w:t>11.-</w:t>
      </w:r>
      <w:r>
        <w:rPr>
          <w:b/>
          <w:color w:val="FF0000"/>
          <w:sz w:val="28"/>
        </w:rPr>
        <w:t xml:space="preserve"> </w:t>
      </w:r>
      <w:r>
        <w:rPr>
          <w:b/>
          <w:sz w:val="28"/>
          <w:u w:val="single" w:color="000000"/>
        </w:rPr>
        <w:t>Expediente 12698/2025</w:t>
      </w:r>
      <w:r>
        <w:rPr>
          <w:b/>
          <w:sz w:val="28"/>
        </w:rPr>
        <w:t>. Moción del Grupo Mixto (CC) para instar al Ayuntamiento de Candelaria para</w:t>
      </w:r>
      <w:r>
        <w:rPr>
          <w:b/>
          <w:sz w:val="28"/>
        </w:rPr>
        <w:t xml:space="preserve"> la cesión de suelo dotación para la construcción de viviendas de promoción pública (VPP)</w:t>
      </w:r>
      <w:r>
        <w:rPr>
          <w:rFonts w:ascii="Times New Roman" w:eastAsia="Times New Roman" w:hAnsi="Times New Roman" w:cs="Times New Roman"/>
          <w:sz w:val="28"/>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pPr>
      <w:r>
        <w:rPr>
          <w:b/>
        </w:rPr>
        <w:t xml:space="preserve">Consta en el expediente moción presentada por el Grupo Mixto (CC) de fecha 17 de diciembre de 2025 que transcrita literalmente dice: </w:t>
      </w:r>
    </w:p>
    <w:p w:rsidR="00025683" w:rsidRDefault="007C2AAB">
      <w:pPr>
        <w:spacing w:after="0" w:line="259" w:lineRule="auto"/>
        <w:ind w:left="240" w:firstLine="0"/>
        <w:jc w:val="left"/>
      </w:pPr>
      <w:r>
        <w:rPr>
          <w:b/>
        </w:rPr>
        <w:t xml:space="preserve"> </w:t>
      </w:r>
    </w:p>
    <w:p w:rsidR="00025683" w:rsidRDefault="007C2AAB">
      <w:pPr>
        <w:spacing w:after="3" w:line="259" w:lineRule="auto"/>
        <w:ind w:left="240" w:firstLine="0"/>
        <w:jc w:val="left"/>
      </w:pPr>
      <w:r>
        <w:rPr>
          <w:b/>
        </w:rPr>
        <w:t xml:space="preserve"> </w:t>
      </w:r>
    </w:p>
    <w:p w:rsidR="00025683" w:rsidRDefault="007C2AAB">
      <w:pPr>
        <w:spacing w:after="266"/>
        <w:ind w:left="240" w:right="197"/>
      </w:pPr>
      <w:r>
        <w:rPr>
          <w:b/>
        </w:rPr>
        <w:t xml:space="preserve">“ </w:t>
      </w:r>
    </w:p>
    <w:p w:rsidR="00025683" w:rsidRDefault="007C2AAB">
      <w:pPr>
        <w:spacing w:after="0" w:line="259" w:lineRule="auto"/>
        <w:ind w:left="175" w:firstLine="0"/>
        <w:jc w:val="center"/>
      </w:pPr>
      <w:r>
        <w:rPr>
          <w:b/>
          <w:color w:val="FF0000"/>
        </w:rPr>
        <w:t xml:space="preserve"> </w:t>
      </w:r>
      <w:r>
        <w:rPr>
          <w:noProof/>
        </w:rPr>
        <w:drawing>
          <wp:inline distT="0" distB="0" distL="0" distR="0">
            <wp:extent cx="694770" cy="722382"/>
            <wp:effectExtent l="0" t="0" r="0" b="0"/>
            <wp:docPr id="50817" name="Picture 50817"/>
            <wp:cNvGraphicFramePr/>
            <a:graphic xmlns:a="http://schemas.openxmlformats.org/drawingml/2006/main">
              <a:graphicData uri="http://schemas.openxmlformats.org/drawingml/2006/picture">
                <pic:pic xmlns:pic="http://schemas.openxmlformats.org/drawingml/2006/picture">
                  <pic:nvPicPr>
                    <pic:cNvPr id="50817" name="Picture 50817"/>
                    <pic:cNvPicPr/>
                  </pic:nvPicPr>
                  <pic:blipFill>
                    <a:blip r:embed="rId146"/>
                    <a:stretch>
                      <a:fillRect/>
                    </a:stretch>
                  </pic:blipFill>
                  <pic:spPr>
                    <a:xfrm>
                      <a:off x="0" y="0"/>
                      <a:ext cx="694770" cy="722382"/>
                    </a:xfrm>
                    <a:prstGeom prst="rect">
                      <a:avLst/>
                    </a:prstGeom>
                  </pic:spPr>
                </pic:pic>
              </a:graphicData>
            </a:graphic>
          </wp:inline>
        </w:drawing>
      </w:r>
      <w:r>
        <w:rPr>
          <w:sz w:val="18"/>
        </w:rPr>
        <w:t xml:space="preserve">                    </w:t>
      </w:r>
      <w:r>
        <w:rPr>
          <w:sz w:val="18"/>
        </w:rPr>
        <w:t xml:space="preserve">                       </w:t>
      </w:r>
      <w:r>
        <w:rPr>
          <w:b/>
          <w:color w:val="0000FF"/>
          <w:sz w:val="18"/>
        </w:rPr>
        <w:t>Concejales de Coalición Canaria</w:t>
      </w:r>
      <w:r>
        <w:rPr>
          <w:rFonts w:ascii="Times New Roman" w:eastAsia="Times New Roman" w:hAnsi="Times New Roman" w:cs="Times New Roman"/>
          <w:sz w:val="24"/>
        </w:rPr>
        <w:t xml:space="preserve"> </w:t>
      </w:r>
    </w:p>
    <w:p w:rsidR="00025683" w:rsidRDefault="007C2AAB">
      <w:pPr>
        <w:spacing w:after="37" w:line="259" w:lineRule="auto"/>
        <w:ind w:left="180" w:firstLine="0"/>
        <w:jc w:val="center"/>
      </w:pPr>
      <w:r>
        <w:rPr>
          <w:b/>
          <w:sz w:val="18"/>
        </w:rPr>
        <w:t xml:space="preserve">                                                                        Ayuntamiento de Candelaria </w:t>
      </w:r>
    </w:p>
    <w:p w:rsidR="00025683" w:rsidRDefault="007C2AAB">
      <w:pPr>
        <w:spacing w:after="60" w:line="259" w:lineRule="auto"/>
        <w:ind w:left="250" w:hanging="10"/>
        <w:jc w:val="left"/>
      </w:pPr>
      <w:r>
        <w:rPr>
          <w:sz w:val="20"/>
        </w:rPr>
        <w:t xml:space="preserve">                      </w:t>
      </w:r>
      <w:r>
        <w:rPr>
          <w:b/>
          <w:sz w:val="20"/>
        </w:rPr>
        <w:t>Candelaria</w:t>
      </w:r>
      <w:r>
        <w:rPr>
          <w:rFonts w:ascii="Times New Roman" w:eastAsia="Times New Roman" w:hAnsi="Times New Roman" w:cs="Times New Roman"/>
          <w:sz w:val="24"/>
        </w:rPr>
        <w:t xml:space="preserve"> </w:t>
      </w:r>
    </w:p>
    <w:p w:rsidR="00025683" w:rsidRDefault="007C2AAB">
      <w:pPr>
        <w:spacing w:after="0" w:line="259" w:lineRule="auto"/>
        <w:ind w:left="174" w:firstLine="0"/>
        <w:jc w:val="center"/>
      </w:pPr>
      <w:r>
        <w:rPr>
          <w:rFonts w:ascii="Calibri" w:eastAsia="Calibri" w:hAnsi="Calibri" w:cs="Calibri"/>
          <w:noProof/>
        </w:rPr>
        <mc:AlternateContent>
          <mc:Choice Requires="wpg">
            <w:drawing>
              <wp:anchor distT="0" distB="0" distL="114300" distR="114300" simplePos="0" relativeHeight="25202380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5701" name="Group 4357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0820" name="Rectangle 5082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0821" name="Rectangle 5082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0822" name="Rectangle 5082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342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5701" style="width:18.7031pt;height:264.21pt;position:absolute;mso-position-horizontal-relative:page;mso-position-horizontal:absolute;margin-left:662.928pt;mso-position-vertical-relative:page;margin-top:507.75pt;" coordsize="2375,33554">
                <v:rect id="Rectangle 5082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082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082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342 de 350 </w:t>
                        </w:r>
                      </w:p>
                    </w:txbxContent>
                  </v:textbox>
                </v:rect>
                <w10:wrap type="square"/>
              </v:group>
            </w:pict>
          </mc:Fallback>
        </mc:AlternateContent>
      </w:r>
      <w:r>
        <w:rPr>
          <w:rFonts w:ascii="Calibri" w:eastAsia="Calibri" w:hAnsi="Calibri" w:cs="Calibri"/>
          <w:b/>
          <w:color w:val="222222"/>
          <w:sz w:val="32"/>
        </w:rPr>
        <w:t xml:space="preserve">MOCIÓN </w:t>
      </w:r>
    </w:p>
    <w:p w:rsidR="00025683" w:rsidRDefault="007C2AAB">
      <w:pPr>
        <w:spacing w:line="250" w:lineRule="auto"/>
        <w:ind w:left="225" w:right="44" w:firstLine="708"/>
      </w:pPr>
      <w:r>
        <w:rPr>
          <w:rFonts w:ascii="Calibri" w:eastAsia="Calibri" w:hAnsi="Calibri" w:cs="Calibri"/>
          <w:color w:val="222222"/>
          <w:sz w:val="24"/>
        </w:rPr>
        <w:t>Dña. Ángela Cruz Perera, con DNI 42047869-M, en calidad de concejal y portavoz de Coalición Canari</w:t>
      </w:r>
      <w:r>
        <w:rPr>
          <w:rFonts w:ascii="Calibri" w:eastAsia="Calibri" w:hAnsi="Calibri" w:cs="Calibri"/>
          <w:color w:val="222222"/>
          <w:sz w:val="24"/>
        </w:rPr>
        <w:t>a (CC), conforme establece el artículo 97.3 del Reglamento de Organización, Funcionamiento y Régimen Jurídico de las Entidades Locales, aprobado por R.D. 2568/1986, de 28 de noviembre, y los artículos 19.1b y 80 del Reglamento Orgánico y de la Administraci</w:t>
      </w:r>
      <w:r>
        <w:rPr>
          <w:rFonts w:ascii="Calibri" w:eastAsia="Calibri" w:hAnsi="Calibri" w:cs="Calibri"/>
          <w:color w:val="222222"/>
          <w:sz w:val="24"/>
        </w:rPr>
        <w:t xml:space="preserve">ón del </w:t>
      </w:r>
    </w:p>
    <w:p w:rsidR="00025683" w:rsidRDefault="007C2AAB">
      <w:pPr>
        <w:spacing w:line="250" w:lineRule="auto"/>
        <w:ind w:left="235" w:right="44" w:hanging="10"/>
      </w:pPr>
      <w:r>
        <w:rPr>
          <w:rFonts w:ascii="Calibri" w:eastAsia="Calibri" w:hAnsi="Calibri" w:cs="Calibri"/>
          <w:color w:val="222222"/>
          <w:sz w:val="24"/>
        </w:rPr>
        <w:t xml:space="preserve">Ayuntamiento de Candelaria, presenta al Pleno para su debate y aprobación la siguiente </w:t>
      </w:r>
      <w:r>
        <w:rPr>
          <w:rFonts w:ascii="Calibri" w:eastAsia="Calibri" w:hAnsi="Calibri" w:cs="Calibri"/>
          <w:b/>
          <w:color w:val="222222"/>
          <w:sz w:val="24"/>
        </w:rPr>
        <w:t xml:space="preserve">MOCIÓN </w:t>
      </w:r>
    </w:p>
    <w:p w:rsidR="00025683" w:rsidRDefault="007C2AAB">
      <w:pPr>
        <w:spacing w:line="259" w:lineRule="auto"/>
        <w:ind w:left="235" w:hanging="10"/>
        <w:jc w:val="left"/>
      </w:pPr>
      <w:r>
        <w:rPr>
          <w:rFonts w:ascii="Calibri" w:eastAsia="Calibri" w:hAnsi="Calibri" w:cs="Calibri"/>
          <w:b/>
          <w:color w:val="222222"/>
          <w:sz w:val="24"/>
        </w:rPr>
        <w:t xml:space="preserve">PARA INSTAR AL AYUNTAMIENTO DE CANDELARIA LA CESIÓN DE SUELO DOTACIONAL PARA LA </w:t>
      </w:r>
    </w:p>
    <w:p w:rsidR="00025683" w:rsidRDefault="007C2AAB">
      <w:pPr>
        <w:spacing w:line="259" w:lineRule="auto"/>
        <w:ind w:left="235" w:hanging="10"/>
        <w:jc w:val="left"/>
      </w:pPr>
      <w:r>
        <w:rPr>
          <w:rFonts w:ascii="Calibri" w:eastAsia="Calibri" w:hAnsi="Calibri" w:cs="Calibri"/>
          <w:b/>
          <w:color w:val="222222"/>
          <w:sz w:val="24"/>
        </w:rPr>
        <w:t>CONSTRUCCIÓN DE VIVIENDA DE PROMOCIÓN PÚBLICA (VPP)</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sz w:val="24"/>
        </w:rPr>
        <w:t xml:space="preserve"> </w:t>
      </w:r>
    </w:p>
    <w:p w:rsidR="00025683" w:rsidRDefault="007C2AAB">
      <w:pPr>
        <w:spacing w:after="18" w:line="259" w:lineRule="auto"/>
        <w:ind w:left="240" w:firstLine="0"/>
        <w:jc w:val="left"/>
      </w:pPr>
      <w:r>
        <w:rPr>
          <w:sz w:val="24"/>
        </w:rPr>
        <w:t xml:space="preserve"> </w:t>
      </w:r>
    </w:p>
    <w:p w:rsidR="00025683" w:rsidRDefault="007C2AAB">
      <w:pPr>
        <w:spacing w:after="0" w:line="259" w:lineRule="auto"/>
        <w:ind w:left="180" w:firstLine="0"/>
        <w:jc w:val="center"/>
      </w:pPr>
      <w:r>
        <w:rPr>
          <w:rFonts w:ascii="Calibri" w:eastAsia="Calibri" w:hAnsi="Calibri" w:cs="Calibri"/>
          <w:b/>
          <w:sz w:val="24"/>
        </w:rPr>
        <w:t>EXPOSICIÓN DE MOTIVOS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sz w:val="24"/>
        </w:rPr>
        <w:t xml:space="preserve"> </w:t>
      </w:r>
    </w:p>
    <w:p w:rsidR="00025683" w:rsidRDefault="007C2AAB">
      <w:pPr>
        <w:spacing w:after="0" w:line="253" w:lineRule="auto"/>
        <w:ind w:left="240" w:right="58" w:firstLine="0"/>
      </w:pPr>
      <w:r>
        <w:rPr>
          <w:rFonts w:ascii="Calibri" w:eastAsia="Calibri" w:hAnsi="Calibri" w:cs="Calibri"/>
          <w:sz w:val="24"/>
        </w:rPr>
        <w:t xml:space="preserve">El </w:t>
      </w:r>
      <w:r>
        <w:rPr>
          <w:rFonts w:ascii="Calibri" w:eastAsia="Calibri" w:hAnsi="Calibri" w:cs="Calibri"/>
          <w:color w:val="0000FF"/>
          <w:sz w:val="24"/>
          <w:u w:val="single" w:color="0000FF"/>
        </w:rPr>
        <w:t>Real Decreto Legislativo 7/2015, de 30 de octubre, por el que se aprueba el texto refundido de la</w:t>
      </w:r>
      <w:r>
        <w:rPr>
          <w:rFonts w:ascii="Calibri" w:eastAsia="Calibri" w:hAnsi="Calibri" w:cs="Calibri"/>
          <w:color w:val="0000FF"/>
          <w:sz w:val="24"/>
        </w:rPr>
        <w:t xml:space="preserve"> </w:t>
      </w:r>
      <w:r>
        <w:rPr>
          <w:rFonts w:ascii="Calibri" w:eastAsia="Calibri" w:hAnsi="Calibri" w:cs="Calibri"/>
          <w:color w:val="0000FF"/>
          <w:sz w:val="24"/>
          <w:u w:val="single" w:color="0000FF"/>
        </w:rPr>
        <w:t>Ley de Suelo y Rehabilitación Urbana</w:t>
      </w:r>
      <w:r>
        <w:rPr>
          <w:rFonts w:ascii="Calibri" w:eastAsia="Calibri" w:hAnsi="Calibri" w:cs="Calibri"/>
          <w:sz w:val="24"/>
        </w:rPr>
        <w:t xml:space="preserve">, </w:t>
      </w:r>
      <w:r>
        <w:rPr>
          <w:rFonts w:ascii="Calibri" w:eastAsia="Calibri" w:hAnsi="Calibri" w:cs="Calibri"/>
          <w:b/>
          <w:sz w:val="24"/>
        </w:rPr>
        <w:t>permite la cesión de suelo dotacional  municipal para vivienda pública</w:t>
      </w:r>
      <w:r>
        <w:rPr>
          <w:rFonts w:ascii="Calibri" w:eastAsia="Calibri" w:hAnsi="Calibri" w:cs="Calibri"/>
          <w:sz w:val="24"/>
        </w:rPr>
        <w:t xml:space="preserve">.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rFonts w:ascii="Calibri" w:eastAsia="Calibri" w:hAnsi="Calibri" w:cs="Calibri"/>
          <w:sz w:val="24"/>
        </w:rPr>
        <w:t xml:space="preserve"> </w:t>
      </w:r>
    </w:p>
    <w:p w:rsidR="00025683" w:rsidRDefault="007C2AAB">
      <w:pPr>
        <w:spacing w:after="3" w:line="263" w:lineRule="auto"/>
        <w:ind w:left="235" w:right="43" w:hanging="10"/>
      </w:pPr>
      <w:r>
        <w:rPr>
          <w:rFonts w:ascii="Calibri" w:eastAsia="Calibri" w:hAnsi="Calibri" w:cs="Calibri"/>
          <w:sz w:val="24"/>
        </w:rPr>
        <w:t xml:space="preserve">Los ayuntamientos obtienen este suelo de manera obligatoria y gratuita, especialmente en zonas de nueva urbanización, a través de los deberes de los propietarios.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rFonts w:ascii="Calibri" w:eastAsia="Calibri" w:hAnsi="Calibri" w:cs="Calibri"/>
          <w:sz w:val="24"/>
        </w:rPr>
        <w:t xml:space="preserve"> </w:t>
      </w:r>
    </w:p>
    <w:p w:rsidR="00025683" w:rsidRDefault="007C2AAB">
      <w:pPr>
        <w:spacing w:after="3" w:line="263" w:lineRule="auto"/>
        <w:ind w:left="235" w:right="43" w:hanging="10"/>
      </w:pPr>
      <w:r>
        <w:rPr>
          <w:rFonts w:ascii="Calibri" w:eastAsia="Calibri" w:hAnsi="Calibri" w:cs="Calibri"/>
          <w:sz w:val="24"/>
        </w:rPr>
        <w:t>Estos suelos dotacionales, inicialmente destinados a servicios públicos como colegios, ho</w:t>
      </w:r>
      <w:r>
        <w:rPr>
          <w:rFonts w:ascii="Calibri" w:eastAsia="Calibri" w:hAnsi="Calibri" w:cs="Calibri"/>
          <w:sz w:val="24"/>
        </w:rPr>
        <w:t>spitales, equipamientos deportivos o culturales o zonas verdes, pueden ser destinados a vivienda pública por el Ayuntamiento, una técnica urbanística para garantizar el derecho a la vivienda y solucionar la escasez de suelo público, tal como se regula en n</w:t>
      </w:r>
      <w:r>
        <w:rPr>
          <w:rFonts w:ascii="Calibri" w:eastAsia="Calibri" w:hAnsi="Calibri" w:cs="Calibri"/>
          <w:sz w:val="24"/>
        </w:rPr>
        <w:t xml:space="preserve">ormativas autonómicas y estatales como la Ley 12/2023, de 24 de mayo, por el derecho a la Vivienda.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rFonts w:ascii="Calibri" w:eastAsia="Calibri" w:hAnsi="Calibri" w:cs="Calibri"/>
          <w:sz w:val="24"/>
        </w:rPr>
        <w:t xml:space="preserve"> </w:t>
      </w:r>
    </w:p>
    <w:p w:rsidR="00025683" w:rsidRDefault="007C2AAB">
      <w:pPr>
        <w:spacing w:after="0" w:line="244" w:lineRule="auto"/>
        <w:ind w:left="235" w:right="49" w:hanging="10"/>
      </w:pPr>
      <w:r>
        <w:rPr>
          <w:rFonts w:ascii="Calibri" w:eastAsia="Calibri" w:hAnsi="Calibri" w:cs="Calibri"/>
          <w:color w:val="0A0A0A"/>
          <w:sz w:val="24"/>
        </w:rPr>
        <w:t>Concretamente, el artículo 3.f.1º de la Ley 12/2023, define el parque público de viviendas como “aquellas construidas sobre suelo público, incluyendo el</w:t>
      </w:r>
      <w:r>
        <w:rPr>
          <w:rFonts w:ascii="Calibri" w:eastAsia="Calibri" w:hAnsi="Calibri" w:cs="Calibri"/>
          <w:color w:val="0A0A0A"/>
          <w:sz w:val="24"/>
        </w:rPr>
        <w:t xml:space="preserve"> dotacional”, con el objetivo de solucionar la falta de suelo público para políticas de vivienda social, permitiendo que los ayuntamientos construyan o cedan viviendas asequibles para alquiler o tenencia temporal. </w:t>
      </w:r>
    </w:p>
    <w:p w:rsidR="00025683" w:rsidRDefault="007C2AAB">
      <w:pPr>
        <w:spacing w:after="0" w:line="259" w:lineRule="auto"/>
        <w:ind w:left="588" w:firstLine="0"/>
        <w:jc w:val="left"/>
      </w:pPr>
      <w:r>
        <w:rPr>
          <w:rFonts w:ascii="Calibri" w:eastAsia="Calibri" w:hAnsi="Calibri" w:cs="Calibri"/>
          <w:color w:val="0A0A0A"/>
          <w:sz w:val="24"/>
        </w:rPr>
        <w:t xml:space="preserve"> </w:t>
      </w:r>
    </w:p>
    <w:p w:rsidR="00025683" w:rsidRDefault="007C2AAB">
      <w:pPr>
        <w:spacing w:after="294" w:line="244" w:lineRule="auto"/>
        <w:ind w:left="235" w:right="49" w:hanging="10"/>
      </w:pPr>
      <w:r>
        <w:rPr>
          <w:rFonts w:ascii="Calibri" w:eastAsia="Calibri" w:hAnsi="Calibri" w:cs="Calibri"/>
          <w:color w:val="0A0A0A"/>
          <w:sz w:val="24"/>
        </w:rPr>
        <w:t xml:space="preserve">En cuanto a normativa autonómica contamos con el </w:t>
      </w:r>
      <w:r>
        <w:rPr>
          <w:rFonts w:ascii="Calibri" w:eastAsia="Calibri" w:hAnsi="Calibri" w:cs="Calibri"/>
          <w:color w:val="0000FF"/>
          <w:sz w:val="24"/>
          <w:u w:val="single" w:color="0000FF"/>
        </w:rPr>
        <w:t>Decreto-ley 1/2024, de 19 de febrero</w:t>
      </w:r>
      <w:r>
        <w:rPr>
          <w:rFonts w:ascii="Calibri" w:eastAsia="Calibri" w:hAnsi="Calibri" w:cs="Calibri"/>
          <w:color w:val="0A0A0A"/>
          <w:sz w:val="24"/>
        </w:rPr>
        <w:t>, del Gobierno de Canarias, de medidas urgentes en materia de Vivienda, que también permite a los ayuntamientos destinar suelo dotacional público a la construcción de vivi</w:t>
      </w:r>
      <w:r>
        <w:rPr>
          <w:rFonts w:ascii="Calibri" w:eastAsia="Calibri" w:hAnsi="Calibri" w:cs="Calibri"/>
          <w:color w:val="0A0A0A"/>
          <w:sz w:val="24"/>
        </w:rPr>
        <w:t>endas protegidas. Esta medida, adoptada para agilizar el acceso a la vivienda, autoriza que el suelo calificado como sistema general o local (dotacional) se utilice para viviendas de promoción pública, sin necesidad de modificar el planeamiento urbanístico</w:t>
      </w:r>
      <w:r>
        <w:rPr>
          <w:rFonts w:ascii="Calibri" w:eastAsia="Calibri" w:hAnsi="Calibri" w:cs="Calibri"/>
          <w:color w:val="0A0A0A"/>
          <w:sz w:val="24"/>
        </w:rPr>
        <w:t xml:space="preserve">. </w:t>
      </w:r>
      <w:r>
        <w:rPr>
          <w:rFonts w:ascii="Times New Roman" w:eastAsia="Times New Roman" w:hAnsi="Times New Roman" w:cs="Times New Roman"/>
          <w:sz w:val="24"/>
        </w:rPr>
        <w:t xml:space="preserve"> </w:t>
      </w:r>
    </w:p>
    <w:p w:rsidR="00025683" w:rsidRDefault="007C2AAB">
      <w:pPr>
        <w:spacing w:after="294" w:line="244" w:lineRule="auto"/>
        <w:ind w:left="235" w:right="49" w:hanging="10"/>
      </w:pPr>
      <w:r>
        <w:rPr>
          <w:rFonts w:ascii="Calibri" w:eastAsia="Calibri" w:hAnsi="Calibri" w:cs="Calibri"/>
          <w:color w:val="0A0A0A"/>
          <w:sz w:val="24"/>
        </w:rPr>
        <w:t xml:space="preserve">Entre las medidas de este decreto-ley, podemos destacar que: considera la construcción de vivienda pública como una </w:t>
      </w:r>
      <w:r>
        <w:rPr>
          <w:rFonts w:ascii="Calibri" w:eastAsia="Calibri" w:hAnsi="Calibri" w:cs="Calibri"/>
          <w:color w:val="0A0A0A"/>
          <w:sz w:val="24"/>
          <w:u w:val="single" w:color="0A0A0A"/>
        </w:rPr>
        <w:t>obra de interés genera</w:t>
      </w:r>
      <w:r>
        <w:rPr>
          <w:rFonts w:ascii="Calibri" w:eastAsia="Calibri" w:hAnsi="Calibri" w:cs="Calibri"/>
          <w:color w:val="0A0A0A"/>
          <w:sz w:val="24"/>
        </w:rPr>
        <w:t xml:space="preserve">l, lo que permite </w:t>
      </w:r>
      <w:r>
        <w:rPr>
          <w:rFonts w:ascii="Calibri" w:eastAsia="Calibri" w:hAnsi="Calibri" w:cs="Calibri"/>
          <w:color w:val="0A0A0A"/>
          <w:sz w:val="24"/>
          <w:u w:val="single" w:color="0A0A0A"/>
        </w:rPr>
        <w:t>reducir los plazos de tramitación</w:t>
      </w:r>
      <w:r>
        <w:rPr>
          <w:rFonts w:ascii="Calibri" w:eastAsia="Calibri" w:hAnsi="Calibri" w:cs="Calibri"/>
          <w:color w:val="0A0A0A"/>
          <w:sz w:val="24"/>
        </w:rPr>
        <w:t xml:space="preserve"> </w:t>
      </w:r>
      <w:r>
        <w:rPr>
          <w:rFonts w:ascii="Calibri" w:eastAsia="Calibri" w:hAnsi="Calibri" w:cs="Calibri"/>
          <w:color w:val="0A0A0A"/>
          <w:sz w:val="24"/>
          <w:u w:val="single" w:color="0A0A0A"/>
        </w:rPr>
        <w:t>administrativa</w:t>
      </w:r>
      <w:r>
        <w:rPr>
          <w:rFonts w:ascii="Calibri" w:eastAsia="Calibri" w:hAnsi="Calibri" w:cs="Calibri"/>
          <w:color w:val="0A0A0A"/>
          <w:sz w:val="24"/>
        </w:rPr>
        <w:t>; las viviendas construidas en estos suelos no e</w:t>
      </w:r>
      <w:r>
        <w:rPr>
          <w:rFonts w:ascii="Calibri" w:eastAsia="Calibri" w:hAnsi="Calibri" w:cs="Calibri"/>
          <w:color w:val="0A0A0A"/>
          <w:sz w:val="24"/>
        </w:rPr>
        <w:t xml:space="preserve">starán obligadas a cumplir ciertos estándares urbanísticos habituales, como los de cesión de aprovechamiento y dotacionales, y el decreto además </w:t>
      </w:r>
      <w:r>
        <w:rPr>
          <w:rFonts w:ascii="Calibri" w:eastAsia="Calibri" w:hAnsi="Calibri" w:cs="Calibri"/>
          <w:color w:val="0A0A0A"/>
          <w:sz w:val="24"/>
          <w:u w:val="single" w:color="0A0A0A"/>
        </w:rPr>
        <w:t>facilita la cesión de suelo municipal al Instituto Canario de la Vivienda (ICAVI) o a</w:t>
      </w:r>
      <w:r>
        <w:rPr>
          <w:rFonts w:ascii="Calibri" w:eastAsia="Calibri" w:hAnsi="Calibri" w:cs="Calibri"/>
          <w:color w:val="0A0A0A"/>
          <w:sz w:val="24"/>
        </w:rPr>
        <w:t xml:space="preserve"> </w:t>
      </w:r>
      <w:r>
        <w:rPr>
          <w:rFonts w:ascii="Calibri" w:eastAsia="Calibri" w:hAnsi="Calibri" w:cs="Calibri"/>
          <w:color w:val="0A0A0A"/>
          <w:sz w:val="24"/>
          <w:u w:val="single" w:color="0A0A0A"/>
        </w:rPr>
        <w:t>la empresa Visocan para q</w:t>
      </w:r>
      <w:r>
        <w:rPr>
          <w:rFonts w:ascii="Calibri" w:eastAsia="Calibri" w:hAnsi="Calibri" w:cs="Calibri"/>
          <w:color w:val="0A0A0A"/>
          <w:sz w:val="24"/>
          <w:u w:val="single" w:color="0A0A0A"/>
        </w:rPr>
        <w:t>ue desarrollen los proyectos</w:t>
      </w:r>
      <w:r>
        <w:rPr>
          <w:rFonts w:ascii="Calibri" w:eastAsia="Calibri" w:hAnsi="Calibri" w:cs="Calibri"/>
          <w:color w:val="0A0A0A"/>
          <w:sz w:val="24"/>
        </w:rPr>
        <w:t>.</w:t>
      </w:r>
      <w:r>
        <w:rPr>
          <w:rFonts w:ascii="Times New Roman" w:eastAsia="Times New Roman" w:hAnsi="Times New Roman" w:cs="Times New Roman"/>
          <w:sz w:val="24"/>
        </w:rPr>
        <w:t xml:space="preserve"> </w:t>
      </w:r>
    </w:p>
    <w:p w:rsidR="00025683" w:rsidRDefault="007C2AAB">
      <w:pPr>
        <w:spacing w:after="175" w:line="244" w:lineRule="auto"/>
        <w:ind w:left="235" w:right="49" w:hanging="10"/>
      </w:pPr>
      <w:r>
        <w:rPr>
          <w:rFonts w:ascii="Calibri" w:eastAsia="Calibri" w:hAnsi="Calibri" w:cs="Calibri"/>
          <w:noProof/>
        </w:rPr>
        <mc:AlternateContent>
          <mc:Choice Requires="wpg">
            <w:drawing>
              <wp:anchor distT="0" distB="0" distL="114300" distR="114300" simplePos="0" relativeHeight="25202483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5091" name="Group 4350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000" name="Rectangle 5100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1001" name="Rectangle 5100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002" name="Rectangle 5100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343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5091" style="width:18.7031pt;height:264.21pt;position:absolute;mso-position-horizontal-relative:page;mso-position-horizontal:absolute;margin-left:662.928pt;mso-position-vertical-relative:page;margin-top:507.75pt;" coordsize="2375,33554">
                <v:rect id="Rectangle 5100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100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00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343 de 350 </w:t>
                        </w:r>
                      </w:p>
                    </w:txbxContent>
                  </v:textbox>
                </v:rect>
                <w10:wrap type="square"/>
              </v:group>
            </w:pict>
          </mc:Fallback>
        </mc:AlternateContent>
      </w:r>
      <w:r>
        <w:rPr>
          <w:rFonts w:ascii="Calibri" w:eastAsia="Calibri" w:hAnsi="Calibri" w:cs="Calibri"/>
          <w:color w:val="0A0A0A"/>
          <w:sz w:val="24"/>
        </w:rPr>
        <w:t>Todos tenemos claro que actualmente el municipio de Candelaria sufre una crisis habitacional. La situación estratégica del municipio, cercana a las áreas metropolitanas de Santa Cruz de Tenerife y San Cristóbal de La Laguna, con la TF-1 cruzando el valle j</w:t>
      </w:r>
      <w:r>
        <w:rPr>
          <w:rFonts w:ascii="Calibri" w:eastAsia="Calibri" w:hAnsi="Calibri" w:cs="Calibri"/>
          <w:color w:val="0A0A0A"/>
          <w:sz w:val="24"/>
        </w:rPr>
        <w:t>unto a los principales enclaves costeros del municipio, lo que facilita la movilidad de los ciudadanos para acceder a sus lugares de trabajo, de estudio, hospitalarios y administrativos, ha ocasionado que en las últimas tres décadas se haya convertido Cand</w:t>
      </w:r>
      <w:r>
        <w:rPr>
          <w:rFonts w:ascii="Calibri" w:eastAsia="Calibri" w:hAnsi="Calibri" w:cs="Calibri"/>
          <w:color w:val="0A0A0A"/>
          <w:sz w:val="24"/>
        </w:rPr>
        <w:t xml:space="preserve">elaria en un polo de atracción de población, que ha revertido a su vez en un fuerte desarrollo urbanístico. </w:t>
      </w:r>
    </w:p>
    <w:p w:rsidR="00025683" w:rsidRDefault="007C2AAB">
      <w:pPr>
        <w:spacing w:after="175" w:line="244" w:lineRule="auto"/>
        <w:ind w:left="235" w:right="49" w:hanging="10"/>
      </w:pPr>
      <w:r>
        <w:rPr>
          <w:rFonts w:ascii="Calibri" w:eastAsia="Calibri" w:hAnsi="Calibri" w:cs="Calibri"/>
          <w:color w:val="0A0A0A"/>
          <w:sz w:val="24"/>
        </w:rPr>
        <w:t>Un crecimiento urbano que casi se paralizó tras la crisis financiera de 2008 y la posterior crisis económica derivada de la pandemia y la guerra de</w:t>
      </w:r>
      <w:r>
        <w:rPr>
          <w:rFonts w:ascii="Calibri" w:eastAsia="Calibri" w:hAnsi="Calibri" w:cs="Calibri"/>
          <w:color w:val="0A0A0A"/>
          <w:sz w:val="24"/>
        </w:rPr>
        <w:t xml:space="preserve"> Ucrania.  </w:t>
      </w:r>
    </w:p>
    <w:p w:rsidR="00025683" w:rsidRDefault="007C2AAB">
      <w:pPr>
        <w:spacing w:after="175" w:line="244" w:lineRule="auto"/>
        <w:ind w:left="235" w:right="49" w:hanging="10"/>
      </w:pPr>
      <w:r>
        <w:rPr>
          <w:rFonts w:ascii="Calibri" w:eastAsia="Calibri" w:hAnsi="Calibri" w:cs="Calibri"/>
          <w:color w:val="0A0A0A"/>
          <w:sz w:val="24"/>
        </w:rPr>
        <w:t>En estos últimos años hemos contemplado como se mantiene el crecimiento poblacional en el municipio, mientras que la construcción de vivienda nueva privada es escasa, y nula, en cuanto a inversión pública. Por contra, la demanda de vivienda sig</w:t>
      </w:r>
      <w:r>
        <w:rPr>
          <w:rFonts w:ascii="Calibri" w:eastAsia="Calibri" w:hAnsi="Calibri" w:cs="Calibri"/>
          <w:color w:val="0A0A0A"/>
          <w:sz w:val="24"/>
        </w:rPr>
        <w:t xml:space="preserve">ue creciendo en Candelaria, y con ella progresivamente los precios de compra y aún más los de alquiler, especialmente en la costa candelariera, hasta hacerlos casi inasumibles para la mayoría de las familias.       </w:t>
      </w:r>
    </w:p>
    <w:p w:rsidR="00025683" w:rsidRDefault="007C2AAB">
      <w:pPr>
        <w:spacing w:after="175" w:line="244" w:lineRule="auto"/>
        <w:ind w:left="235" w:right="49" w:hanging="10"/>
      </w:pPr>
      <w:r>
        <w:rPr>
          <w:rFonts w:ascii="Calibri" w:eastAsia="Calibri" w:hAnsi="Calibri" w:cs="Calibri"/>
          <w:color w:val="0A0A0A"/>
          <w:sz w:val="24"/>
        </w:rPr>
        <w:t>Al respecto, recordamos que la propia Al</w:t>
      </w:r>
      <w:r>
        <w:rPr>
          <w:rFonts w:ascii="Calibri" w:eastAsia="Calibri" w:hAnsi="Calibri" w:cs="Calibri"/>
          <w:color w:val="0A0A0A"/>
          <w:sz w:val="24"/>
        </w:rPr>
        <w:t>caldesa declaró el pasado mes de septiembre, en varios medios de comunicación, estar valorando solicitar la declaración de “zona de mercado residencial tensionada” ante los precios desorbitados de los alquileres y la falta de vivienda. Una medida que ya ha</w:t>
      </w:r>
      <w:r>
        <w:rPr>
          <w:rFonts w:ascii="Calibri" w:eastAsia="Calibri" w:hAnsi="Calibri" w:cs="Calibri"/>
          <w:color w:val="0A0A0A"/>
          <w:sz w:val="24"/>
        </w:rPr>
        <w:t>bía sido debatida con anterioridad en este Salón de Plenos, ante la propuesta del concejal de UsP, que fue enmendada por el grupo de gobierno y aprobada por unanimidad, en la que se acordó que se llevara a cabo por este Ayuntamiento un estudio detallado de</w:t>
      </w:r>
      <w:r>
        <w:rPr>
          <w:rFonts w:ascii="Calibri" w:eastAsia="Calibri" w:hAnsi="Calibri" w:cs="Calibri"/>
          <w:color w:val="0A0A0A"/>
          <w:sz w:val="24"/>
        </w:rPr>
        <w:t xml:space="preserve"> la problemática, para ajustar el planeamiento urbano a las necesidades reales del municipio. </w:t>
      </w:r>
    </w:p>
    <w:p w:rsidR="00025683" w:rsidRDefault="007C2AAB">
      <w:pPr>
        <w:spacing w:after="175" w:line="244" w:lineRule="auto"/>
        <w:ind w:left="235" w:right="49" w:hanging="10"/>
      </w:pPr>
      <w:r>
        <w:rPr>
          <w:rFonts w:ascii="Calibri" w:eastAsia="Calibri" w:hAnsi="Calibri" w:cs="Calibri"/>
          <w:color w:val="0A0A0A"/>
          <w:sz w:val="24"/>
        </w:rPr>
        <w:t>Por otra parte, si bien es cierto que ya se han dando pasos, por parte de impulsores privados, en algunos proyectos urbanísticos recogidos en el PGO para desarro</w:t>
      </w:r>
      <w:r>
        <w:rPr>
          <w:rFonts w:ascii="Calibri" w:eastAsia="Calibri" w:hAnsi="Calibri" w:cs="Calibri"/>
          <w:color w:val="0A0A0A"/>
          <w:sz w:val="24"/>
        </w:rPr>
        <w:t xml:space="preserve">llar los mismos (SUSO-CA5 Los Mangos, SUSO-M1 Araya y SUSNO-Samarines este último pendiente aún de informe medioambiental). Proyectos que cuentan con un porcentaje de construcción de vivienda de protección (VPO) del 25% y que sumarían un total de 497 VPO. </w:t>
      </w:r>
      <w:r>
        <w:rPr>
          <w:rFonts w:ascii="Times New Roman" w:eastAsia="Times New Roman" w:hAnsi="Times New Roman" w:cs="Times New Roman"/>
          <w:sz w:val="24"/>
        </w:rPr>
        <w:t xml:space="preserve"> </w:t>
      </w:r>
    </w:p>
    <w:p w:rsidR="00025683" w:rsidRDefault="007C2AAB">
      <w:pPr>
        <w:spacing w:after="175" w:line="244" w:lineRule="auto"/>
        <w:ind w:left="235" w:right="49" w:hanging="10"/>
      </w:pPr>
      <w:r>
        <w:rPr>
          <w:rFonts w:ascii="Calibri" w:eastAsia="Calibri" w:hAnsi="Calibri" w:cs="Calibri"/>
          <w:color w:val="0A0A0A"/>
          <w:sz w:val="24"/>
        </w:rPr>
        <w:t xml:space="preserve">No es menos cierto que, la burocracia administrativa ha puesto al sector de la construcción, desde la burbuja inmobiliaria, numerosas trabas que han ralentizado la puesta en marcha de muchos proyectos, a lo que se suma el fuerte incremento de los costes </w:t>
      </w:r>
      <w:r>
        <w:rPr>
          <w:rFonts w:ascii="Calibri" w:eastAsia="Calibri" w:hAnsi="Calibri" w:cs="Calibri"/>
          <w:color w:val="0A0A0A"/>
          <w:sz w:val="24"/>
        </w:rPr>
        <w:t xml:space="preserve">y la falta de mano de obra especializada. Esta suma de condicionantes hace que estemos hablando de una tardanza para la conclusión de esos proyectos futuribles de más de cuatro años </w:t>
      </w:r>
    </w:p>
    <w:p w:rsidR="00025683" w:rsidRDefault="007C2AAB">
      <w:pPr>
        <w:spacing w:after="175" w:line="244" w:lineRule="auto"/>
        <w:ind w:left="235" w:right="49" w:hanging="10"/>
      </w:pPr>
      <w:r>
        <w:rPr>
          <w:rFonts w:ascii="Calibri" w:eastAsia="Calibri" w:hAnsi="Calibri" w:cs="Calibri"/>
          <w:color w:val="0A0A0A"/>
          <w:sz w:val="24"/>
        </w:rPr>
        <w:t>Desconocemos el número de familias en Candelaria, inscritas actualmente e</w:t>
      </w:r>
      <w:r>
        <w:rPr>
          <w:rFonts w:ascii="Calibri" w:eastAsia="Calibri" w:hAnsi="Calibri" w:cs="Calibri"/>
          <w:color w:val="0A0A0A"/>
          <w:sz w:val="24"/>
        </w:rPr>
        <w:t>n el Registro de Vivienda Protegida de Canarias, que desean ser adjudicatarios o adquirentes de una vivienda protegida, tanto de promoción pública como de promoción privada, pero de seguro, ante la fuerte demanda existente en el municipio, será un alto núm</w:t>
      </w:r>
      <w:r>
        <w:rPr>
          <w:rFonts w:ascii="Calibri" w:eastAsia="Calibri" w:hAnsi="Calibri" w:cs="Calibri"/>
          <w:color w:val="0A0A0A"/>
          <w:sz w:val="24"/>
        </w:rPr>
        <w:t xml:space="preserve">ero. </w:t>
      </w:r>
    </w:p>
    <w:p w:rsidR="00025683" w:rsidRDefault="007C2AAB">
      <w:pPr>
        <w:spacing w:after="175" w:line="244" w:lineRule="auto"/>
        <w:ind w:left="235" w:right="49" w:hanging="10"/>
      </w:pPr>
      <w:r>
        <w:rPr>
          <w:rFonts w:ascii="Calibri" w:eastAsia="Calibri" w:hAnsi="Calibri" w:cs="Calibri"/>
          <w:noProof/>
        </w:rPr>
        <mc:AlternateContent>
          <mc:Choice Requires="wpg">
            <w:drawing>
              <wp:anchor distT="0" distB="0" distL="114300" distR="114300" simplePos="0" relativeHeight="25202585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3692" name="Group 4336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142" name="Rectangle 51142"/>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1143" name="Rectangle 51143"/>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144" name="Rectangle 51144"/>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344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3692" style="width:18.7031pt;height:264.21pt;position:absolute;mso-position-horizontal-relative:page;mso-position-horizontal:absolute;margin-left:662.928pt;mso-position-vertical-relative:page;margin-top:507.75pt;" coordsize="2375,33554">
                <v:rect id="Rectangle 51142"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1143"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144"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344 de 350 </w:t>
                        </w:r>
                      </w:p>
                    </w:txbxContent>
                  </v:textbox>
                </v:rect>
                <w10:wrap type="square"/>
              </v:group>
            </w:pict>
          </mc:Fallback>
        </mc:AlternateContent>
      </w:r>
      <w:r>
        <w:rPr>
          <w:rFonts w:ascii="Calibri" w:eastAsia="Calibri" w:hAnsi="Calibri" w:cs="Calibri"/>
          <w:color w:val="0A0A0A"/>
          <w:sz w:val="24"/>
        </w:rPr>
        <w:t>Con esta Moción Coalición Canaria pretende dar una solución a la demanda de vivienda de promoción pública en Candelaria, con medidas que faciliten el acceso a la misma al sector de población más desfavorecido que no puede hacer frente a la compra de una fu</w:t>
      </w:r>
      <w:r>
        <w:rPr>
          <w:rFonts w:ascii="Calibri" w:eastAsia="Calibri" w:hAnsi="Calibri" w:cs="Calibri"/>
          <w:color w:val="0A0A0A"/>
          <w:sz w:val="24"/>
        </w:rPr>
        <w:t xml:space="preserve">tura vivienda de promoción privada o a los altos alquileres que el mercado inmobiliario mantiene en progresivo crecimiento. </w:t>
      </w:r>
    </w:p>
    <w:p w:rsidR="00025683" w:rsidRDefault="007C2AAB">
      <w:pPr>
        <w:spacing w:after="175" w:line="244" w:lineRule="auto"/>
        <w:ind w:left="235" w:right="49" w:hanging="10"/>
      </w:pPr>
      <w:r>
        <w:rPr>
          <w:rFonts w:ascii="Calibri" w:eastAsia="Calibri" w:hAnsi="Calibri" w:cs="Calibri"/>
          <w:color w:val="0A0A0A"/>
          <w:sz w:val="24"/>
        </w:rPr>
        <w:t>Por tanto, teniendo en cuenta que el grupo de gobierno ha tenido 10 meses de este año 2025, para llevar a cabo el estudio detallado</w:t>
      </w:r>
      <w:r>
        <w:rPr>
          <w:rFonts w:ascii="Calibri" w:eastAsia="Calibri" w:hAnsi="Calibri" w:cs="Calibri"/>
          <w:color w:val="0A0A0A"/>
          <w:sz w:val="24"/>
        </w:rPr>
        <w:t xml:space="preserve"> de la problemática y de las necesidades reales de vivienda en Candelaria.  </w:t>
      </w:r>
    </w:p>
    <w:p w:rsidR="00025683" w:rsidRDefault="007C2AAB">
      <w:pPr>
        <w:spacing w:after="175" w:line="244" w:lineRule="auto"/>
        <w:ind w:left="235" w:right="49" w:hanging="10"/>
      </w:pPr>
      <w:r>
        <w:rPr>
          <w:rFonts w:ascii="Calibri" w:eastAsia="Calibri" w:hAnsi="Calibri" w:cs="Calibri"/>
          <w:color w:val="0A0A0A"/>
          <w:sz w:val="24"/>
        </w:rPr>
        <w:t>Teniendo en cuenta que el municipio cuenta con un millón y medio de metros cuadrados en convenios urbanísticos por desarrollar, en los cuales se registran suelos dotacionales, ent</w:t>
      </w:r>
      <w:r>
        <w:rPr>
          <w:rFonts w:ascii="Calibri" w:eastAsia="Calibri" w:hAnsi="Calibri" w:cs="Calibri"/>
          <w:color w:val="0A0A0A"/>
          <w:sz w:val="24"/>
        </w:rPr>
        <w:t xml:space="preserve">re los cuales se puede elegir aquellos que cuenten con las características de superficie adecuadas para la construcción de vivienda publica.  </w:t>
      </w:r>
    </w:p>
    <w:p w:rsidR="00025683" w:rsidRDefault="007C2AAB">
      <w:pPr>
        <w:spacing w:after="175" w:line="244" w:lineRule="auto"/>
        <w:ind w:left="235" w:right="49" w:hanging="10"/>
      </w:pPr>
      <w:r>
        <w:rPr>
          <w:rFonts w:ascii="Calibri" w:eastAsia="Calibri" w:hAnsi="Calibri" w:cs="Calibri"/>
          <w:color w:val="0A0A0A"/>
          <w:sz w:val="24"/>
        </w:rPr>
        <w:t>Teniendo en cuenta que la suma de suelo público dotaciónal en Suelo Urbanizable Sectorizado Ordenado (SUSO), Suel</w:t>
      </w:r>
      <w:r>
        <w:rPr>
          <w:rFonts w:ascii="Calibri" w:eastAsia="Calibri" w:hAnsi="Calibri" w:cs="Calibri"/>
          <w:color w:val="0A0A0A"/>
          <w:sz w:val="24"/>
        </w:rPr>
        <w:t>o Urbanizable Sectorizado No Ordenado (SUSNO) y Suelo urbanizable No Sectorizado, según el Plan General de Ordenación, hacen un total de 219.966 metros cuadrados de superficie distribuidos por todo el municipio</w:t>
      </w:r>
      <w:r>
        <w:rPr>
          <w:rFonts w:ascii="Times New Roman" w:eastAsia="Times New Roman" w:hAnsi="Times New Roman" w:cs="Times New Roman"/>
          <w:sz w:val="24"/>
        </w:rPr>
        <w:t xml:space="preserve"> </w:t>
      </w:r>
    </w:p>
    <w:p w:rsidR="00025683" w:rsidRDefault="007C2AAB">
      <w:pPr>
        <w:spacing w:after="175" w:line="244" w:lineRule="auto"/>
        <w:ind w:left="235" w:right="49" w:hanging="10"/>
      </w:pPr>
      <w:r>
        <w:rPr>
          <w:rFonts w:ascii="Calibri" w:eastAsia="Calibri" w:hAnsi="Calibri" w:cs="Calibri"/>
          <w:color w:val="0A0A0A"/>
          <w:sz w:val="24"/>
        </w:rPr>
        <w:t>Teniendo en cuenta la numerosa normativa est</w:t>
      </w:r>
      <w:r>
        <w:rPr>
          <w:rFonts w:ascii="Calibri" w:eastAsia="Calibri" w:hAnsi="Calibri" w:cs="Calibri"/>
          <w:color w:val="0A0A0A"/>
          <w:sz w:val="24"/>
        </w:rPr>
        <w:t xml:space="preserve">atal y autonómica que permite a los Ayuntamientos la cesión de suelo dotacional para vivienda pública. </w:t>
      </w:r>
    </w:p>
    <w:p w:rsidR="00025683" w:rsidRDefault="007C2AAB">
      <w:pPr>
        <w:spacing w:after="187" w:line="263" w:lineRule="auto"/>
        <w:ind w:left="225" w:right="43" w:firstLine="708"/>
      </w:pPr>
      <w:r>
        <w:rPr>
          <w:rFonts w:ascii="Calibri" w:eastAsia="Calibri" w:hAnsi="Calibri" w:cs="Calibri"/>
          <w:sz w:val="24"/>
        </w:rPr>
        <w:t>Por todo ello, COALICIÓN CANARIA en el Ayuntamiento de Candelaria, formula al Pleno la adopción de los siguientes ACUERDOS:</w:t>
      </w:r>
      <w:r>
        <w:rPr>
          <w:rFonts w:ascii="Times New Roman" w:eastAsia="Times New Roman" w:hAnsi="Times New Roman" w:cs="Times New Roman"/>
          <w:sz w:val="24"/>
        </w:rPr>
        <w:t xml:space="preserve"> </w:t>
      </w:r>
    </w:p>
    <w:p w:rsidR="00025683" w:rsidRDefault="007C2AAB">
      <w:pPr>
        <w:numPr>
          <w:ilvl w:val="0"/>
          <w:numId w:val="198"/>
        </w:numPr>
        <w:spacing w:after="0" w:line="247" w:lineRule="auto"/>
        <w:ind w:right="55" w:hanging="10"/>
      </w:pPr>
      <w:r>
        <w:rPr>
          <w:rFonts w:ascii="Calibri" w:eastAsia="Calibri" w:hAnsi="Calibri" w:cs="Calibri"/>
          <w:b/>
          <w:color w:val="0A0A0A"/>
          <w:sz w:val="24"/>
        </w:rPr>
        <w:t>Instar al Ayuntamiento de C</w:t>
      </w:r>
      <w:r>
        <w:rPr>
          <w:rFonts w:ascii="Calibri" w:eastAsia="Calibri" w:hAnsi="Calibri" w:cs="Calibri"/>
          <w:b/>
          <w:color w:val="0A0A0A"/>
          <w:sz w:val="24"/>
        </w:rPr>
        <w:t>andelaria a i</w:t>
      </w:r>
      <w:r>
        <w:rPr>
          <w:rFonts w:ascii="Calibri" w:eastAsia="Calibri" w:hAnsi="Calibri" w:cs="Calibri"/>
          <w:b/>
          <w:sz w:val="24"/>
        </w:rPr>
        <w:t>dentificar “de manera motivada” el suelo dotacional que se pueda destinar a levantar viviendas de promoción pública en función de la demanda social real del municipio.</w:t>
      </w:r>
      <w:r>
        <w:rPr>
          <w:rFonts w:ascii="Times New Roman" w:eastAsia="Times New Roman" w:hAnsi="Times New Roman" w:cs="Times New Roman"/>
          <w:sz w:val="24"/>
        </w:rPr>
        <w:t xml:space="preserve"> </w:t>
      </w:r>
    </w:p>
    <w:p w:rsidR="00025683" w:rsidRDefault="007C2AAB">
      <w:pPr>
        <w:numPr>
          <w:ilvl w:val="0"/>
          <w:numId w:val="198"/>
        </w:numPr>
        <w:spacing w:after="180" w:line="240" w:lineRule="auto"/>
        <w:ind w:right="55" w:hanging="10"/>
      </w:pPr>
      <w:r>
        <w:rPr>
          <w:rFonts w:ascii="Calibri" w:eastAsia="Calibri" w:hAnsi="Calibri" w:cs="Calibri"/>
          <w:b/>
          <w:color w:val="0A0A0A"/>
          <w:sz w:val="24"/>
        </w:rPr>
        <w:t>Instar al Ayuntamiento de Candelaria a ceder al Instituto Canario de la Vi</w:t>
      </w:r>
      <w:r>
        <w:rPr>
          <w:rFonts w:ascii="Calibri" w:eastAsia="Calibri" w:hAnsi="Calibri" w:cs="Calibri"/>
          <w:b/>
          <w:color w:val="0A0A0A"/>
          <w:sz w:val="24"/>
        </w:rPr>
        <w:t>vienda (ICAVI) ese suelo dotacional previsto para vivienda social para que, en el marco del Plan de Vivienda de Canarias, se lleve a cabo la construcción del suficiente número de viviendas de promoción pública en el municipio, que dé respuesta a la emergen</w:t>
      </w:r>
      <w:r>
        <w:rPr>
          <w:rFonts w:ascii="Calibri" w:eastAsia="Calibri" w:hAnsi="Calibri" w:cs="Calibri"/>
          <w:b/>
          <w:color w:val="0A0A0A"/>
          <w:sz w:val="24"/>
        </w:rPr>
        <w:t xml:space="preserve">cia habitacional de los colectivos más vulnerables.  </w:t>
      </w:r>
    </w:p>
    <w:p w:rsidR="00025683" w:rsidRDefault="007C2AAB">
      <w:pPr>
        <w:spacing w:after="153" w:line="259" w:lineRule="auto"/>
        <w:ind w:left="194" w:right="6" w:hanging="10"/>
        <w:jc w:val="center"/>
      </w:pPr>
      <w:r>
        <w:rPr>
          <w:rFonts w:ascii="Calibri" w:eastAsia="Calibri" w:hAnsi="Calibri" w:cs="Calibri"/>
          <w:color w:val="0A0A0A"/>
          <w:sz w:val="24"/>
        </w:rPr>
        <w:t xml:space="preserve">En Candelaria, a 16 de diciembre de 2025 </w:t>
      </w:r>
    </w:p>
    <w:p w:rsidR="00025683" w:rsidRDefault="007C2AAB">
      <w:pPr>
        <w:spacing w:after="193" w:line="259" w:lineRule="auto"/>
        <w:ind w:left="180" w:firstLine="0"/>
        <w:jc w:val="center"/>
      </w:pPr>
      <w:r>
        <w:rPr>
          <w:rFonts w:ascii="Calibri" w:eastAsia="Calibri" w:hAnsi="Calibri" w:cs="Calibri"/>
          <w:b/>
          <w:color w:val="0A0A0A"/>
          <w:sz w:val="24"/>
        </w:rPr>
        <w:t xml:space="preserve">Angela Cruz Perera </w:t>
      </w:r>
    </w:p>
    <w:p w:rsidR="00025683" w:rsidRDefault="007C2AAB">
      <w:pPr>
        <w:spacing w:after="153" w:line="259" w:lineRule="auto"/>
        <w:ind w:left="194" w:hanging="10"/>
        <w:jc w:val="center"/>
      </w:pPr>
      <w:r>
        <w:rPr>
          <w:rFonts w:ascii="Calibri" w:eastAsia="Calibri" w:hAnsi="Calibri" w:cs="Calibri"/>
          <w:color w:val="0A0A0A"/>
          <w:sz w:val="24"/>
        </w:rPr>
        <w:t>Concejal y Portavoz de Coalición Canaria</w:t>
      </w:r>
      <w:r>
        <w:rPr>
          <w:sz w:val="24"/>
        </w:rPr>
        <w:t xml:space="preserve"> ”</w:t>
      </w:r>
      <w:r>
        <w:rPr>
          <w:rFonts w:ascii="Times New Roman" w:eastAsia="Times New Roman" w:hAnsi="Times New Roman" w:cs="Times New Roman"/>
          <w:sz w:val="24"/>
        </w:rPr>
        <w:t xml:space="preserve"> </w:t>
      </w:r>
    </w:p>
    <w:p w:rsidR="00025683" w:rsidRDefault="007C2AAB">
      <w:pPr>
        <w:spacing w:after="0" w:line="259" w:lineRule="auto"/>
        <w:ind w:left="248" w:firstLine="0"/>
        <w:jc w:val="center"/>
      </w:pPr>
      <w:r>
        <w:rPr>
          <w:sz w:val="24"/>
        </w:rPr>
        <w:t xml:space="preserve"> </w:t>
      </w:r>
    </w:p>
    <w:p w:rsidR="00025683" w:rsidRDefault="007C2AAB">
      <w:pPr>
        <w:spacing w:after="0" w:line="259" w:lineRule="auto"/>
        <w:ind w:left="240" w:firstLine="0"/>
        <w:jc w:val="left"/>
      </w:pPr>
      <w:r>
        <w:rPr>
          <w:sz w:val="24"/>
        </w:rPr>
        <w:t xml:space="preserve"> </w:t>
      </w:r>
    </w:p>
    <w:p w:rsidR="00025683" w:rsidRDefault="007C2AAB">
      <w:pPr>
        <w:spacing w:after="12"/>
        <w:ind w:left="948" w:right="197"/>
      </w:pPr>
      <w:r>
        <w:rPr>
          <w:b/>
        </w:rPr>
        <w:t xml:space="preserve">DICTAMEN DE LA COMISIÓN INFORMATIVA DE URBANISMO </w:t>
      </w:r>
    </w:p>
    <w:p w:rsidR="00025683" w:rsidRDefault="007C2AAB">
      <w:pPr>
        <w:spacing w:after="0" w:line="259" w:lineRule="auto"/>
        <w:ind w:left="240" w:firstLine="0"/>
        <w:jc w:val="left"/>
      </w:pPr>
      <w:r>
        <w:t xml:space="preserve"> </w:t>
      </w:r>
    </w:p>
    <w:p w:rsidR="00025683" w:rsidRDefault="007C2AAB">
      <w:pPr>
        <w:ind w:left="240" w:firstLine="708"/>
      </w:pPr>
      <w:r>
        <w:t xml:space="preserve">La moción fue dictaminada favorablemente por la Comisión Informativa de 22 de diciembre de 2025.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948" w:right="2225"/>
      </w:pPr>
      <w:r>
        <w:rPr>
          <w:b/>
        </w:rPr>
        <w:t xml:space="preserve">JUNTA DE PORTAVOCES DE 22 DE DICIEMBRE DE 2025. </w:t>
      </w:r>
      <w:r>
        <w:t xml:space="preserve">Quedó oída.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rPr>
          <w:b/>
        </w:rPr>
        <w:t xml:space="preserve"> </w:t>
      </w:r>
      <w:r>
        <w:rPr>
          <w:b/>
        </w:rPr>
        <w:tab/>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2688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2435" name="Group 4324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260" name="Rectangle 5126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1261" name="Rectangle 5126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262" name="Rectangle 5126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345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2435" style="width:18.7031pt;height:264.21pt;position:absolute;mso-position-horizontal-relative:page;mso-position-horizontal:absolute;margin-left:662.928pt;mso-position-vertical-relative:page;margin-top:507.75pt;" coordsize="2375,33554">
                <v:rect id="Rectangle 5126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126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26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345 de 350 </w:t>
                        </w:r>
                      </w:p>
                    </w:txbxContent>
                  </v:textbox>
                </v:rect>
                <w10:wrap type="square"/>
              </v:group>
            </w:pict>
          </mc:Fallback>
        </mc:AlternateContent>
      </w:r>
      <w:r>
        <w:rPr>
          <w:b/>
        </w:rPr>
        <w:t xml:space="preserve"> </w:t>
      </w:r>
    </w:p>
    <w:p w:rsidR="00025683" w:rsidRDefault="007C2AAB">
      <w:pPr>
        <w:spacing w:after="0" w:line="259" w:lineRule="auto"/>
        <w:ind w:left="1659" w:firstLine="0"/>
        <w:jc w:val="left"/>
      </w:pPr>
      <w:r>
        <w:rPr>
          <w:b/>
        </w:rPr>
        <w:t xml:space="preserve"> </w:t>
      </w:r>
    </w:p>
    <w:p w:rsidR="00025683" w:rsidRDefault="007C2AAB">
      <w:pPr>
        <w:spacing w:after="12"/>
        <w:ind w:left="948" w:right="197"/>
      </w:pPr>
      <w:r>
        <w:rPr>
          <w:b/>
        </w:rPr>
        <w:t xml:space="preserve">VOTACIÓN EN EL PLENO DE LA MOCIÓN DEL GRUPO MIXTO (CC). </w:t>
      </w:r>
    </w:p>
    <w:p w:rsidR="00025683" w:rsidRDefault="007C2AAB">
      <w:pPr>
        <w:spacing w:after="0" w:line="259" w:lineRule="auto"/>
        <w:ind w:left="240" w:firstLine="0"/>
        <w:jc w:val="left"/>
      </w:pPr>
      <w:r>
        <w:rPr>
          <w:b/>
        </w:rPr>
        <w:t xml:space="preserve"> </w:t>
      </w:r>
    </w:p>
    <w:p w:rsidR="00025683" w:rsidRDefault="007C2AAB">
      <w:pPr>
        <w:tabs>
          <w:tab w:val="center" w:pos="240"/>
          <w:tab w:val="center" w:pos="1743"/>
        </w:tabs>
        <w:ind w:left="0" w:firstLine="0"/>
        <w:jc w:val="left"/>
      </w:pPr>
      <w:r>
        <w:rPr>
          <w:rFonts w:ascii="Calibri" w:eastAsia="Calibri" w:hAnsi="Calibri" w:cs="Calibri"/>
        </w:rPr>
        <w:tab/>
      </w:r>
      <w:r>
        <w:rPr>
          <w:b/>
        </w:rPr>
        <w:t xml:space="preserve"> </w:t>
      </w:r>
      <w:r>
        <w:rPr>
          <w:b/>
        </w:rPr>
        <w:tab/>
      </w:r>
      <w:r>
        <w:t>Votos a favor: 7.</w:t>
      </w:r>
      <w:r>
        <w:rPr>
          <w:rFonts w:ascii="Times New Roman" w:eastAsia="Times New Roman" w:hAnsi="Times New Roman" w:cs="Times New Roman"/>
          <w:sz w:val="24"/>
        </w:rPr>
        <w:t xml:space="preserve"> </w:t>
      </w:r>
    </w:p>
    <w:p w:rsidR="00025683" w:rsidRDefault="007C2AAB">
      <w:pPr>
        <w:spacing w:after="0" w:line="259" w:lineRule="auto"/>
        <w:ind w:left="948" w:firstLine="0"/>
        <w:jc w:val="left"/>
      </w:pPr>
      <w:r>
        <w:t xml:space="preserve"> </w:t>
      </w:r>
    </w:p>
    <w:p w:rsidR="00025683" w:rsidRDefault="007C2AAB">
      <w:pPr>
        <w:ind w:left="240" w:firstLine="708"/>
      </w:pPr>
      <w:r>
        <w:t xml:space="preserve">4 concejales del Grupo Popular: D. Jacobo López Fariña, D. Miguel Eduardo Hernández Chitty, Dª. María Carlota Díaz González y D. José Daniel Sosa González. </w:t>
      </w:r>
    </w:p>
    <w:p w:rsidR="00025683" w:rsidRDefault="007C2AAB">
      <w:pPr>
        <w:ind w:left="948" w:right="200"/>
      </w:pPr>
      <w:r>
        <w:t xml:space="preserve">1 de la concejal del Grupo Mixto (CC), Doña Ángela Cruz Perera. </w:t>
      </w:r>
    </w:p>
    <w:p w:rsidR="00025683" w:rsidRDefault="007C2AAB">
      <w:pPr>
        <w:ind w:left="948" w:right="200"/>
      </w:pPr>
      <w:r>
        <w:t>1 del concejal del Grupo Mixto (Vo</w:t>
      </w:r>
      <w:r>
        <w:t xml:space="preserve">x), D. José Tortosa Pallarés. </w:t>
      </w:r>
    </w:p>
    <w:p w:rsidR="00025683" w:rsidRDefault="007C2AAB">
      <w:pPr>
        <w:ind w:left="948" w:right="200"/>
      </w:pPr>
      <w:r>
        <w:t xml:space="preserve">1 de la concejal del Grupo Mixto (USP), Dª. Violeta López Jiménez.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t xml:space="preserve"> </w:t>
      </w:r>
    </w:p>
    <w:p w:rsidR="00025683" w:rsidRDefault="007C2AAB">
      <w:pPr>
        <w:ind w:left="948" w:right="200"/>
      </w:pPr>
      <w:r>
        <w:t xml:space="preserve">Votos en contra: 11. </w:t>
      </w:r>
    </w:p>
    <w:p w:rsidR="00025683" w:rsidRDefault="007C2AAB">
      <w:pPr>
        <w:ind w:left="240" w:right="57" w:firstLine="708"/>
      </w:pPr>
      <w:r>
        <w:t>11 concejales del Grupo Socialista: Dª. María Concepción Brito Núñez, D. Jorge Baute Delgado, D. José Francisco Pinto Ramos, Dª. Ol</w:t>
      </w:r>
      <w:r>
        <w:t>ivia Concepción Pérez, D. Reinaldo José Triviño Blanco, D. Manuel Alberto González Pestano, Dª. Margarita Eva Tendero Barroso, D. Airam Pérez Chinea, Dª. María del Carmen Clemente Díaz, D. Olegario Francisco Alonso Bello, Dª. Mónica Monserrat Yanes Delgado</w:t>
      </w:r>
      <w:r>
        <w:t xml:space="preserve">.  </w:t>
      </w:r>
    </w:p>
    <w:p w:rsidR="00025683" w:rsidRDefault="007C2AAB">
      <w:pPr>
        <w:spacing w:after="0" w:line="259" w:lineRule="auto"/>
        <w:ind w:left="948" w:firstLine="0"/>
        <w:jc w:val="left"/>
      </w:pPr>
      <w:r>
        <w:t xml:space="preserve"> </w:t>
      </w:r>
    </w:p>
    <w:p w:rsidR="00025683" w:rsidRDefault="007C2AAB">
      <w:pPr>
        <w:ind w:left="948" w:right="200"/>
      </w:pPr>
      <w:r>
        <w:t xml:space="preserve">Abstenciones: 0. </w:t>
      </w:r>
    </w:p>
    <w:p w:rsidR="00025683" w:rsidRDefault="007C2AAB">
      <w:pPr>
        <w:spacing w:after="0" w:line="259" w:lineRule="auto"/>
        <w:ind w:left="1659" w:firstLine="0"/>
        <w:jc w:val="left"/>
      </w:pPr>
      <w:r>
        <w:rPr>
          <w:b/>
        </w:rPr>
        <w:t xml:space="preserve"> </w:t>
      </w:r>
    </w:p>
    <w:p w:rsidR="00025683" w:rsidRDefault="007C2AAB">
      <w:pPr>
        <w:spacing w:after="0" w:line="259" w:lineRule="auto"/>
        <w:ind w:left="1659" w:firstLine="0"/>
        <w:jc w:val="left"/>
      </w:pPr>
      <w:r>
        <w:rPr>
          <w:b/>
        </w:rPr>
        <w:t xml:space="preserve"> </w:t>
      </w:r>
    </w:p>
    <w:p w:rsidR="00025683" w:rsidRDefault="007C2AAB">
      <w:pPr>
        <w:spacing w:after="0" w:line="259" w:lineRule="auto"/>
        <w:ind w:left="1659" w:firstLine="0"/>
        <w:jc w:val="left"/>
      </w:pPr>
      <w:r>
        <w:rPr>
          <w:b/>
        </w:rPr>
        <w:t xml:space="preserve"> </w:t>
      </w:r>
    </w:p>
    <w:p w:rsidR="00025683" w:rsidRDefault="007C2AAB">
      <w:pPr>
        <w:spacing w:after="0" w:line="259" w:lineRule="auto"/>
        <w:ind w:left="1659" w:firstLine="0"/>
        <w:jc w:val="left"/>
      </w:pPr>
      <w:r>
        <w:rPr>
          <w:b/>
        </w:rPr>
        <w:t xml:space="preserve"> </w:t>
      </w:r>
    </w:p>
    <w:p w:rsidR="00025683" w:rsidRDefault="007C2AAB">
      <w:pPr>
        <w:pStyle w:val="Ttulo4"/>
        <w:ind w:left="274" w:right="119"/>
      </w:pPr>
      <w:r>
        <w:t xml:space="preserve">ACUERDO DEL PLENO </w:t>
      </w:r>
    </w:p>
    <w:p w:rsidR="00025683" w:rsidRDefault="007C2AAB">
      <w:pPr>
        <w:spacing w:after="0" w:line="259" w:lineRule="auto"/>
        <w:ind w:left="948" w:firstLine="0"/>
        <w:jc w:val="left"/>
      </w:pPr>
      <w:r>
        <w:rPr>
          <w:b/>
        </w:rPr>
        <w:t xml:space="preserve"> </w:t>
      </w:r>
    </w:p>
    <w:p w:rsidR="00025683" w:rsidRDefault="007C2AAB">
      <w:pPr>
        <w:spacing w:after="12"/>
        <w:ind w:left="240"/>
      </w:pPr>
      <w:r>
        <w:rPr>
          <w:b/>
        </w:rPr>
        <w:t>Desestimar la moción del Grupo Mixto (CC) para instar al Ayuntamiento de Candelaria para la cesión de suelo dotación para la construcción de viviendas de promoción pública (VPP).</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35" w:line="259" w:lineRule="auto"/>
        <w:ind w:left="240" w:firstLine="0"/>
        <w:jc w:val="left"/>
      </w:pPr>
      <w:r>
        <w:rPr>
          <w:b/>
        </w:rPr>
        <w:t xml:space="preserve"> </w:t>
      </w:r>
    </w:p>
    <w:p w:rsidR="00025683" w:rsidRDefault="007C2AAB">
      <w:pPr>
        <w:spacing w:after="4" w:line="245" w:lineRule="auto"/>
        <w:ind w:left="250" w:hanging="10"/>
      </w:pPr>
      <w:r>
        <w:rPr>
          <w:rFonts w:ascii="Calibri" w:eastAsia="Calibri" w:hAnsi="Calibri" w:cs="Calibri"/>
          <w:noProof/>
        </w:rPr>
        <mc:AlternateContent>
          <mc:Choice Requires="wpg">
            <w:drawing>
              <wp:anchor distT="0" distB="0" distL="114300" distR="114300" simplePos="0" relativeHeight="252027904" behindDoc="1" locked="0" layoutInCell="1" allowOverlap="1">
                <wp:simplePos x="0" y="0"/>
                <wp:positionH relativeFrom="column">
                  <wp:posOffset>152705</wp:posOffset>
                </wp:positionH>
                <wp:positionV relativeFrom="paragraph">
                  <wp:posOffset>-9319</wp:posOffset>
                </wp:positionV>
                <wp:extent cx="6069533" cy="414909"/>
                <wp:effectExtent l="0" t="0" r="0" b="0"/>
                <wp:wrapNone/>
                <wp:docPr id="432931" name="Group 432931"/>
                <wp:cNvGraphicFramePr/>
                <a:graphic xmlns:a="http://schemas.openxmlformats.org/drawingml/2006/main">
                  <a:graphicData uri="http://schemas.microsoft.com/office/word/2010/wordprocessingGroup">
                    <wpg:wgp>
                      <wpg:cNvGrpSpPr/>
                      <wpg:grpSpPr>
                        <a:xfrm>
                          <a:off x="0" y="0"/>
                          <a:ext cx="6069533" cy="414909"/>
                          <a:chOff x="0" y="0"/>
                          <a:chExt cx="6069533" cy="414909"/>
                        </a:xfrm>
                      </wpg:grpSpPr>
                      <wps:wsp>
                        <wps:cNvPr id="447190" name="Shape 447190"/>
                        <wps:cNvSpPr/>
                        <wps:spPr>
                          <a:xfrm>
                            <a:off x="5444693" y="0"/>
                            <a:ext cx="624840" cy="210312"/>
                          </a:xfrm>
                          <a:custGeom>
                            <a:avLst/>
                            <a:gdLst/>
                            <a:ahLst/>
                            <a:cxnLst/>
                            <a:rect l="0" t="0" r="0" b="0"/>
                            <a:pathLst>
                              <a:path w="624840" h="210312">
                                <a:moveTo>
                                  <a:pt x="0" y="0"/>
                                </a:moveTo>
                                <a:lnTo>
                                  <a:pt x="624840" y="0"/>
                                </a:lnTo>
                                <a:lnTo>
                                  <a:pt x="624840" y="210312"/>
                                </a:lnTo>
                                <a:lnTo>
                                  <a:pt x="0" y="210312"/>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7191" name="Shape 447191"/>
                        <wps:cNvSpPr/>
                        <wps:spPr>
                          <a:xfrm>
                            <a:off x="0" y="204292"/>
                            <a:ext cx="5761609" cy="210617"/>
                          </a:xfrm>
                          <a:custGeom>
                            <a:avLst/>
                            <a:gdLst/>
                            <a:ahLst/>
                            <a:cxnLst/>
                            <a:rect l="0" t="0" r="0" b="0"/>
                            <a:pathLst>
                              <a:path w="5761609" h="210617">
                                <a:moveTo>
                                  <a:pt x="0" y="0"/>
                                </a:moveTo>
                                <a:lnTo>
                                  <a:pt x="5761609" y="0"/>
                                </a:lnTo>
                                <a:lnTo>
                                  <a:pt x="5761609" y="210617"/>
                                </a:lnTo>
                                <a:lnTo>
                                  <a:pt x="0" y="210617"/>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w:pict>
              <v:group id="Group 432931" style="width:477.916pt;height:32.67pt;position:absolute;z-index:-2147483609;mso-position-horizontal-relative:text;mso-position-horizontal:absolute;margin-left:12.024pt;mso-position-vertical-relative:text;margin-top:-0.733826pt;" coordsize="60695,4149">
                <v:shape id="Shape 447192" style="position:absolute;width:6248;height:2103;left:54446;top:0;" coordsize="624840,210312" path="m0,0l624840,0l624840,210312l0,210312l0,0">
                  <v:stroke weight="0pt" endcap="square" joinstyle="miter" miterlimit="10" on="false" color="#000000" opacity="0"/>
                  <v:fill on="true" color="#f5f7f9"/>
                </v:shape>
                <v:shape id="Shape 447193" style="position:absolute;width:57616;height:2106;left:0;top:2042;" coordsize="5761609,210617" path="m0,0l5761609,0l5761609,210617l0,210617l0,0">
                  <v:stroke weight="0pt" endcap="square" joinstyle="miter" miterlimit="10" on="false" color="#000000" opacity="0"/>
                  <v:fill on="true" color="#f5f7f9"/>
                </v:shape>
              </v:group>
            </w:pict>
          </mc:Fallback>
        </mc:AlternateContent>
      </w:r>
      <w:r>
        <w:rPr>
          <w:b/>
          <w:sz w:val="28"/>
        </w:rPr>
        <w:t xml:space="preserve">12.- </w:t>
      </w:r>
      <w:r>
        <w:rPr>
          <w:b/>
          <w:sz w:val="28"/>
          <w:u w:val="single" w:color="000000"/>
        </w:rPr>
        <w:t>Expediente 12560/2025</w:t>
      </w:r>
      <w:r>
        <w:rPr>
          <w:b/>
          <w:sz w:val="28"/>
        </w:rPr>
        <w:t xml:space="preserve">. Moción del Grupo Mixto (USP) para la gestión de los bio-residuos y la implantación del quinto contenedor. </w:t>
      </w:r>
    </w:p>
    <w:p w:rsidR="00025683" w:rsidRDefault="007C2AAB">
      <w:pPr>
        <w:spacing w:after="0" w:line="259" w:lineRule="auto"/>
        <w:ind w:left="240" w:firstLine="0"/>
        <w:jc w:val="left"/>
      </w:pPr>
      <w:r>
        <w:rPr>
          <w:b/>
          <w:sz w:val="28"/>
        </w:rPr>
        <w:t xml:space="preserve"> </w:t>
      </w:r>
    </w:p>
    <w:p w:rsidR="00025683" w:rsidRDefault="007C2AAB">
      <w:pPr>
        <w:spacing w:after="12"/>
        <w:ind w:left="240"/>
      </w:pPr>
      <w:r>
        <w:rPr>
          <w:b/>
        </w:rPr>
        <w:t>Consta en el expediente moción presentada por el Grupo Mixto (USP) de fecha 15 de diciembre de 2025 que transcrita literalme</w:t>
      </w:r>
      <w:r>
        <w:rPr>
          <w:b/>
        </w:rPr>
        <w:t xml:space="preserve">nte dice: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line="259" w:lineRule="auto"/>
        <w:ind w:left="240" w:firstLine="0"/>
        <w:jc w:val="left"/>
      </w:pPr>
      <w:r>
        <w:rPr>
          <w:b/>
        </w:rPr>
        <w:t xml:space="preserve"> </w:t>
      </w:r>
    </w:p>
    <w:p w:rsidR="00025683" w:rsidRDefault="007C2AAB">
      <w:pPr>
        <w:spacing w:after="12"/>
        <w:ind w:left="240" w:right="197"/>
      </w:pPr>
      <w:r>
        <w:rPr>
          <w:b/>
        </w:rPr>
        <w:t xml:space="preserve">“ </w:t>
      </w:r>
    </w:p>
    <w:p w:rsidR="00025683" w:rsidRDefault="007C2AAB">
      <w:pPr>
        <w:spacing w:after="201" w:line="259" w:lineRule="auto"/>
        <w:ind w:left="236" w:firstLine="0"/>
        <w:jc w:val="left"/>
      </w:pPr>
      <w:r>
        <w:rPr>
          <w:b/>
        </w:rPr>
        <w:t xml:space="preserve">   </w:t>
      </w:r>
      <w:r>
        <w:rPr>
          <w:noProof/>
        </w:rPr>
        <w:drawing>
          <wp:inline distT="0" distB="0" distL="0" distR="0">
            <wp:extent cx="1636783" cy="638539"/>
            <wp:effectExtent l="0" t="0" r="0" b="0"/>
            <wp:docPr id="51397" name="Picture 51397"/>
            <wp:cNvGraphicFramePr/>
            <a:graphic xmlns:a="http://schemas.openxmlformats.org/drawingml/2006/main">
              <a:graphicData uri="http://schemas.openxmlformats.org/drawingml/2006/picture">
                <pic:pic xmlns:pic="http://schemas.openxmlformats.org/drawingml/2006/picture">
                  <pic:nvPicPr>
                    <pic:cNvPr id="51397" name="Picture 51397"/>
                    <pic:cNvPicPr/>
                  </pic:nvPicPr>
                  <pic:blipFill>
                    <a:blip r:embed="rId147"/>
                    <a:stretch>
                      <a:fillRect/>
                    </a:stretch>
                  </pic:blipFill>
                  <pic:spPr>
                    <a:xfrm>
                      <a:off x="0" y="0"/>
                      <a:ext cx="1636783" cy="638539"/>
                    </a:xfrm>
                    <a:prstGeom prst="rect">
                      <a:avLst/>
                    </a:prstGeom>
                  </pic:spPr>
                </pic:pic>
              </a:graphicData>
            </a:graphic>
          </wp:inline>
        </w:drawing>
      </w:r>
      <w:r>
        <w:rPr>
          <w:sz w:val="18"/>
        </w:rPr>
        <w:t xml:space="preserve">                                         </w:t>
      </w:r>
      <w:r>
        <w:rPr>
          <w:b/>
          <w:sz w:val="18"/>
        </w:rPr>
        <w:t xml:space="preserve">                                                          </w:t>
      </w:r>
      <w:r>
        <w:rPr>
          <w:rFonts w:ascii="Times New Roman" w:eastAsia="Times New Roman" w:hAnsi="Times New Roman" w:cs="Times New Roman"/>
          <w:sz w:val="24"/>
        </w:rPr>
        <w:t xml:space="preserve"> </w:t>
      </w:r>
    </w:p>
    <w:p w:rsidR="00025683" w:rsidRDefault="007C2AAB">
      <w:pPr>
        <w:spacing w:after="1" w:line="249" w:lineRule="auto"/>
        <w:ind w:left="250" w:right="61" w:hanging="10"/>
      </w:pPr>
      <w:r>
        <w:rPr>
          <w:rFonts w:ascii="Calibri" w:eastAsia="Calibri" w:hAnsi="Calibri" w:cs="Calibri"/>
          <w:noProof/>
        </w:rPr>
        <mc:AlternateContent>
          <mc:Choice Requires="wpg">
            <w:drawing>
              <wp:anchor distT="0" distB="0" distL="114300" distR="114300" simplePos="0" relativeHeight="252028928"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2933" name="Group 4329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400" name="Rectangle 5140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1401" name="Rectangle 5140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402" name="Rectangle 5140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346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2933" style="width:18.7031pt;height:264.21pt;position:absolute;mso-position-horizontal-relative:page;mso-position-horizontal:absolute;margin-left:662.928pt;mso-position-vertical-relative:page;margin-top:507.75pt;" coordsize="2375,33554">
                <v:rect id="Rectangle 5140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140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40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346 de 350 </w:t>
                        </w:r>
                      </w:p>
                    </w:txbxContent>
                  </v:textbox>
                </v:rect>
                <w10:wrap type="square"/>
              </v:group>
            </w:pict>
          </mc:Fallback>
        </mc:AlternateContent>
      </w:r>
      <w:r>
        <w:rPr>
          <w:b/>
          <w:sz w:val="24"/>
        </w:rPr>
        <w:t>MOCIÓN PARA LA GESTIÓN DE BIO-RESIDUOS: IMPLANTACIÓN DEL QUINTO CONTENEDOR Y FOMENTO DEL COMPOSTAJE COMUNITARIO, CON APLICACIÓN DE LOS INCENTIVOS RECOGIDOS EN LA</w:t>
      </w:r>
      <w:r>
        <w:rPr>
          <w:b/>
          <w:sz w:val="24"/>
        </w:rPr>
        <w:t xml:space="preserve"> ORDENANZA FISCAL DE RESIDUOS.</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rFonts w:ascii="Times New Roman" w:eastAsia="Times New Roman" w:hAnsi="Times New Roman" w:cs="Times New Roman"/>
          <w:b/>
        </w:rPr>
        <w:t xml:space="preserve"> </w:t>
      </w:r>
    </w:p>
    <w:p w:rsidR="00025683" w:rsidRDefault="007C2AAB">
      <w:pPr>
        <w:spacing w:after="3" w:line="239" w:lineRule="auto"/>
        <w:ind w:left="235" w:right="1075" w:hanging="10"/>
        <w:jc w:val="left"/>
      </w:pPr>
      <w:r>
        <w:rPr>
          <w:rFonts w:ascii="Calibri" w:eastAsia="Calibri" w:hAnsi="Calibri" w:cs="Calibri"/>
        </w:rPr>
        <w:t xml:space="preserve">Violeta López Jiménez, Portavoz del Grupo Municipal Unidas Sí Podemos Candelaria, en uso de las atribuciones que le confiere el Reglamento Orgánico del Gobierno y de la Administración </w:t>
      </w:r>
      <w:r>
        <w:rPr>
          <w:rFonts w:ascii="Calibri" w:eastAsia="Calibri" w:hAnsi="Calibri" w:cs="Calibri"/>
        </w:rPr>
        <w:t xml:space="preserve">Municipal, presenta al Pleno del Ilustre Ayuntamiento de Candelaria la presente MOCIÓN para su debate y aprobación si procede, de acuerdo con la siguiente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pStyle w:val="Ttulo5"/>
      </w:pPr>
      <w:r>
        <w:t xml:space="preserve">EXPOSICIÓN DE MOTIVOS </w:t>
      </w:r>
    </w:p>
    <w:p w:rsidR="00025683" w:rsidRDefault="007C2AAB">
      <w:pPr>
        <w:spacing w:after="3" w:line="239" w:lineRule="auto"/>
        <w:ind w:left="235" w:right="1075" w:hanging="10"/>
        <w:jc w:val="left"/>
      </w:pPr>
      <w:r>
        <w:rPr>
          <w:rFonts w:ascii="Calibri" w:eastAsia="Calibri" w:hAnsi="Calibri" w:cs="Calibri"/>
        </w:rPr>
        <w:t>La Ley 7/2022, de 8 de abril, de residuos y suelos contaminados para una ec</w:t>
      </w:r>
      <w:r>
        <w:rPr>
          <w:rFonts w:ascii="Calibri" w:eastAsia="Calibri" w:hAnsi="Calibri" w:cs="Calibri"/>
        </w:rPr>
        <w:t>onomía circular, estableció la obligatoriedad (Art. 25) para las Entidades Locales de más de cinco mil habitantes de realizar la recogida separada de la fracción orgánica de residuos antes del 31 de diciembre de 2023. El Ayuntamiento de Candelaria debe ace</w:t>
      </w:r>
      <w:r>
        <w:rPr>
          <w:rFonts w:ascii="Calibri" w:eastAsia="Calibri" w:hAnsi="Calibri" w:cs="Calibri"/>
        </w:rPr>
        <w:t xml:space="preserve">lerar el cumplimiento de esta normativa, esencial para la sostenibilidad y la salud ambiental de nuestro municipio.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spacing w:after="3" w:line="239" w:lineRule="auto"/>
        <w:ind w:left="235" w:right="1075" w:hanging="10"/>
        <w:jc w:val="left"/>
      </w:pPr>
      <w:r>
        <w:rPr>
          <w:rFonts w:ascii="Calibri" w:eastAsia="Calibri" w:hAnsi="Calibri" w:cs="Calibri"/>
        </w:rPr>
        <w:t>El compromiso de este grupo municipal con la gestión avanzada y la economía circular es firme y constante. Por ello, presentamos mociones</w:t>
      </w:r>
      <w:r>
        <w:rPr>
          <w:rFonts w:ascii="Calibri" w:eastAsia="Calibri" w:hAnsi="Calibri" w:cs="Calibri"/>
        </w:rPr>
        <w:t xml:space="preserve"> similares en 2016 y en septiembre de 2021. Esta última, para la Creación del servicio municipal de recogida selectiva y compostaje de restos agrícolas y de jardinería, fue rechazada expresamente por el Grupo de Gobierno.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spacing w:after="3" w:line="239" w:lineRule="auto"/>
        <w:ind w:left="235" w:right="1075" w:hanging="10"/>
        <w:jc w:val="left"/>
      </w:pPr>
      <w:r>
        <w:rPr>
          <w:rFonts w:ascii="Calibri" w:eastAsia="Calibri" w:hAnsi="Calibri" w:cs="Calibri"/>
        </w:rPr>
        <w:t>Estamos en 2025 y, además de ma</w:t>
      </w:r>
      <w:r>
        <w:rPr>
          <w:rFonts w:ascii="Calibri" w:eastAsia="Calibri" w:hAnsi="Calibri" w:cs="Calibri"/>
        </w:rPr>
        <w:t xml:space="preserve">ntener su rechazo a esta propuesta, seguimos sin una recogida selectiva eficiente de la materia orgánica ni iniciativas de compostaje comunitario activas. El rechazo continuado a estas propuestas implica una pérdida de recursos valiosos, un incumplimiento </w:t>
      </w:r>
      <w:r>
        <w:rPr>
          <w:rFonts w:ascii="Calibri" w:eastAsia="Calibri" w:hAnsi="Calibri" w:cs="Calibri"/>
        </w:rPr>
        <w:t xml:space="preserve">de las obligaciones ambientales y una postura política que ignora los beneficios del compostaje.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spacing w:after="3" w:line="239" w:lineRule="auto"/>
        <w:ind w:left="235" w:right="1075" w:hanging="10"/>
        <w:jc w:val="left"/>
      </w:pPr>
      <w:r>
        <w:rPr>
          <w:rFonts w:ascii="Calibri" w:eastAsia="Calibri" w:hAnsi="Calibri" w:cs="Calibri"/>
        </w:rPr>
        <w:t>El compostaje comunitario no es solo una técnica de gestión de residuos, sino una filosofía que fomenta la participación ciudadana, la cohesión vecinal y el</w:t>
      </w:r>
      <w:r>
        <w:rPr>
          <w:rFonts w:ascii="Calibri" w:eastAsia="Calibri" w:hAnsi="Calibri" w:cs="Calibri"/>
        </w:rPr>
        <w:t xml:space="preserve"> desarrollo de una economía circular real a escala local: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numPr>
          <w:ilvl w:val="0"/>
          <w:numId w:val="199"/>
        </w:numPr>
        <w:spacing w:after="3" w:line="239" w:lineRule="auto"/>
        <w:ind w:right="1075" w:hanging="10"/>
        <w:jc w:val="left"/>
      </w:pPr>
      <w:r>
        <w:rPr>
          <w:rFonts w:ascii="Calibri" w:eastAsia="Calibri" w:hAnsi="Calibri" w:cs="Calibri"/>
        </w:rPr>
        <w:t xml:space="preserve">Permite reducir el volumen de la fracción resto en origen, disminuyendo los costes de transporte y tratamiento de residuos.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numPr>
          <w:ilvl w:val="0"/>
          <w:numId w:val="199"/>
        </w:numPr>
        <w:spacing w:after="3" w:line="239" w:lineRule="auto"/>
        <w:ind w:right="1075" w:hanging="10"/>
        <w:jc w:val="left"/>
      </w:pPr>
      <w:r>
        <w:rPr>
          <w:rFonts w:ascii="Calibri" w:eastAsia="Calibri" w:hAnsi="Calibri" w:cs="Calibri"/>
        </w:rPr>
        <w:t xml:space="preserve">Genera un abono (compost) de alta calidad que puede ser empleado en huertos y jardines municipales, cerrando el ciclo de la materia orgánica dentro del propio municipio.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numPr>
          <w:ilvl w:val="0"/>
          <w:numId w:val="199"/>
        </w:numPr>
        <w:spacing w:after="178" w:line="239" w:lineRule="auto"/>
        <w:ind w:right="1075" w:hanging="10"/>
        <w:jc w:val="left"/>
      </w:pPr>
      <w:r>
        <w:rPr>
          <w:rFonts w:ascii="Calibri" w:eastAsia="Calibri" w:hAnsi="Calibri" w:cs="Calibri"/>
        </w:rPr>
        <w:t>Su promoción está directamente alineada con la defensa del territorio y la agroecol</w:t>
      </w:r>
      <w:r>
        <w:rPr>
          <w:rFonts w:ascii="Calibri" w:eastAsia="Calibri" w:hAnsi="Calibri" w:cs="Calibri"/>
        </w:rPr>
        <w:t>ogía. Vivimos en un territorio sensible, cada vez más tensionado, y al cual afecta enormemente el cambio climático, con unos niveles críticos en la fertilidad de sus suelos.</w:t>
      </w:r>
      <w:r>
        <w:rPr>
          <w:sz w:val="24"/>
        </w:rPr>
        <w:t>”</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sz w:val="24"/>
        </w:rPr>
        <w:t xml:space="preserve"> </w:t>
      </w:r>
    </w:p>
    <w:p w:rsidR="00025683" w:rsidRDefault="007C2AAB">
      <w:pPr>
        <w:spacing w:after="0" w:line="259" w:lineRule="auto"/>
        <w:ind w:left="240" w:firstLine="0"/>
        <w:jc w:val="left"/>
      </w:pPr>
      <w:r>
        <w:rPr>
          <w:sz w:val="24"/>
        </w:rPr>
        <w:t xml:space="preserve"> </w:t>
      </w:r>
    </w:p>
    <w:p w:rsidR="00025683" w:rsidRDefault="007C2AAB">
      <w:pPr>
        <w:spacing w:after="3" w:line="239" w:lineRule="auto"/>
        <w:ind w:left="235" w:right="1075" w:hanging="10"/>
        <w:jc w:val="left"/>
      </w:pPr>
      <w:r>
        <w:rPr>
          <w:rFonts w:ascii="Calibri" w:eastAsia="Calibri" w:hAnsi="Calibri" w:cs="Calibri"/>
        </w:rPr>
        <w:t>La aprobación de la Ordenanza Fiscal reguladora de la tasa de residuos urban</w:t>
      </w:r>
      <w:r>
        <w:rPr>
          <w:rFonts w:ascii="Calibri" w:eastAsia="Calibri" w:hAnsi="Calibri" w:cs="Calibri"/>
        </w:rPr>
        <w:t xml:space="preserve">os de Candelaria, adoptada en el Pleno de noviembre de 2025, supone una oportunidad ineludible para aplicar las herramientas que permitan poner en marcha los incentivos.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spacing w:after="3" w:line="239" w:lineRule="auto"/>
        <w:ind w:left="235" w:right="1075" w:hanging="10"/>
        <w:jc w:val="left"/>
      </w:pPr>
      <w:r>
        <w:rPr>
          <w:rFonts w:ascii="Calibri" w:eastAsia="Calibri" w:hAnsi="Calibri" w:cs="Calibri"/>
          <w:noProof/>
        </w:rPr>
        <mc:AlternateContent>
          <mc:Choice Requires="wpg">
            <w:drawing>
              <wp:anchor distT="0" distB="0" distL="114300" distR="114300" simplePos="0" relativeHeight="252029952"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3191" name="Group 4331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526" name="Rectangle 51526"/>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1527" name="Rectangle 51527"/>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Verificación: https://candelaria.s</w:t>
                              </w:r>
                              <w:r>
                                <w:rPr>
                                  <w:sz w:val="12"/>
                                </w:rPr>
                                <w:t xml:space="preserve">edelectronica.es/ </w:t>
                              </w:r>
                            </w:p>
                          </w:txbxContent>
                        </wps:txbx>
                        <wps:bodyPr horzOverflow="overflow" vert="horz" lIns="0" tIns="0" rIns="0" bIns="0" rtlCol="0">
                          <a:noAutofit/>
                        </wps:bodyPr>
                      </wps:wsp>
                      <wps:wsp>
                        <wps:cNvPr id="51528" name="Rectangle 51528"/>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347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3191" style="width:18.7031pt;height:264.21pt;position:absolute;mso-position-horizontal-relative:page;mso-position-horizontal:absolute;margin-left:662.928pt;mso-position-vertical-relative:page;margin-top:507.75pt;" coordsize="2375,33554">
                <v:rect id="Rectangle 51526"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1527"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528"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347 de 350 </w:t>
                        </w:r>
                      </w:p>
                    </w:txbxContent>
                  </v:textbox>
                </v:rect>
                <w10:wrap type="square"/>
              </v:group>
            </w:pict>
          </mc:Fallback>
        </mc:AlternateContent>
      </w:r>
      <w:r>
        <w:rPr>
          <w:rFonts w:ascii="Calibri" w:eastAsia="Calibri" w:hAnsi="Calibri" w:cs="Calibri"/>
        </w:rPr>
        <w:t xml:space="preserve">Entre los incentivos recogidos en la nueva Ordenanza están precisamente las dos iniciativas </w:t>
      </w:r>
      <w:r>
        <w:rPr>
          <w:rFonts w:ascii="Calibri" w:eastAsia="Calibri" w:hAnsi="Calibri" w:cs="Calibri"/>
        </w:rPr>
        <w:t>que hoy se proponen: el uso correcto del contenedor marrón (quinto contenedor) y la participación en el compostaje comunitario. Es un deber de este Ayuntamiento garantizar que la gestión fiscal sea justa y transparente. No introducir bonificaciones para qu</w:t>
      </w:r>
      <w:r>
        <w:rPr>
          <w:rFonts w:ascii="Calibri" w:eastAsia="Calibri" w:hAnsi="Calibri" w:cs="Calibri"/>
        </w:rPr>
        <w:t xml:space="preserve">ienes separan correctamente o compostan implica trasladar un coste innecesario a los vecinos y vecinas que sí cumplen, mientras se desincentiva la necesaria concienciación ambiental.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spacing w:after="3" w:line="239" w:lineRule="auto"/>
        <w:ind w:left="235" w:right="1075" w:hanging="10"/>
        <w:jc w:val="left"/>
      </w:pPr>
      <w:r>
        <w:rPr>
          <w:rFonts w:ascii="Calibri" w:eastAsia="Calibri" w:hAnsi="Calibri" w:cs="Calibri"/>
        </w:rPr>
        <w:t>Existen múltiples experiencias de éxito en otros municipios del Estado</w:t>
      </w:r>
      <w:r>
        <w:rPr>
          <w:rFonts w:ascii="Calibri" w:eastAsia="Calibri" w:hAnsi="Calibri" w:cs="Calibri"/>
        </w:rPr>
        <w:t xml:space="preserve"> y del Archipiélago, que demuestran la viabilidad de implementar sistemas de quinto contenedor con acceso controlado (llave o tarjeta) y la puesta en marcha de campañas informativas y educativas específicas para garantizar la calidad del bio-residuo y el c</w:t>
      </w:r>
      <w:r>
        <w:rPr>
          <w:rFonts w:ascii="Calibri" w:eastAsia="Calibri" w:hAnsi="Calibri" w:cs="Calibri"/>
        </w:rPr>
        <w:t xml:space="preserve">ompromiso ciudadano.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spacing w:after="3" w:line="239" w:lineRule="auto"/>
        <w:ind w:left="235" w:right="1075" w:hanging="10"/>
        <w:jc w:val="left"/>
      </w:pPr>
      <w:r>
        <w:rPr>
          <w:rFonts w:ascii="Calibri" w:eastAsia="Calibri" w:hAnsi="Calibri" w:cs="Calibri"/>
        </w:rPr>
        <w:t xml:space="preserve">Por todo lo expuesto, el Grupo Municipal Unidas Sí Podemos Candelaria propone al Pleno la adopción de los siguientes: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spacing w:after="0" w:line="259" w:lineRule="auto"/>
        <w:ind w:left="240" w:firstLine="0"/>
        <w:jc w:val="left"/>
      </w:pPr>
      <w:r>
        <w:rPr>
          <w:rFonts w:ascii="Calibri" w:eastAsia="Calibri" w:hAnsi="Calibri" w:cs="Calibri"/>
        </w:rPr>
        <w:t xml:space="preserve"> </w:t>
      </w:r>
    </w:p>
    <w:p w:rsidR="00025683" w:rsidRDefault="007C2AAB">
      <w:pPr>
        <w:spacing w:after="0" w:line="259" w:lineRule="auto"/>
        <w:ind w:left="180" w:firstLine="0"/>
        <w:jc w:val="center"/>
      </w:pPr>
      <w:r>
        <w:rPr>
          <w:rFonts w:ascii="Times New Roman" w:eastAsia="Times New Roman" w:hAnsi="Times New Roman" w:cs="Times New Roman"/>
          <w:b/>
        </w:rPr>
        <w:t xml:space="preserve">ACUERDOS </w:t>
      </w:r>
    </w:p>
    <w:p w:rsidR="00025683" w:rsidRDefault="007C2AAB">
      <w:pPr>
        <w:spacing w:after="2" w:line="259" w:lineRule="auto"/>
        <w:ind w:left="237" w:firstLine="0"/>
        <w:jc w:val="center"/>
      </w:pPr>
      <w:r>
        <w:rPr>
          <w:rFonts w:ascii="Times New Roman" w:eastAsia="Times New Roman" w:hAnsi="Times New Roman" w:cs="Times New Roman"/>
          <w:b/>
        </w:rPr>
        <w:t xml:space="preserve"> </w:t>
      </w:r>
    </w:p>
    <w:p w:rsidR="00025683" w:rsidRDefault="007C2AAB">
      <w:pPr>
        <w:spacing w:after="0" w:line="259" w:lineRule="auto"/>
        <w:ind w:left="240" w:firstLine="0"/>
        <w:jc w:val="left"/>
      </w:pPr>
      <w:r>
        <w:rPr>
          <w:rFonts w:ascii="Calibri" w:eastAsia="Calibri" w:hAnsi="Calibri" w:cs="Calibri"/>
          <w:b/>
          <w:sz w:val="24"/>
        </w:rPr>
        <w:t xml:space="preserve"> </w:t>
      </w:r>
    </w:p>
    <w:p w:rsidR="00025683" w:rsidRDefault="007C2AAB">
      <w:pPr>
        <w:spacing w:line="250" w:lineRule="auto"/>
        <w:ind w:left="235" w:hanging="10"/>
        <w:jc w:val="left"/>
      </w:pPr>
      <w:r>
        <w:rPr>
          <w:rFonts w:ascii="Calibri" w:eastAsia="Calibri" w:hAnsi="Calibri" w:cs="Calibri"/>
          <w:b/>
          <w:sz w:val="24"/>
        </w:rPr>
        <w:t xml:space="preserve">A aplicar en el periodo de un año: </w:t>
      </w:r>
    </w:p>
    <w:p w:rsidR="00025683" w:rsidRDefault="007C2AAB">
      <w:pPr>
        <w:spacing w:after="0" w:line="259" w:lineRule="auto"/>
        <w:ind w:left="240" w:firstLine="0"/>
        <w:jc w:val="left"/>
      </w:pPr>
      <w:r>
        <w:rPr>
          <w:rFonts w:ascii="Calibri" w:eastAsia="Calibri" w:hAnsi="Calibri" w:cs="Calibri"/>
          <w:b/>
          <w:sz w:val="24"/>
        </w:rPr>
        <w:t xml:space="preserve"> </w:t>
      </w:r>
    </w:p>
    <w:p w:rsidR="00025683" w:rsidRDefault="007C2AAB">
      <w:pPr>
        <w:numPr>
          <w:ilvl w:val="0"/>
          <w:numId w:val="200"/>
        </w:numPr>
        <w:spacing w:line="250" w:lineRule="auto"/>
        <w:ind w:hanging="10"/>
        <w:jc w:val="left"/>
      </w:pPr>
      <w:r>
        <w:rPr>
          <w:rFonts w:ascii="Calibri" w:eastAsia="Calibri" w:hAnsi="Calibri" w:cs="Calibri"/>
          <w:b/>
          <w:sz w:val="24"/>
        </w:rPr>
        <w:t>La implementación integral del contenedor marrón (bio-</w:t>
      </w:r>
      <w:r>
        <w:rPr>
          <w:rFonts w:ascii="Calibri" w:eastAsia="Calibri" w:hAnsi="Calibri" w:cs="Calibri"/>
          <w:b/>
          <w:sz w:val="24"/>
        </w:rPr>
        <w:t xml:space="preserve">residuos domésticos), utilizando un sistema de acceso controlado (llave, tarjeta o app) para asegurar la calidad del material. </w:t>
      </w:r>
    </w:p>
    <w:p w:rsidR="00025683" w:rsidRDefault="007C2AAB">
      <w:pPr>
        <w:spacing w:after="0" w:line="259" w:lineRule="auto"/>
        <w:ind w:left="240" w:firstLine="0"/>
        <w:jc w:val="left"/>
      </w:pPr>
      <w:r>
        <w:rPr>
          <w:rFonts w:ascii="Calibri" w:eastAsia="Calibri" w:hAnsi="Calibri" w:cs="Calibri"/>
          <w:b/>
          <w:sz w:val="24"/>
        </w:rPr>
        <w:t xml:space="preserve"> </w:t>
      </w:r>
    </w:p>
    <w:p w:rsidR="00025683" w:rsidRDefault="007C2AAB">
      <w:pPr>
        <w:numPr>
          <w:ilvl w:val="0"/>
          <w:numId w:val="200"/>
        </w:numPr>
        <w:spacing w:line="250" w:lineRule="auto"/>
        <w:ind w:hanging="10"/>
        <w:jc w:val="left"/>
      </w:pPr>
      <w:r>
        <w:rPr>
          <w:rFonts w:ascii="Calibri" w:eastAsia="Calibri" w:hAnsi="Calibri" w:cs="Calibri"/>
          <w:b/>
          <w:sz w:val="24"/>
        </w:rPr>
        <w:t xml:space="preserve">La puesta en marcha de una Campaña de Sensibilización y Educación sobre el uso correcto del quinto contenedor. </w:t>
      </w:r>
    </w:p>
    <w:p w:rsidR="00025683" w:rsidRDefault="007C2AAB">
      <w:pPr>
        <w:spacing w:after="0" w:line="259" w:lineRule="auto"/>
        <w:ind w:left="240" w:firstLine="0"/>
        <w:jc w:val="left"/>
      </w:pPr>
      <w:r>
        <w:rPr>
          <w:rFonts w:ascii="Calibri" w:eastAsia="Calibri" w:hAnsi="Calibri" w:cs="Calibri"/>
          <w:b/>
          <w:sz w:val="24"/>
        </w:rPr>
        <w:t xml:space="preserve"> </w:t>
      </w:r>
    </w:p>
    <w:p w:rsidR="00025683" w:rsidRDefault="007C2AAB">
      <w:pPr>
        <w:numPr>
          <w:ilvl w:val="0"/>
          <w:numId w:val="200"/>
        </w:numPr>
        <w:spacing w:line="250" w:lineRule="auto"/>
        <w:ind w:hanging="10"/>
        <w:jc w:val="left"/>
      </w:pPr>
      <w:r>
        <w:rPr>
          <w:rFonts w:ascii="Calibri" w:eastAsia="Calibri" w:hAnsi="Calibri" w:cs="Calibri"/>
          <w:b/>
          <w:sz w:val="24"/>
        </w:rPr>
        <w:t>Crear y dotar económicamente un Programa Municipal de Compostaje Comunitario y Doméstico, que incluya la identificación y habilitación de parcelas municipales adecuadas para la instalación de módulos de compostaje comunitario en barrios, urbanizaciones y c</w:t>
      </w:r>
      <w:r>
        <w:rPr>
          <w:rFonts w:ascii="Calibri" w:eastAsia="Calibri" w:hAnsi="Calibri" w:cs="Calibri"/>
          <w:b/>
          <w:sz w:val="24"/>
        </w:rPr>
        <w:t xml:space="preserve">entro. </w:t>
      </w:r>
    </w:p>
    <w:p w:rsidR="00025683" w:rsidRDefault="007C2AAB">
      <w:pPr>
        <w:spacing w:after="0" w:line="259" w:lineRule="auto"/>
        <w:ind w:left="240" w:firstLine="0"/>
        <w:jc w:val="left"/>
      </w:pPr>
      <w:r>
        <w:rPr>
          <w:rFonts w:ascii="Calibri" w:eastAsia="Calibri" w:hAnsi="Calibri" w:cs="Calibri"/>
          <w:b/>
          <w:sz w:val="24"/>
        </w:rPr>
        <w:t xml:space="preserve"> </w:t>
      </w:r>
    </w:p>
    <w:p w:rsidR="00025683" w:rsidRDefault="007C2AAB">
      <w:pPr>
        <w:numPr>
          <w:ilvl w:val="0"/>
          <w:numId w:val="200"/>
        </w:numPr>
        <w:spacing w:after="0" w:line="247" w:lineRule="auto"/>
        <w:ind w:hanging="10"/>
        <w:jc w:val="left"/>
      </w:pPr>
      <w:r>
        <w:rPr>
          <w:rFonts w:ascii="Calibri" w:eastAsia="Calibri" w:hAnsi="Calibri" w:cs="Calibri"/>
          <w:b/>
          <w:sz w:val="24"/>
        </w:rPr>
        <w:t>La creación y puesta en marcha del servicio municipal de recogida selectiva y compostaje de restos agrícolas y de jardinería de Candelaria, estableciendo un Plan de Gestión y Recogida Específico para los grandes generadores de bio-residuos (hoste</w:t>
      </w:r>
      <w:r>
        <w:rPr>
          <w:rFonts w:ascii="Calibri" w:eastAsia="Calibri" w:hAnsi="Calibri" w:cs="Calibri"/>
          <w:b/>
          <w:sz w:val="24"/>
        </w:rPr>
        <w:t xml:space="preserve">lería, restauración, supermercados, colegios, centros socio sanitarios, mercado del agricultor, etc) que garantice la alta frecuencia y el control de calidad. </w:t>
      </w:r>
    </w:p>
    <w:p w:rsidR="00025683" w:rsidRDefault="007C2AAB">
      <w:pPr>
        <w:spacing w:after="0" w:line="259" w:lineRule="auto"/>
        <w:ind w:left="240" w:firstLine="0"/>
        <w:jc w:val="left"/>
      </w:pPr>
      <w:r>
        <w:rPr>
          <w:rFonts w:ascii="Calibri" w:eastAsia="Calibri" w:hAnsi="Calibri" w:cs="Calibri"/>
          <w:b/>
          <w:sz w:val="24"/>
        </w:rPr>
        <w:t xml:space="preserve"> </w:t>
      </w:r>
    </w:p>
    <w:p w:rsidR="00025683" w:rsidRDefault="007C2AAB">
      <w:pPr>
        <w:numPr>
          <w:ilvl w:val="0"/>
          <w:numId w:val="200"/>
        </w:numPr>
        <w:spacing w:line="250" w:lineRule="auto"/>
        <w:ind w:hanging="10"/>
        <w:jc w:val="left"/>
      </w:pPr>
      <w:r>
        <w:rPr>
          <w:rFonts w:ascii="Calibri" w:eastAsia="Calibri" w:hAnsi="Calibri" w:cs="Calibri"/>
          <w:b/>
          <w:sz w:val="24"/>
        </w:rPr>
        <w:t>Aplicar las bonificaciones y/o reducciones en la cuota de la Ordenanza Fiscal reguladora de la</w:t>
      </w:r>
      <w:r>
        <w:rPr>
          <w:rFonts w:ascii="Calibri" w:eastAsia="Calibri" w:hAnsi="Calibri" w:cs="Calibri"/>
          <w:b/>
          <w:sz w:val="24"/>
        </w:rPr>
        <w:t xml:space="preserve"> Tasa de Residuos Urbanos, para aquellas personas contribuyentes que acrediten participar activamente en el programa municipal de compostaje doméstico o comunitario, o que demuestren un uso correcto y eficiente del quinto contenedor.</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rFonts w:ascii="Calibri" w:eastAsia="Calibri" w:hAnsi="Calibri" w:cs="Calibri"/>
          <w:sz w:val="24"/>
        </w:rPr>
        <w:t xml:space="preserve"> </w:t>
      </w:r>
    </w:p>
    <w:p w:rsidR="00025683" w:rsidRDefault="007C2AAB">
      <w:pPr>
        <w:spacing w:after="3" w:line="263" w:lineRule="auto"/>
        <w:ind w:left="235" w:right="43" w:hanging="10"/>
      </w:pPr>
      <w:r>
        <w:rPr>
          <w:rFonts w:ascii="Calibri" w:eastAsia="Calibri" w:hAnsi="Calibri" w:cs="Calibri"/>
          <w:sz w:val="24"/>
        </w:rPr>
        <w:t>En Candelaria, a 13</w:t>
      </w:r>
      <w:r>
        <w:rPr>
          <w:rFonts w:ascii="Calibri" w:eastAsia="Calibri" w:hAnsi="Calibri" w:cs="Calibri"/>
          <w:sz w:val="24"/>
        </w:rPr>
        <w:t xml:space="preserve"> de diciembre de 2025. </w:t>
      </w:r>
    </w:p>
    <w:p w:rsidR="00025683" w:rsidRDefault="007C2AAB">
      <w:pPr>
        <w:spacing w:after="3" w:line="263" w:lineRule="auto"/>
        <w:ind w:left="235" w:right="43" w:hanging="10"/>
      </w:pPr>
      <w:r>
        <w:rPr>
          <w:rFonts w:ascii="Calibri" w:eastAsia="Calibri" w:hAnsi="Calibri" w:cs="Calibri"/>
          <w:sz w:val="24"/>
        </w:rPr>
        <w:t xml:space="preserve">Fdo.: Violeta López Jiménez, </w:t>
      </w:r>
    </w:p>
    <w:p w:rsidR="00025683" w:rsidRDefault="007C2AAB">
      <w:pPr>
        <w:spacing w:after="3" w:line="263" w:lineRule="auto"/>
        <w:ind w:left="235" w:right="43" w:hanging="10"/>
      </w:pPr>
      <w:r>
        <w:rPr>
          <w:rFonts w:ascii="Calibri" w:eastAsia="Calibri" w:hAnsi="Calibri" w:cs="Calibri"/>
          <w:sz w:val="24"/>
        </w:rPr>
        <w:t>Portavoz del Grupo Municipal Unidas Sí Podemos Candelaria.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rFonts w:ascii="Calibri" w:eastAsia="Calibri" w:hAnsi="Calibri" w:cs="Calibri"/>
          <w:sz w:val="24"/>
        </w:rPr>
        <w:t xml:space="preserve"> </w:t>
      </w:r>
    </w:p>
    <w:p w:rsidR="00025683" w:rsidRDefault="007C2AAB">
      <w:pPr>
        <w:spacing w:after="0" w:line="259" w:lineRule="auto"/>
        <w:ind w:left="240" w:firstLine="0"/>
        <w:jc w:val="left"/>
      </w:pPr>
      <w:r>
        <w:rPr>
          <w:rFonts w:ascii="Calibri" w:eastAsia="Calibri" w:hAnsi="Calibri" w:cs="Calibri"/>
          <w:sz w:val="24"/>
        </w:rPr>
        <w:t xml:space="preserve"> </w:t>
      </w:r>
    </w:p>
    <w:p w:rsidR="00025683" w:rsidRDefault="007C2AAB">
      <w:pPr>
        <w:spacing w:after="0" w:line="259" w:lineRule="auto"/>
        <w:ind w:left="240" w:firstLine="0"/>
        <w:jc w:val="left"/>
      </w:pPr>
      <w:r>
        <w:rPr>
          <w:rFonts w:ascii="Calibri" w:eastAsia="Calibri" w:hAnsi="Calibri" w:cs="Calibri"/>
          <w:b/>
          <w:sz w:val="24"/>
        </w:rPr>
        <w:t xml:space="preserve">                        </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30976"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4024" name="Group 43402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644" name="Rectangle 51644"/>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1645" name="Rectangle 51645"/>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646" name="Rectangle 51646"/>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348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4024" style="width:18.7031pt;height:264.21pt;position:absolute;mso-position-horizontal-relative:page;mso-position-horizontal:absolute;margin-left:662.928pt;mso-position-vertical-relative:page;margin-top:507.75pt;" coordsize="2375,33554">
                <v:rect id="Rectangle 51644"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1645"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646"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348 de 350 </w:t>
                        </w:r>
                      </w:p>
                    </w:txbxContent>
                  </v:textbox>
                </v:rect>
                <w10:wrap type="square"/>
              </v:group>
            </w:pict>
          </mc:Fallback>
        </mc:AlternateContent>
      </w:r>
      <w:r>
        <w:rPr>
          <w:b/>
        </w:rPr>
        <w:t xml:space="preserve"> </w:t>
      </w:r>
    </w:p>
    <w:p w:rsidR="00025683" w:rsidRDefault="007C2AAB">
      <w:pPr>
        <w:spacing w:after="12"/>
        <w:ind w:left="948" w:right="197"/>
      </w:pPr>
      <w:r>
        <w:rPr>
          <w:b/>
          <w:sz w:val="24"/>
        </w:rPr>
        <w:t xml:space="preserve">       </w:t>
      </w:r>
      <w:r>
        <w:rPr>
          <w:b/>
        </w:rPr>
        <w:t>DICTAMEN DE LA COMISIÓN INFORMATIVA DE URBANISMO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ind w:left="240" w:firstLine="708"/>
      </w:pPr>
      <w:r>
        <w:t xml:space="preserve">La moción fue dictaminada favorablemente por la Comisión Informativa de 22 de diciembre de 2025. </w:t>
      </w:r>
    </w:p>
    <w:p w:rsidR="00025683" w:rsidRDefault="007C2AAB">
      <w:pPr>
        <w:spacing w:after="0" w:line="259" w:lineRule="auto"/>
        <w:ind w:left="240" w:firstLine="0"/>
        <w:jc w:val="left"/>
      </w:pPr>
      <w:r>
        <w:rPr>
          <w:b/>
        </w:rPr>
        <w:t xml:space="preserve"> </w:t>
      </w:r>
    </w:p>
    <w:p w:rsidR="00025683" w:rsidRDefault="007C2AAB">
      <w:pPr>
        <w:spacing w:after="0" w:line="259" w:lineRule="auto"/>
        <w:ind w:left="948" w:firstLine="0"/>
        <w:jc w:val="left"/>
      </w:pPr>
      <w:r>
        <w:rPr>
          <w:b/>
        </w:rPr>
        <w:t xml:space="preserve"> </w:t>
      </w:r>
    </w:p>
    <w:p w:rsidR="00025683" w:rsidRDefault="007C2AAB">
      <w:pPr>
        <w:spacing w:after="0" w:line="259" w:lineRule="auto"/>
        <w:ind w:left="948" w:firstLine="0"/>
        <w:jc w:val="left"/>
      </w:pPr>
      <w:r>
        <w:rPr>
          <w:b/>
        </w:rPr>
        <w:t xml:space="preserve"> </w:t>
      </w:r>
    </w:p>
    <w:p w:rsidR="00025683" w:rsidRDefault="007C2AAB">
      <w:pPr>
        <w:spacing w:after="12"/>
        <w:ind w:left="948" w:right="2225"/>
      </w:pPr>
      <w:r>
        <w:rPr>
          <w:b/>
        </w:rPr>
        <w:t xml:space="preserve">JUNTA DE PORTAVOCES DE 22 DE DICIEMBRE DE 2025. </w:t>
      </w:r>
      <w:r>
        <w:t xml:space="preserve">Quedó oída.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rPr>
          <w:b/>
        </w:rPr>
        <w:t xml:space="preserve"> </w:t>
      </w:r>
      <w:r>
        <w:rPr>
          <w:b/>
        </w:rPr>
        <w:tab/>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VOTACIÓN EN EL PLENO DE LA MOCIÓN DEL GRUPO MIXTO (CC).</w:t>
      </w:r>
      <w:r>
        <w:rPr>
          <w:rFonts w:ascii="Times New Roman" w:eastAsia="Times New Roman" w:hAnsi="Times New Roman" w:cs="Times New Roman"/>
          <w:sz w:val="24"/>
        </w:rPr>
        <w:t xml:space="preserve"> </w:t>
      </w:r>
    </w:p>
    <w:p w:rsidR="00025683" w:rsidRDefault="007C2AAB">
      <w:pPr>
        <w:ind w:left="948" w:right="200"/>
      </w:pPr>
      <w:r>
        <w:t xml:space="preserve">Votos a favor: 6. </w:t>
      </w:r>
    </w:p>
    <w:p w:rsidR="00025683" w:rsidRDefault="007C2AAB">
      <w:pPr>
        <w:ind w:left="240" w:firstLine="708"/>
      </w:pPr>
      <w:r>
        <w:t xml:space="preserve">3 concejales del Grupo Popular: D. Jacobo López Fariña, D. Miguel Eduardo Hernández Chitty, Dª. María Carlota Díaz González. </w:t>
      </w:r>
    </w:p>
    <w:p w:rsidR="00025683" w:rsidRDefault="007C2AAB">
      <w:pPr>
        <w:ind w:left="948" w:right="200"/>
      </w:pPr>
      <w:r>
        <w:t xml:space="preserve">1 de la concejal del Grupo Mixto (CC), Doña Ángela Cruz Perera. </w:t>
      </w:r>
    </w:p>
    <w:p w:rsidR="00025683" w:rsidRDefault="007C2AAB">
      <w:pPr>
        <w:ind w:left="948" w:right="200"/>
      </w:pPr>
      <w:r>
        <w:t xml:space="preserve">1 del concejal del Grupo Mixto (Vox), D. José Tortosa Pallarés. </w:t>
      </w:r>
    </w:p>
    <w:p w:rsidR="00025683" w:rsidRDefault="007C2AAB">
      <w:pPr>
        <w:ind w:left="948" w:right="200"/>
      </w:pPr>
      <w:r>
        <w:t xml:space="preserve">1 de la concejal del Grupo Mixto (USP), Dª. Violeta López Jiménez. </w:t>
      </w:r>
    </w:p>
    <w:p w:rsidR="00025683" w:rsidRDefault="007C2AAB">
      <w:pPr>
        <w:spacing w:after="0" w:line="259" w:lineRule="auto"/>
        <w:ind w:left="240" w:firstLine="0"/>
        <w:jc w:val="left"/>
      </w:pPr>
      <w:r>
        <w:t xml:space="preserve"> </w:t>
      </w:r>
    </w:p>
    <w:p w:rsidR="00025683" w:rsidRDefault="007C2AAB">
      <w:pPr>
        <w:ind w:left="948" w:right="200"/>
      </w:pPr>
      <w:r>
        <w:t xml:space="preserve">Votos en contra: 11. </w:t>
      </w:r>
    </w:p>
    <w:p w:rsidR="00025683" w:rsidRDefault="007C2AAB">
      <w:pPr>
        <w:ind w:left="240" w:right="57" w:firstLine="708"/>
      </w:pPr>
      <w:r>
        <w:t>11 concejales del Grupo Socialista: Dª. María Concepción Brito Núñez, D. Jorge Baute Delgado, D. José Francisco Pinto Ramos, Dª. Olivia Concepción Pérez, D. Reinald</w:t>
      </w:r>
      <w:r>
        <w:t xml:space="preserve">o José Triviño Blanco, D. Manuel Alberto González Pestano, Dª. Margarita Eva Tendero Barroso, D. Airam Pérez </w:t>
      </w:r>
    </w:p>
    <w:p w:rsidR="00025683" w:rsidRDefault="007C2AAB">
      <w:pPr>
        <w:ind w:left="240"/>
      </w:pPr>
      <w:r>
        <w:t xml:space="preserve">Chinea, Dª. María del Carmen Clemente Díaz, D. Olegario Francisco Alonso Bello, Dª. Mónica Monserrat Yanes Delgado.  </w:t>
      </w:r>
    </w:p>
    <w:p w:rsidR="00025683" w:rsidRDefault="007C2AAB">
      <w:pPr>
        <w:spacing w:after="0" w:line="259" w:lineRule="auto"/>
        <w:ind w:left="948" w:firstLine="0"/>
        <w:jc w:val="left"/>
      </w:pPr>
      <w:r>
        <w:t xml:space="preserve"> </w:t>
      </w:r>
    </w:p>
    <w:p w:rsidR="00025683" w:rsidRDefault="007C2AAB">
      <w:pPr>
        <w:ind w:left="948" w:right="200"/>
      </w:pPr>
      <w:r>
        <w:t xml:space="preserve">Abstenciones: 0. </w:t>
      </w:r>
    </w:p>
    <w:p w:rsidR="00025683" w:rsidRDefault="007C2AAB">
      <w:pPr>
        <w:spacing w:after="0" w:line="259" w:lineRule="auto"/>
        <w:ind w:left="240" w:firstLine="0"/>
        <w:jc w:val="left"/>
      </w:pPr>
      <w:r>
        <w:rPr>
          <w:b/>
          <w:sz w:val="24"/>
        </w:rPr>
        <w:t xml:space="preserve"> </w:t>
      </w:r>
    </w:p>
    <w:p w:rsidR="00025683" w:rsidRDefault="007C2AAB">
      <w:pPr>
        <w:spacing w:after="0" w:line="259" w:lineRule="auto"/>
        <w:ind w:left="240" w:firstLine="0"/>
        <w:jc w:val="left"/>
      </w:pPr>
      <w:r>
        <w:rPr>
          <w:b/>
          <w:sz w:val="24"/>
        </w:rPr>
        <w:t xml:space="preserve">     </w:t>
      </w:r>
      <w:r>
        <w:rPr>
          <w:b/>
          <w:sz w:val="24"/>
        </w:rPr>
        <w:tab/>
      </w:r>
      <w:r>
        <w:rPr>
          <w:b/>
          <w:sz w:val="24"/>
        </w:rPr>
        <w:t xml:space="preserve"> </w:t>
      </w:r>
      <w:r>
        <w:rPr>
          <w:b/>
          <w:sz w:val="24"/>
        </w:rPr>
        <w:tab/>
        <w:t xml:space="preserve"> </w:t>
      </w:r>
      <w:r>
        <w:rPr>
          <w:b/>
          <w:sz w:val="24"/>
        </w:rPr>
        <w:tab/>
        <w:t xml:space="preserve"> </w:t>
      </w:r>
      <w:r>
        <w:rPr>
          <w:b/>
          <w:sz w:val="24"/>
        </w:rPr>
        <w:tab/>
        <w:t xml:space="preserve"> </w:t>
      </w:r>
    </w:p>
    <w:p w:rsidR="00025683" w:rsidRDefault="007C2AAB">
      <w:pPr>
        <w:spacing w:after="0" w:line="259" w:lineRule="auto"/>
        <w:ind w:left="248" w:firstLine="0"/>
        <w:jc w:val="center"/>
      </w:pPr>
      <w:r>
        <w:rPr>
          <w:b/>
          <w:sz w:val="24"/>
        </w:rPr>
        <w:t xml:space="preserve"> </w:t>
      </w:r>
    </w:p>
    <w:p w:rsidR="00025683" w:rsidRDefault="007C2AAB">
      <w:pPr>
        <w:pStyle w:val="Ttulo4"/>
        <w:spacing w:after="0"/>
        <w:ind w:left="189"/>
      </w:pPr>
      <w:r>
        <w:rPr>
          <w:sz w:val="24"/>
        </w:rPr>
        <w:t xml:space="preserve">ACUERDO DEL PLENO </w:t>
      </w:r>
    </w:p>
    <w:p w:rsidR="00025683" w:rsidRDefault="007C2AAB">
      <w:pPr>
        <w:spacing w:after="0" w:line="238" w:lineRule="auto"/>
        <w:ind w:left="240" w:firstLine="708"/>
        <w:jc w:val="left"/>
      </w:pPr>
      <w:r>
        <w:rPr>
          <w:b/>
          <w:sz w:val="24"/>
        </w:rPr>
        <w:t xml:space="preserve">Desestimar la moción del Grupo Mixto (USP) </w:t>
      </w:r>
      <w:r>
        <w:rPr>
          <w:b/>
          <w:sz w:val="24"/>
          <w:shd w:val="clear" w:color="auto" w:fill="F5F7F9"/>
        </w:rPr>
        <w:t>para la gestión de los bioresiduos y la implantación del quinto contenedor.</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after="12"/>
        <w:ind w:left="240" w:right="197"/>
      </w:pPr>
      <w:r>
        <w:rPr>
          <w:b/>
        </w:rPr>
        <w:t xml:space="preserve">13.- Urgencias. </w:t>
      </w:r>
    </w:p>
    <w:p w:rsidR="00025683" w:rsidRDefault="007C2AAB">
      <w:pPr>
        <w:spacing w:after="0" w:line="259" w:lineRule="auto"/>
        <w:ind w:left="240" w:firstLine="0"/>
        <w:jc w:val="left"/>
      </w:pPr>
      <w:r>
        <w:rPr>
          <w:b/>
        </w:rPr>
        <w:t xml:space="preserve"> </w:t>
      </w:r>
    </w:p>
    <w:p w:rsidR="00025683" w:rsidRDefault="007C2AAB">
      <w:pPr>
        <w:ind w:left="240" w:right="200"/>
      </w:pPr>
      <w:r>
        <w:t>No hubo.</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rFonts w:ascii="Calibri" w:eastAsia="Calibri" w:hAnsi="Calibri" w:cs="Calibri"/>
          <w:noProof/>
        </w:rPr>
        <mc:AlternateContent>
          <mc:Choice Requires="wpg">
            <w:drawing>
              <wp:anchor distT="0" distB="0" distL="114300" distR="114300" simplePos="0" relativeHeight="252032000" behindDoc="0" locked="0" layoutInCell="1" allowOverlap="1">
                <wp:simplePos x="0" y="0"/>
                <wp:positionH relativeFrom="page">
                  <wp:posOffset>8419190</wp:posOffset>
                </wp:positionH>
                <wp:positionV relativeFrom="page">
                  <wp:posOffset>6448426</wp:posOffset>
                </wp:positionV>
                <wp:extent cx="237530" cy="3355467"/>
                <wp:effectExtent l="0" t="0" r="0" b="0"/>
                <wp:wrapSquare wrapText="bothSides"/>
                <wp:docPr id="434815" name="Group 4348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797" name="Rectangle 51797"/>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1798" name="Rectangle 51798"/>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799" name="Rectangle 51799"/>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349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4815" style="width:18.7031pt;height:264.21pt;position:absolute;mso-position-horizontal-relative:page;mso-position-horizontal:absolute;margin-left:662.928pt;mso-position-vertical-relative:page;margin-top:507.75pt;" coordsize="2375,33554">
                <v:rect id="Rectangle 51797"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1798"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799"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349 de 350 </w:t>
                        </w:r>
                      </w:p>
                    </w:txbxContent>
                  </v:textbox>
                </v:rect>
                <w10:wrap type="square"/>
              </v:group>
            </w:pict>
          </mc:Fallback>
        </mc:AlternateContent>
      </w:r>
      <w:r>
        <w:rPr>
          <w:b/>
        </w:rPr>
        <w:t xml:space="preserve"> </w:t>
      </w:r>
    </w:p>
    <w:p w:rsidR="00025683" w:rsidRDefault="007C2AAB">
      <w:pPr>
        <w:spacing w:after="0" w:line="259" w:lineRule="auto"/>
        <w:ind w:left="240" w:firstLine="0"/>
        <w:jc w:val="left"/>
      </w:pPr>
      <w:r>
        <w:rPr>
          <w:b/>
        </w:rPr>
        <w:t xml:space="preserve"> </w:t>
      </w:r>
    </w:p>
    <w:p w:rsidR="00025683" w:rsidRDefault="007C2AAB">
      <w:pPr>
        <w:numPr>
          <w:ilvl w:val="0"/>
          <w:numId w:val="201"/>
        </w:numPr>
        <w:spacing w:after="1" w:line="249" w:lineRule="auto"/>
        <w:ind w:right="99" w:hanging="360"/>
        <w:jc w:val="left"/>
      </w:pPr>
      <w:r>
        <w:rPr>
          <w:b/>
          <w:sz w:val="24"/>
        </w:rPr>
        <w:t xml:space="preserve">ACTIVIDADES DE CONTROL. </w:t>
      </w:r>
    </w:p>
    <w:p w:rsidR="00025683" w:rsidRDefault="007C2AAB">
      <w:pPr>
        <w:spacing w:after="0" w:line="259" w:lineRule="auto"/>
        <w:ind w:left="960" w:firstLine="0"/>
        <w:jc w:val="left"/>
      </w:pPr>
      <w:r>
        <w:t xml:space="preserve"> </w:t>
      </w:r>
    </w:p>
    <w:p w:rsidR="00025683" w:rsidRDefault="007C2AAB">
      <w:pPr>
        <w:spacing w:after="0" w:line="259" w:lineRule="auto"/>
        <w:ind w:left="240" w:firstLine="0"/>
        <w:jc w:val="left"/>
      </w:pPr>
      <w:r>
        <w:t xml:space="preserve"> </w:t>
      </w:r>
    </w:p>
    <w:p w:rsidR="00025683" w:rsidRDefault="007C2AAB">
      <w:pPr>
        <w:spacing w:after="12"/>
        <w:ind w:left="240"/>
      </w:pPr>
      <w:r>
        <w:rPr>
          <w:b/>
        </w:rPr>
        <w:t>14.- Dación de Cuenta de los Decretos de la Alcaldía-Presidencia y de los</w:t>
      </w:r>
      <w:r>
        <w:rPr>
          <w:b/>
        </w:rPr>
        <w:t xml:space="preserve"> Concejales delegados. </w:t>
      </w:r>
    </w:p>
    <w:p w:rsidR="00025683" w:rsidRDefault="007C2AAB">
      <w:pPr>
        <w:spacing w:after="0" w:line="259" w:lineRule="auto"/>
        <w:ind w:left="240" w:firstLine="0"/>
        <w:jc w:val="left"/>
      </w:pPr>
      <w:r>
        <w:rPr>
          <w:b/>
        </w:rPr>
        <w:t xml:space="preserve"> </w:t>
      </w:r>
    </w:p>
    <w:p w:rsidR="00025683" w:rsidRDefault="007C2AAB">
      <w:pPr>
        <w:ind w:left="240" w:right="124"/>
      </w:pPr>
      <w:r>
        <w:t>El Secretario da traslado del CD con los Decretos desde la última sesión ordinaria a cada uno de los portavoces de los Grupos Municipales y a la Alcaldía-Presidencia durante el transcurso de la sesión plenaria.</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rPr>
        <w:t xml:space="preserve"> </w:t>
      </w:r>
    </w:p>
    <w:p w:rsidR="00025683" w:rsidRDefault="007C2AAB">
      <w:pPr>
        <w:spacing w:after="0" w:line="259" w:lineRule="auto"/>
        <w:ind w:left="240" w:firstLine="0"/>
        <w:jc w:val="left"/>
      </w:pPr>
      <w:r>
        <w:rPr>
          <w:b/>
        </w:rPr>
        <w:t xml:space="preserve"> </w:t>
      </w:r>
    </w:p>
    <w:p w:rsidR="00025683" w:rsidRDefault="007C2AAB">
      <w:pPr>
        <w:spacing w:line="249" w:lineRule="auto"/>
        <w:ind w:left="250" w:right="121" w:hanging="10"/>
      </w:pPr>
      <w:r>
        <w:rPr>
          <w:rFonts w:ascii="Calibri" w:eastAsia="Calibri" w:hAnsi="Calibri" w:cs="Calibri"/>
          <w:noProof/>
        </w:rPr>
        <mc:AlternateContent>
          <mc:Choice Requires="wpg">
            <w:drawing>
              <wp:anchor distT="0" distB="0" distL="114300" distR="114300" simplePos="0" relativeHeight="252033024" behindDoc="1" locked="0" layoutInCell="1" allowOverlap="1">
                <wp:simplePos x="0" y="0"/>
                <wp:positionH relativeFrom="column">
                  <wp:posOffset>152705</wp:posOffset>
                </wp:positionH>
                <wp:positionV relativeFrom="paragraph">
                  <wp:posOffset>-9555</wp:posOffset>
                </wp:positionV>
                <wp:extent cx="6028385" cy="510539"/>
                <wp:effectExtent l="0" t="0" r="0" b="0"/>
                <wp:wrapNone/>
                <wp:docPr id="434814" name="Group 434814"/>
                <wp:cNvGraphicFramePr/>
                <a:graphic xmlns:a="http://schemas.openxmlformats.org/drawingml/2006/main">
                  <a:graphicData uri="http://schemas.microsoft.com/office/word/2010/wordprocessingGroup">
                    <wpg:wgp>
                      <wpg:cNvGrpSpPr/>
                      <wpg:grpSpPr>
                        <a:xfrm>
                          <a:off x="0" y="0"/>
                          <a:ext cx="6028385" cy="510539"/>
                          <a:chOff x="0" y="0"/>
                          <a:chExt cx="6028385" cy="510539"/>
                        </a:xfrm>
                      </wpg:grpSpPr>
                      <wps:wsp>
                        <wps:cNvPr id="447204" name="Shape 447204"/>
                        <wps:cNvSpPr/>
                        <wps:spPr>
                          <a:xfrm>
                            <a:off x="1972386" y="0"/>
                            <a:ext cx="4055999" cy="173736"/>
                          </a:xfrm>
                          <a:custGeom>
                            <a:avLst/>
                            <a:gdLst/>
                            <a:ahLst/>
                            <a:cxnLst/>
                            <a:rect l="0" t="0" r="0" b="0"/>
                            <a:pathLst>
                              <a:path w="4055999" h="173736">
                                <a:moveTo>
                                  <a:pt x="0" y="0"/>
                                </a:moveTo>
                                <a:lnTo>
                                  <a:pt x="4055999" y="0"/>
                                </a:lnTo>
                                <a:lnTo>
                                  <a:pt x="4055999" y="173736"/>
                                </a:lnTo>
                                <a:lnTo>
                                  <a:pt x="0" y="173736"/>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7205" name="Shape 447205"/>
                        <wps:cNvSpPr/>
                        <wps:spPr>
                          <a:xfrm>
                            <a:off x="0" y="167639"/>
                            <a:ext cx="6028309" cy="173737"/>
                          </a:xfrm>
                          <a:custGeom>
                            <a:avLst/>
                            <a:gdLst/>
                            <a:ahLst/>
                            <a:cxnLst/>
                            <a:rect l="0" t="0" r="0" b="0"/>
                            <a:pathLst>
                              <a:path w="6028309" h="173737">
                                <a:moveTo>
                                  <a:pt x="0" y="0"/>
                                </a:moveTo>
                                <a:lnTo>
                                  <a:pt x="6028309" y="0"/>
                                </a:lnTo>
                                <a:lnTo>
                                  <a:pt x="6028309" y="173737"/>
                                </a:lnTo>
                                <a:lnTo>
                                  <a:pt x="0" y="173737"/>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s:wsp>
                        <wps:cNvPr id="447206" name="Shape 447206"/>
                        <wps:cNvSpPr/>
                        <wps:spPr>
                          <a:xfrm>
                            <a:off x="0" y="336804"/>
                            <a:ext cx="3454019" cy="173735"/>
                          </a:xfrm>
                          <a:custGeom>
                            <a:avLst/>
                            <a:gdLst/>
                            <a:ahLst/>
                            <a:cxnLst/>
                            <a:rect l="0" t="0" r="0" b="0"/>
                            <a:pathLst>
                              <a:path w="3454019" h="173735">
                                <a:moveTo>
                                  <a:pt x="0" y="0"/>
                                </a:moveTo>
                                <a:lnTo>
                                  <a:pt x="3454019" y="0"/>
                                </a:lnTo>
                                <a:lnTo>
                                  <a:pt x="3454019" y="173735"/>
                                </a:lnTo>
                                <a:lnTo>
                                  <a:pt x="0" y="173735"/>
                                </a:lnTo>
                                <a:lnTo>
                                  <a:pt x="0" y="0"/>
                                </a:lnTo>
                              </a:path>
                            </a:pathLst>
                          </a:custGeom>
                          <a:ln w="0" cap="sq">
                            <a:miter lim="127000"/>
                          </a:ln>
                        </wps:spPr>
                        <wps:style>
                          <a:lnRef idx="0">
                            <a:srgbClr val="000000">
                              <a:alpha val="0"/>
                            </a:srgbClr>
                          </a:lnRef>
                          <a:fillRef idx="1">
                            <a:srgbClr val="F5F7F9"/>
                          </a:fillRef>
                          <a:effectRef idx="0">
                            <a:scrgbClr r="0" g="0" b="0"/>
                          </a:effectRef>
                          <a:fontRef idx="none"/>
                        </wps:style>
                        <wps:bodyPr/>
                      </wps:wsp>
                    </wpg:wgp>
                  </a:graphicData>
                </a:graphic>
              </wp:anchor>
            </w:drawing>
          </mc:Choice>
          <mc:Fallback xmlns:a="http://schemas.openxmlformats.org/drawingml/2006/main">
            <w:pict>
              <v:group id="Group 434814" style="width:474.676pt;height:40.2pt;position:absolute;z-index:-2147483547;mso-position-horizontal-relative:text;mso-position-horizontal:absolute;margin-left:12.024pt;mso-position-vertical-relative:text;margin-top:-0.752441pt;" coordsize="60283,5105">
                <v:shape id="Shape 447207" style="position:absolute;width:40559;height:1737;left:19723;top:0;" coordsize="4055999,173736" path="m0,0l4055999,0l4055999,173736l0,173736l0,0">
                  <v:stroke weight="0pt" endcap="square" joinstyle="miter" miterlimit="10" on="false" color="#000000" opacity="0"/>
                  <v:fill on="true" color="#f5f7f9"/>
                </v:shape>
                <v:shape id="Shape 447208" style="position:absolute;width:60283;height:1737;left:0;top:1676;" coordsize="6028309,173737" path="m0,0l6028309,0l6028309,173737l0,173737l0,0">
                  <v:stroke weight="0pt" endcap="square" joinstyle="miter" miterlimit="10" on="false" color="#000000" opacity="0"/>
                  <v:fill on="true" color="#f5f7f9"/>
                </v:shape>
                <v:shape id="Shape 447209" style="position:absolute;width:34540;height:1737;left:0;top:3368;" coordsize="3454019,173735" path="m0,0l3454019,0l3454019,173735l0,173735l0,0">
                  <v:stroke weight="0pt" endcap="square" joinstyle="miter" miterlimit="10" on="false" color="#000000" opacity="0"/>
                  <v:fill on="true" color="#f5f7f9"/>
                </v:shape>
              </v:group>
            </w:pict>
          </mc:Fallback>
        </mc:AlternateContent>
      </w:r>
      <w:r>
        <w:rPr>
          <w:b/>
        </w:rPr>
        <w:t xml:space="preserve">15.- Informe </w:t>
      </w:r>
      <w:r>
        <w:rPr>
          <w:b/>
        </w:rPr>
        <w:t xml:space="preserve">del Interventor </w:t>
      </w:r>
      <w:r>
        <w:rPr>
          <w:b/>
          <w:sz w:val="23"/>
        </w:rPr>
        <w:t xml:space="preserve">de las resoluciones adoptadas contrarias a los reparos efectuados de conformidad con la ley 27/2013, de 27 de diciembre, de racionalización y sostenibilidad de la Administración local (LRSAL) </w:t>
      </w:r>
    </w:p>
    <w:p w:rsidR="00025683" w:rsidRDefault="007C2AAB">
      <w:pPr>
        <w:spacing w:after="0" w:line="259" w:lineRule="auto"/>
        <w:ind w:left="240" w:firstLine="0"/>
        <w:jc w:val="left"/>
      </w:pPr>
      <w:r>
        <w:rPr>
          <w:b/>
          <w:sz w:val="23"/>
        </w:rPr>
        <w:t xml:space="preserve"> </w:t>
      </w:r>
    </w:p>
    <w:p w:rsidR="00025683" w:rsidRDefault="007C2AAB">
      <w:pPr>
        <w:spacing w:after="0" w:line="259" w:lineRule="auto"/>
        <w:ind w:left="240" w:firstLine="0"/>
        <w:jc w:val="left"/>
      </w:pPr>
      <w:r>
        <w:rPr>
          <w:shd w:val="clear" w:color="auto" w:fill="F5F7F9"/>
        </w:rPr>
        <w:t>No hay.</w:t>
      </w:r>
      <w:r>
        <w:rPr>
          <w:rFonts w:ascii="Times New Roman" w:eastAsia="Times New Roman" w:hAnsi="Times New Roman" w:cs="Times New Roman"/>
        </w:rPr>
        <w:t xml:space="preserve"> </w:t>
      </w:r>
    </w:p>
    <w:p w:rsidR="00025683" w:rsidRDefault="007C2AAB">
      <w:pPr>
        <w:spacing w:after="0" w:line="259" w:lineRule="auto"/>
        <w:ind w:left="240" w:firstLine="0"/>
        <w:jc w:val="left"/>
      </w:pPr>
      <w:r>
        <w:rPr>
          <w:rFonts w:ascii="Times New Roman" w:eastAsia="Times New Roman" w:hAnsi="Times New Roman" w:cs="Times New Roman"/>
        </w:rPr>
        <w:t xml:space="preserve"> </w:t>
      </w:r>
    </w:p>
    <w:p w:rsidR="00025683" w:rsidRDefault="007C2AAB">
      <w:pPr>
        <w:spacing w:after="0" w:line="259" w:lineRule="auto"/>
        <w:ind w:left="240" w:firstLine="0"/>
        <w:jc w:val="left"/>
      </w:pPr>
      <w:r>
        <w:rPr>
          <w:rFonts w:ascii="Times New Roman" w:eastAsia="Times New Roman" w:hAnsi="Times New Roman" w:cs="Times New Roman"/>
          <w:sz w:val="24"/>
        </w:rPr>
        <w:t xml:space="preserve"> </w:t>
      </w:r>
    </w:p>
    <w:p w:rsidR="00025683" w:rsidRDefault="007C2AAB">
      <w:pPr>
        <w:numPr>
          <w:ilvl w:val="0"/>
          <w:numId w:val="201"/>
        </w:numPr>
        <w:spacing w:after="0" w:line="259" w:lineRule="auto"/>
        <w:ind w:right="99" w:hanging="360"/>
        <w:jc w:val="left"/>
      </w:pPr>
      <w:r>
        <w:rPr>
          <w:b/>
          <w:sz w:val="24"/>
          <w:u w:val="single" w:color="000000"/>
        </w:rPr>
        <w:t>RUEGOS Y PREGUNTAS</w:t>
      </w:r>
      <w:r>
        <w:rPr>
          <w:b/>
          <w:sz w:val="24"/>
        </w:rPr>
        <w:t>.</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rPr>
          <w:b/>
          <w:color w:val="2F3E4D"/>
        </w:rPr>
        <w:t xml:space="preserve"> </w:t>
      </w:r>
    </w:p>
    <w:p w:rsidR="00025683" w:rsidRDefault="007C2AAB">
      <w:pPr>
        <w:spacing w:after="0" w:line="259" w:lineRule="auto"/>
        <w:ind w:left="240" w:firstLine="0"/>
        <w:jc w:val="left"/>
      </w:pPr>
      <w:r>
        <w:rPr>
          <w:b/>
          <w:color w:val="2F3E4D"/>
        </w:rPr>
        <w:t xml:space="preserve"> </w:t>
      </w:r>
    </w:p>
    <w:p w:rsidR="00025683" w:rsidRDefault="007C2AAB">
      <w:pPr>
        <w:spacing w:after="3" w:line="259" w:lineRule="auto"/>
        <w:ind w:left="250" w:hanging="10"/>
        <w:jc w:val="left"/>
      </w:pPr>
      <w:r>
        <w:rPr>
          <w:b/>
          <w:u w:val="single" w:color="000000"/>
        </w:rPr>
        <w:t>Ruegos y preguntas</w:t>
      </w:r>
      <w:r>
        <w:rPr>
          <w:b/>
        </w:rPr>
        <w:t>.</w:t>
      </w:r>
      <w:r>
        <w:rPr>
          <w:rFonts w:ascii="Times New Roman" w:eastAsia="Times New Roman" w:hAnsi="Times New Roman" w:cs="Times New Roman"/>
          <w:sz w:val="24"/>
        </w:rPr>
        <w:t xml:space="preserve"> </w:t>
      </w:r>
    </w:p>
    <w:p w:rsidR="00025683" w:rsidRDefault="007C2AAB">
      <w:pPr>
        <w:spacing w:after="0" w:line="259" w:lineRule="auto"/>
        <w:ind w:left="240" w:firstLine="0"/>
        <w:jc w:val="left"/>
      </w:pPr>
      <w:r>
        <w:t xml:space="preserve"> </w:t>
      </w:r>
    </w:p>
    <w:p w:rsidR="00025683" w:rsidRDefault="007C2AAB">
      <w:pPr>
        <w:spacing w:after="0" w:line="259" w:lineRule="auto"/>
        <w:ind w:left="240" w:firstLine="0"/>
        <w:jc w:val="left"/>
      </w:pPr>
      <w:r>
        <w:t xml:space="preserve"> </w:t>
      </w:r>
    </w:p>
    <w:p w:rsidR="00025683" w:rsidRDefault="007C2AAB">
      <w:pPr>
        <w:ind w:left="240" w:right="200"/>
      </w:pPr>
      <w:r>
        <w:t>16.- Están en el video-acta</w:t>
      </w:r>
      <w:r>
        <w:rPr>
          <w:b/>
        </w:rPr>
        <w:t xml:space="preserve">     </w:t>
      </w:r>
    </w:p>
    <w:p w:rsidR="00025683" w:rsidRDefault="007C2AAB">
      <w:pPr>
        <w:spacing w:after="86" w:line="259" w:lineRule="auto"/>
        <w:ind w:left="240" w:firstLine="0"/>
        <w:jc w:val="left"/>
      </w:pPr>
      <w:r>
        <w:rPr>
          <w:b/>
        </w:rPr>
        <w:t xml:space="preserve"> </w:t>
      </w:r>
    </w:p>
    <w:p w:rsidR="00025683" w:rsidRDefault="007C2AAB">
      <w:pPr>
        <w:spacing w:after="138" w:line="259" w:lineRule="auto"/>
        <w:ind w:left="250" w:hanging="10"/>
        <w:jc w:val="left"/>
      </w:pPr>
      <w:r>
        <w:rPr>
          <w:b/>
          <w:color w:val="0A0A0A"/>
          <w:sz w:val="24"/>
        </w:rPr>
        <w:t xml:space="preserve">          </w:t>
      </w:r>
      <w:r>
        <w:rPr>
          <w:color w:val="1A0DAB"/>
          <w:sz w:val="24"/>
          <w:u w:val="single" w:color="1A0DAB"/>
        </w:rPr>
        <w:t>https://www.youtube.com/watch?v=pZmWVk6_TGA</w:t>
      </w:r>
      <w:r>
        <w:rPr>
          <w:color w:val="0A0A0A"/>
          <w:sz w:val="24"/>
        </w:rPr>
        <w:t xml:space="preserve">. </w:t>
      </w:r>
      <w:r>
        <w:rPr>
          <w:rFonts w:ascii="Times New Roman" w:eastAsia="Times New Roman" w:hAnsi="Times New Roman" w:cs="Times New Roman"/>
          <w:sz w:val="24"/>
        </w:rPr>
        <w:t xml:space="preserve"> </w:t>
      </w:r>
    </w:p>
    <w:p w:rsidR="00025683" w:rsidRDefault="007C2AAB">
      <w:pPr>
        <w:ind w:left="240"/>
      </w:pPr>
      <w:r>
        <w:t>Se levanta la sesión a las 14:15 horas del mismo día. De todo lo cual yo, como Secretario General, doy fe.</w:t>
      </w:r>
      <w:r>
        <w:rPr>
          <w:b/>
        </w:rPr>
        <w:t xml:space="preserve"> </w:t>
      </w:r>
    </w:p>
    <w:p w:rsidR="00025683" w:rsidRDefault="007C2AAB">
      <w:pPr>
        <w:spacing w:after="98" w:line="259" w:lineRule="auto"/>
        <w:ind w:left="240" w:firstLine="0"/>
        <w:jc w:val="left"/>
      </w:pPr>
      <w:r>
        <w:rPr>
          <w:b/>
        </w:rPr>
        <w:t xml:space="preserve"> </w:t>
      </w:r>
    </w:p>
    <w:p w:rsidR="00025683" w:rsidRDefault="007C2AAB">
      <w:pPr>
        <w:spacing w:after="111"/>
        <w:ind w:left="240" w:right="197"/>
      </w:pPr>
      <w:r>
        <w:rPr>
          <w:rFonts w:ascii="Calibri" w:eastAsia="Calibri" w:hAnsi="Calibri" w:cs="Calibri"/>
          <w:noProof/>
        </w:rPr>
        <mc:AlternateContent>
          <mc:Choice Requires="wpg">
            <w:drawing>
              <wp:anchor distT="0" distB="0" distL="114300" distR="114300" simplePos="0" relativeHeight="252034048" behindDoc="0" locked="0" layoutInCell="1" allowOverlap="1">
                <wp:simplePos x="0" y="0"/>
                <wp:positionH relativeFrom="page">
                  <wp:posOffset>8419190</wp:posOffset>
                </wp:positionH>
                <wp:positionV relativeFrom="page">
                  <wp:posOffset>6448426</wp:posOffset>
                </wp:positionV>
                <wp:extent cx="237530" cy="3355467"/>
                <wp:effectExtent l="0" t="0" r="0" b="0"/>
                <wp:wrapTopAndBottom/>
                <wp:docPr id="434568" name="Group 4345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51870" name="Rectangle 51870"/>
                        <wps:cNvSpPr/>
                        <wps:spPr>
                          <a:xfrm rot="-5399999">
                            <a:off x="-1151584" y="2090660"/>
                            <a:ext cx="2416393" cy="113224"/>
                          </a:xfrm>
                          <a:prstGeom prst="rect">
                            <a:avLst/>
                          </a:prstGeom>
                          <a:ln>
                            <a:noFill/>
                          </a:ln>
                        </wps:spPr>
                        <wps:txbx>
                          <w:txbxContent>
                            <w:p w:rsidR="00025683" w:rsidRDefault="007C2AAB">
                              <w:pPr>
                                <w:spacing w:after="160" w:line="259" w:lineRule="auto"/>
                                <w:ind w:left="0" w:firstLine="0"/>
                                <w:jc w:val="left"/>
                              </w:pPr>
                              <w:r>
                                <w:rPr>
                                  <w:sz w:val="12"/>
                                </w:rPr>
                                <w:t xml:space="preserve">Cód. Validación: 3J3KYNW3CJM74AZ6SEHNT4KKY </w:t>
                              </w:r>
                            </w:p>
                          </w:txbxContent>
                        </wps:txbx>
                        <wps:bodyPr horzOverflow="overflow" vert="horz" lIns="0" tIns="0" rIns="0" bIns="0" rtlCol="0">
                          <a:noAutofit/>
                        </wps:bodyPr>
                      </wps:wsp>
                      <wps:wsp>
                        <wps:cNvPr id="51871" name="Rectangle 51871"/>
                        <wps:cNvSpPr/>
                        <wps:spPr>
                          <a:xfrm rot="-5399999">
                            <a:off x="-976166" y="2189878"/>
                            <a:ext cx="2217957" cy="113224"/>
                          </a:xfrm>
                          <a:prstGeom prst="rect">
                            <a:avLst/>
                          </a:prstGeom>
                          <a:ln>
                            <a:noFill/>
                          </a:ln>
                        </wps:spPr>
                        <wps:txbx>
                          <w:txbxContent>
                            <w:p w:rsidR="00025683" w:rsidRDefault="007C2AAB">
                              <w:pPr>
                                <w:spacing w:after="160" w:line="259" w:lineRule="auto"/>
                                <w:ind w:left="0" w:firstLine="0"/>
                                <w:jc w:val="left"/>
                              </w:pPr>
                              <w:r>
                                <w:rPr>
                                  <w:sz w:val="12"/>
                                </w:rPr>
                                <w:t xml:space="preserve">Verificación: https://candelaria.sedelectronica.es/ </w:t>
                              </w:r>
                            </w:p>
                          </w:txbxContent>
                        </wps:txbx>
                        <wps:bodyPr horzOverflow="overflow" vert="horz" lIns="0" tIns="0" rIns="0" bIns="0" rtlCol="0">
                          <a:noAutofit/>
                        </wps:bodyPr>
                      </wps:wsp>
                      <wps:wsp>
                        <wps:cNvPr id="51872" name="Rectangle 51872"/>
                        <wps:cNvSpPr/>
                        <wps:spPr>
                          <a:xfrm rot="-5399999">
                            <a:off x="-2022372" y="1067469"/>
                            <a:ext cx="4462770" cy="113224"/>
                          </a:xfrm>
                          <a:prstGeom prst="rect">
                            <a:avLst/>
                          </a:prstGeom>
                          <a:ln>
                            <a:noFill/>
                          </a:ln>
                        </wps:spPr>
                        <wps:txbx>
                          <w:txbxContent>
                            <w:p w:rsidR="00025683" w:rsidRDefault="007C2AAB">
                              <w:pPr>
                                <w:spacing w:after="160" w:line="259" w:lineRule="auto"/>
                                <w:ind w:left="0" w:firstLine="0"/>
                                <w:jc w:val="left"/>
                              </w:pPr>
                              <w:r>
                                <w:rPr>
                                  <w:sz w:val="12"/>
                                </w:rPr>
                                <w:t xml:space="preserve">Documento firmado electrónicamente desde la plataforma esPublico Gestiona | Página 350 de 350 </w:t>
                              </w:r>
                            </w:p>
                          </w:txbxContent>
                        </wps:txbx>
                        <wps:bodyPr horzOverflow="overflow" vert="horz" lIns="0" tIns="0" rIns="0" bIns="0" rtlCol="0">
                          <a:noAutofit/>
                        </wps:bodyPr>
                      </wps:wsp>
                    </wpg:wgp>
                  </a:graphicData>
                </a:graphic>
              </wp:anchor>
            </w:drawing>
          </mc:Choice>
          <mc:Fallback xmlns:a="http://schemas.openxmlformats.org/drawingml/2006/main">
            <w:pict>
              <v:group id="Group 434568" style="width:18.7031pt;height:264.21pt;position:absolute;mso-position-horizontal-relative:page;mso-position-horizontal:absolute;margin-left:662.928pt;mso-position-vertical-relative:page;margin-top:507.75pt;" coordsize="2375,33554">
                <v:rect id="Rectangle 51870" style="position:absolute;width:24163;height:1132;left:-11515;top:2090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3J3KYNW3CJM74AZ6SEHNT4KKY </w:t>
                        </w:r>
                      </w:p>
                    </w:txbxContent>
                  </v:textbox>
                </v:rect>
                <v:rect id="Rectangle 51871" style="position:absolute;width:22179;height:1132;left:-9761;top:21898;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Verificación: https://candelaria.sedelectronica.es/ </w:t>
                        </w:r>
                      </w:p>
                    </w:txbxContent>
                  </v:textbox>
                </v:rect>
                <v:rect id="Rectangle 51872" style="position:absolute;width:44627;height:1132;left:-20223;top:10674;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350 de 350 </w:t>
                        </w:r>
                      </w:p>
                    </w:txbxContent>
                  </v:textbox>
                </v:rect>
                <w10:wrap type="topAndBottom"/>
              </v:group>
            </w:pict>
          </mc:Fallback>
        </mc:AlternateContent>
      </w:r>
      <w:r>
        <w:t xml:space="preserve">                                     </w:t>
      </w:r>
      <w:r>
        <w:rPr>
          <w:b/>
        </w:rPr>
        <w:t>Vº. Bº.</w:t>
      </w:r>
      <w:r>
        <w:t xml:space="preserve"> </w:t>
      </w:r>
    </w:p>
    <w:p w:rsidR="00025683" w:rsidRDefault="007C2AAB">
      <w:pPr>
        <w:spacing w:after="0" w:line="259" w:lineRule="auto"/>
        <w:ind w:left="240" w:firstLine="0"/>
        <w:jc w:val="left"/>
      </w:pPr>
      <w:r>
        <w:t xml:space="preserve"> </w:t>
      </w:r>
    </w:p>
    <w:p w:rsidR="00025683" w:rsidRDefault="007C2AAB">
      <w:pPr>
        <w:tabs>
          <w:tab w:val="center" w:pos="240"/>
          <w:tab w:val="center" w:pos="2562"/>
          <w:tab w:val="center" w:pos="4489"/>
          <w:tab w:val="center" w:pos="6891"/>
        </w:tabs>
        <w:spacing w:after="281"/>
        <w:ind w:left="0" w:firstLine="0"/>
        <w:jc w:val="left"/>
      </w:pPr>
      <w:r>
        <w:rPr>
          <w:rFonts w:ascii="Calibri" w:eastAsia="Calibri" w:hAnsi="Calibri" w:cs="Calibri"/>
        </w:rPr>
        <w:tab/>
      </w:r>
      <w:r>
        <w:rPr>
          <w:b/>
        </w:rPr>
        <w:t xml:space="preserve"> </w:t>
      </w:r>
      <w:r>
        <w:rPr>
          <w:b/>
        </w:rPr>
        <w:tab/>
        <w:t>LA ALCALD</w:t>
      </w:r>
      <w:r>
        <w:rPr>
          <w:b/>
        </w:rPr>
        <w:t xml:space="preserve">ESA-PRESIDENTA, </w:t>
      </w:r>
      <w:r>
        <w:rPr>
          <w:b/>
        </w:rPr>
        <w:tab/>
        <w:t xml:space="preserve"> </w:t>
      </w:r>
      <w:r>
        <w:rPr>
          <w:b/>
        </w:rPr>
        <w:tab/>
        <w:t xml:space="preserve">       EL SECRETARIO GENERAL,</w:t>
      </w:r>
      <w:r>
        <w:t xml:space="preserve"> </w:t>
      </w:r>
    </w:p>
    <w:p w:rsidR="00025683" w:rsidRDefault="007C2AAB">
      <w:pPr>
        <w:spacing w:after="269"/>
        <w:ind w:left="193" w:right="84" w:hanging="10"/>
        <w:jc w:val="center"/>
      </w:pPr>
      <w:r>
        <w:t xml:space="preserve">María Concepción Brito Núñez                     Octavio Manuel Hernández Fernández  </w:t>
      </w:r>
    </w:p>
    <w:p w:rsidR="00025683" w:rsidRDefault="007C2AAB">
      <w:pPr>
        <w:spacing w:after="12"/>
        <w:ind w:left="2364" w:right="197"/>
      </w:pPr>
      <w:r>
        <w:rPr>
          <w:b/>
        </w:rPr>
        <w:t>DOCUMENTO FIRMADO ELECTRÓNICAMENTE</w:t>
      </w:r>
      <w:r>
        <w:t xml:space="preserve"> </w:t>
      </w:r>
    </w:p>
    <w:sectPr w:rsidR="00025683">
      <w:headerReference w:type="even" r:id="rId148"/>
      <w:headerReference w:type="default" r:id="rId149"/>
      <w:footerReference w:type="even" r:id="rId150"/>
      <w:footerReference w:type="default" r:id="rId151"/>
      <w:headerReference w:type="first" r:id="rId152"/>
      <w:footerReference w:type="first" r:id="rId153"/>
      <w:pgSz w:w="14167" w:h="16819"/>
      <w:pgMar w:top="2102" w:right="1997" w:bottom="1703" w:left="2312" w:header="420" w:footer="5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C2AAB">
      <w:pPr>
        <w:spacing w:after="0" w:line="240" w:lineRule="auto"/>
      </w:pPr>
      <w:r>
        <w:separator/>
      </w:r>
    </w:p>
  </w:endnote>
  <w:endnote w:type="continuationSeparator" w:id="0">
    <w:p w:rsidR="00000000" w:rsidRDefault="007C2A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70"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69"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36071" name="Group 43607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072" name="Shape 43607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071" style="width:459.1pt;height:1.34998pt;position:absolute;mso-position-horizontal-relative:page;mso-position-horizontal:absolute;margin-left:130.31pt;mso-position-vertical-relative:page;margin-top:783.42pt;" coordsize="58305,171">
              <v:shape id="Shape 43607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57" w:line="238" w:lineRule="auto"/>
      <w:ind w:left="4030" w:right="1852"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208" w:firstLine="0"/>
      <w:jc w:val="right"/>
    </w:pPr>
    <w:r>
      <w:fldChar w:fldCharType="begin"/>
    </w:r>
    <w:r>
      <w:instrText xml:space="preserve"> PAGE   \* MERGEFORMAT </w:instrText>
    </w:r>
    <w:r>
      <w:fldChar w:fldCharType="separate"/>
    </w:r>
    <w:r w:rsidRPr="007C2AAB">
      <w:rPr>
        <w:noProof/>
        <w:sz w:val="14"/>
      </w:rPr>
      <w:t>12</w:t>
    </w:r>
    <w:r>
      <w:rPr>
        <w:sz w:val="14"/>
      </w:rPr>
      <w:fldChar w:fldCharType="end"/>
    </w:r>
    <w:r>
      <w:rPr>
        <w:rFonts w:ascii="Times New Roman" w:eastAsia="Times New Roman" w:hAnsi="Times New Roman" w:cs="Times New Roman"/>
        <w:sz w:val="24"/>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right="-142" w:firstLine="0"/>
      <w:jc w:val="left"/>
    </w:pPr>
    <w:r>
      <w:rPr>
        <w:noProof/>
      </w:rPr>
      <w:drawing>
        <wp:anchor distT="0" distB="0" distL="114300" distR="114300" simplePos="0" relativeHeight="251686912"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7"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454" name="Group 43645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455" name="Shape 43645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454" style="width:459.1pt;height:1.34998pt;position:absolute;mso-position-horizontal-relative:page;mso-position-horizontal:absolute;margin-left:130.31pt;mso-position-vertical-relative:page;margin-top:774.9pt;" coordsize="58305,171">
              <v:shape id="Shape 43645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385"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255"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right="-142" w:firstLine="0"/>
      <w:jc w:val="left"/>
    </w:pPr>
    <w:r>
      <w:rPr>
        <w:noProof/>
      </w:rPr>
      <w:drawing>
        <wp:anchor distT="0" distB="0" distL="114300" distR="114300" simplePos="0" relativeHeight="251688960"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11"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414" name="Group 43641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415" name="Shape 43641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414" style="width:459.1pt;height:1.34998pt;position:absolute;mso-position-horizontal-relative:page;mso-position-horizontal:absolute;margin-left:130.31pt;mso-position-vertical-relative:page;margin-top:774.9pt;" coordsize="58305,171">
              <v:shape id="Shape 43641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385"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255" w:firstLine="0"/>
      <w:jc w:val="right"/>
    </w:pPr>
    <w:r>
      <w:fldChar w:fldCharType="begin"/>
    </w:r>
    <w:r>
      <w:instrText xml:space="preserve"> PAG</w:instrText>
    </w:r>
    <w:r>
      <w:instrText xml:space="preserve">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right="-142" w:firstLine="0"/>
      <w:jc w:val="left"/>
    </w:pPr>
    <w:r>
      <w:rPr>
        <w:noProof/>
      </w:rPr>
      <w:drawing>
        <wp:anchor distT="0" distB="0" distL="114300" distR="114300" simplePos="0" relativeHeight="251691008"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12"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374" name="Group 43637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375" name="Shape 43637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374" style="width:459.1pt;height:1.34998pt;position:absolute;mso-position-horizontal-relative:page;mso-position-horizontal:absolute;margin-left:130.31pt;mso-position-vertical-relative:page;margin-top:774.9pt;" coordsize="58305,171">
              <v:shape id="Shape 43637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385"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255"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right="-144" w:firstLine="0"/>
      <w:jc w:val="left"/>
    </w:pPr>
    <w:r>
      <w:rPr>
        <w:noProof/>
      </w:rPr>
      <w:drawing>
        <wp:anchor distT="0" distB="0" distL="114300" distR="114300" simplePos="0" relativeHeight="251696128"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13"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603" name="Group 43660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604" name="Shape 43660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603" style="width:459.1pt;height:1.34998pt;position:absolute;mso-position-horizontal-relative:page;mso-position-horizontal:absolute;margin-left:130.31pt;mso-position-vertical-relative:page;margin-top:774.9pt;" coordsize="58305,171">
              <v:shape id="Shape 43660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383"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256"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right="-144" w:firstLine="0"/>
      <w:jc w:val="left"/>
    </w:pPr>
    <w:r>
      <w:rPr>
        <w:noProof/>
      </w:rPr>
      <w:drawing>
        <wp:anchor distT="0" distB="0" distL="114300" distR="114300" simplePos="0" relativeHeight="251698176"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14"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549" name="Group 43654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550" name="Shape 43655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549" style="width:459.1pt;height:1.34998pt;position:absolute;mso-position-horizontal-relative:page;mso-position-horizontal:absolute;margin-left:130.31pt;mso-position-vertical-relative:page;margin-top:774.9pt;" coordsize="58305,171">
              <v:shape id="Shape 43655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383"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256"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right="-144" w:firstLine="0"/>
      <w:jc w:val="left"/>
    </w:pPr>
    <w:r>
      <w:rPr>
        <w:noProof/>
      </w:rPr>
      <w:drawing>
        <wp:anchor distT="0" distB="0" distL="114300" distR="114300" simplePos="0" relativeHeight="251700224"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15"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509" name="Group 43650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510" name="Shape 43651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509" style="width:459.1pt;height:1.34998pt;position:absolute;mso-position-horizontal-relative:page;mso-position-horizontal:absolute;margin-left:130.31pt;mso-position-vertical-relative:page;margin-top:774.9pt;" coordsize="58305,171">
              <v:shape id="Shape 43651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383" w:hanging="1976"/>
    </w:pPr>
    <w:r>
      <w:rPr>
        <w:sz w:val="14"/>
      </w:rPr>
      <w:t>Avenida Constitución Nº 7. Código postal: 38530, Candelaria. Teléfono: 922.500.800.</w:t>
    </w:r>
    <w:r>
      <w:rPr>
        <w:sz w:val="14"/>
      </w:rPr>
      <w:t xml:space="preserve"> </w:t>
    </w:r>
    <w:r>
      <w:rPr>
        <w:b/>
        <w:sz w:val="14"/>
      </w:rPr>
      <w:t xml:space="preserve">www. candelaria. es </w:t>
    </w:r>
  </w:p>
  <w:p w:rsidR="00025683" w:rsidRDefault="007C2AAB">
    <w:pPr>
      <w:spacing w:after="0" w:line="259" w:lineRule="auto"/>
      <w:ind w:left="0" w:right="-256"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right="-142" w:firstLine="0"/>
      <w:jc w:val="left"/>
    </w:pPr>
    <w:r>
      <w:rPr>
        <w:noProof/>
      </w:rPr>
      <w:drawing>
        <wp:anchor distT="0" distB="0" distL="114300" distR="114300" simplePos="0" relativeHeight="251705344"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16"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724" name="Group 43672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725" name="Shape 43672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724" style="width:459.1pt;height:1.34998pt;position:absolute;mso-position-horizontal-relative:page;mso-position-horizontal:absolute;margin-left:130.31pt;mso-position-vertical-relative:page;margin-top:774.9pt;" coordsize="58305,171">
              <v:shape id="Shape 43672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385"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255"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right="-142" w:firstLine="0"/>
      <w:jc w:val="left"/>
    </w:pPr>
    <w:r>
      <w:rPr>
        <w:noProof/>
      </w:rPr>
      <w:drawing>
        <wp:anchor distT="0" distB="0" distL="114300" distR="114300" simplePos="0" relativeHeight="251707392"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18"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684" name="Group 43668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685" name="Shape 43668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684" style="width:459.1pt;height:1.34998pt;position:absolute;mso-position-horizontal-relative:page;mso-position-horizontal:absolute;margin-left:130.31pt;mso-position-vertical-relative:page;margin-top:774.9pt;" coordsize="58305,171">
              <v:shape id="Shape 43668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385"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255" w:firstLine="0"/>
      <w:jc w:val="right"/>
    </w:pPr>
    <w:r>
      <w:fldChar w:fldCharType="begin"/>
    </w:r>
    <w:r>
      <w:instrText xml:space="preserve"> PAGE   \</w:instrText>
    </w:r>
    <w:r>
      <w:instrText xml:space="preserve">*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right="-142" w:firstLine="0"/>
      <w:jc w:val="left"/>
    </w:pPr>
    <w:r>
      <w:rPr>
        <w:noProof/>
      </w:rPr>
      <w:drawing>
        <wp:anchor distT="0" distB="0" distL="114300" distR="114300" simplePos="0" relativeHeight="251709440"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19"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644" name="Group 43664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645" name="Shape 43664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644" style="width:459.1pt;height:1.34998pt;position:absolute;mso-position-horizontal-relative:page;mso-position-horizontal:absolute;margin-left:130.31pt;mso-position-vertical-relative:page;margin-top:774.9pt;" coordsize="58305,171">
              <v:shape id="Shape 43664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385"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255"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firstLine="0"/>
      <w:jc w:val="left"/>
    </w:pPr>
    <w:r>
      <w:rPr>
        <w:noProof/>
      </w:rPr>
      <w:drawing>
        <wp:anchor distT="0" distB="0" distL="114300" distR="114300" simplePos="0" relativeHeight="251714560"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20"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859" name="Group 43685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860" name="Shape 43686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859" style="width:459.1pt;height:1.34998pt;position:absolute;mso-position-horizontal-relative:page;mso-position-horizontal:absolute;margin-left:130.31pt;mso-position-vertical-relative:page;margin-top:774.9pt;" coordsize="58305,171">
              <v:shape id="Shape 43686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702"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63"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70"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69"/>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436032" name="Group 436032"/>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033" name="Shape 436033"/>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032" style="width:459.1pt;height:1.34998pt;position:absolute;mso-position-horizontal-relative:page;mso-position-horizontal:absolute;margin-left:130.31pt;mso-position-vertical-relative:page;margin-top:783.42pt;" coordsize="58305,171">
              <v:shape id="Shape 436033"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57" w:line="238" w:lineRule="auto"/>
      <w:ind w:left="4030" w:right="1852"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208" w:firstLine="0"/>
      <w:jc w:val="right"/>
    </w:pPr>
    <w:r>
      <w:fldChar w:fldCharType="begin"/>
    </w:r>
    <w:r>
      <w:instrText xml:space="preserve"> PAGE   \* MERGEFORMAT </w:instrText>
    </w:r>
    <w:r>
      <w:fldChar w:fldCharType="separate"/>
    </w:r>
    <w:r w:rsidRPr="007C2AAB">
      <w:rPr>
        <w:noProof/>
        <w:sz w:val="14"/>
      </w:rPr>
      <w:t>13</w:t>
    </w:r>
    <w:r>
      <w:rPr>
        <w:sz w:val="14"/>
      </w:rPr>
      <w:fldChar w:fldCharType="end"/>
    </w:r>
    <w:r>
      <w:rPr>
        <w:rFonts w:ascii="Times New Roman" w:eastAsia="Times New Roman" w:hAnsi="Times New Roman" w:cs="Times New Roman"/>
        <w:sz w:val="24"/>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firstLine="0"/>
      <w:jc w:val="left"/>
    </w:pPr>
    <w:r>
      <w:rPr>
        <w:noProof/>
      </w:rPr>
      <w:drawing>
        <wp:anchor distT="0" distB="0" distL="114300" distR="114300" simplePos="0" relativeHeight="251716608"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21"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819" name="Group 43681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820" name="Shape 43682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819" style="width:459.1pt;height:1.34998pt;position:absolute;mso-position-horizontal-relative:page;mso-position-horizontal:absolute;margin-left:130.31pt;mso-position-vertical-relative:page;margin-top:774.9pt;" coordsize="58305,171">
              <v:shape id="Shape 43682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702"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63"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firstLine="0"/>
      <w:jc w:val="left"/>
    </w:pPr>
    <w:r>
      <w:rPr>
        <w:noProof/>
      </w:rPr>
      <w:drawing>
        <wp:anchor distT="0" distB="0" distL="114300" distR="114300" simplePos="0" relativeHeight="251718656"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22"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779" name="Group 43677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780" name="Shape 43678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779" style="width:459.1pt;height:1.34998pt;position:absolute;mso-position-horizontal-relative:page;mso-position-horizontal:absolute;margin-left:130.31pt;mso-position-vertical-relative:page;margin-top:774.9pt;" coordsize="58305,171">
              <v:shape id="Shape 43678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702"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63"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301" w:firstLine="0"/>
      <w:jc w:val="left"/>
    </w:pPr>
    <w:r>
      <w:rPr>
        <w:noProof/>
      </w:rPr>
      <w:drawing>
        <wp:anchor distT="0" distB="0" distL="114300" distR="114300" simplePos="0" relativeHeight="251723776"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23"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994" name="Group 43699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995" name="Shape 43699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994" style="width:459.1pt;height:1.34998pt;position:absolute;mso-position-horizontal-relative:page;mso-position-horizontal:absolute;margin-left:130.31pt;mso-position-vertical-relative:page;margin-top:774.9pt;" coordsize="58305,171">
              <v:shape id="Shape 43699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259" w:right="1646"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7"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301" w:firstLine="0"/>
      <w:jc w:val="left"/>
    </w:pPr>
    <w:r>
      <w:rPr>
        <w:noProof/>
      </w:rPr>
      <w:drawing>
        <wp:anchor distT="0" distB="0" distL="114300" distR="114300" simplePos="0" relativeHeight="251725824"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24"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954" name="Group 43695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955" name="Shape 43695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954" style="width:459.1pt;height:1.34998pt;position:absolute;mso-position-horizontal-relative:page;mso-position-horizontal:absolute;margin-left:130.31pt;mso-position-vertical-relative:page;margin-top:774.9pt;" coordsize="58305,171">
              <v:shape id="Shape 43695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259" w:right="1646"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7"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301" w:firstLine="0"/>
      <w:jc w:val="left"/>
    </w:pPr>
    <w:r>
      <w:rPr>
        <w:noProof/>
      </w:rPr>
      <w:drawing>
        <wp:anchor distT="0" distB="0" distL="114300" distR="114300" simplePos="0" relativeHeight="251727872"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25"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914" name="Group 43691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915" name="Shape 43691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914" style="width:459.1pt;height:1.34998pt;position:absolute;mso-position-horizontal-relative:page;mso-position-horizontal:absolute;margin-left:130.31pt;mso-position-vertical-relative:page;margin-top:774.9pt;" coordsize="58305,171">
              <v:shape id="Shape 43691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259" w:right="1646"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7"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94" w:firstLine="0"/>
      <w:jc w:val="left"/>
    </w:pPr>
    <w:r>
      <w:rPr>
        <w:noProof/>
      </w:rPr>
      <w:drawing>
        <wp:anchor distT="0" distB="0" distL="114300" distR="114300" simplePos="0" relativeHeight="251732992"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45879" name="Picture 45879"/>
          <wp:cNvGraphicFramePr/>
          <a:graphic xmlns:a="http://schemas.openxmlformats.org/drawingml/2006/main">
            <a:graphicData uri="http://schemas.openxmlformats.org/drawingml/2006/picture">
              <pic:pic xmlns:pic="http://schemas.openxmlformats.org/drawingml/2006/picture">
                <pic:nvPicPr>
                  <pic:cNvPr id="45879" name="Picture 45879"/>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7115" name="Group 43711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7116" name="Shape 43711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115" style="width:459.1pt;height:1.34998pt;position:absolute;mso-position-horizontal-relative:page;mso-position-horizontal:absolute;margin-left:130.31pt;mso-position-vertical-relative:page;margin-top:774.9pt;" coordsize="58305,171">
              <v:shape id="Shape 43711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357" w:right="1804"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59" w:firstLine="0"/>
      <w:jc w:val="right"/>
    </w:pPr>
    <w:r>
      <w:fldChar w:fldCharType="begin"/>
    </w:r>
    <w:r>
      <w:instrText xml:space="preserve"> PAGE   \* MERGEFORMAT </w:instrText>
    </w:r>
    <w:r>
      <w:fldChar w:fldCharType="separate"/>
    </w:r>
    <w:r>
      <w:rPr>
        <w:sz w:val="14"/>
      </w:rPr>
      <w:t>302</w:t>
    </w:r>
    <w:r>
      <w:rPr>
        <w:sz w:val="14"/>
      </w:rPr>
      <w:fldChar w:fldCharType="end"/>
    </w:r>
    <w:r>
      <w:rPr>
        <w:rFonts w:ascii="Times New Roman" w:eastAsia="Times New Roman" w:hAnsi="Times New Roman" w:cs="Times New Roman"/>
        <w:sz w:val="24"/>
      </w:rP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94" w:firstLine="0"/>
      <w:jc w:val="left"/>
    </w:pPr>
    <w:r>
      <w:rPr>
        <w:noProof/>
      </w:rPr>
      <w:drawing>
        <wp:anchor distT="0" distB="0" distL="114300" distR="114300" simplePos="0" relativeHeight="251735040"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26" name="Picture 45879"/>
          <wp:cNvGraphicFramePr/>
          <a:graphic xmlns:a="http://schemas.openxmlformats.org/drawingml/2006/main">
            <a:graphicData uri="http://schemas.openxmlformats.org/drawingml/2006/picture">
              <pic:pic xmlns:pic="http://schemas.openxmlformats.org/drawingml/2006/picture">
                <pic:nvPicPr>
                  <pic:cNvPr id="45879" name="Picture 45879"/>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7075" name="Group 43707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7076" name="Shape 43707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075" style="width:459.1pt;height:1.34998pt;position:absolute;mso-position-horizontal-relative:page;mso-position-horizontal:absolute;margin-left:130.31pt;mso-position-vertical-relative:page;margin-top:774.9pt;" coordsize="58305,171">
              <v:shape id="Shape 43707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357" w:right="1804"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59" w:firstLine="0"/>
      <w:jc w:val="right"/>
    </w:pPr>
    <w:r>
      <w:fldChar w:fldCharType="begin"/>
    </w:r>
    <w:r>
      <w:instrText xml:space="preserve"> PAGE   \* MERGEFORMAT </w:instrText>
    </w:r>
    <w:r>
      <w:fldChar w:fldCharType="separate"/>
    </w:r>
    <w:r>
      <w:rPr>
        <w:sz w:val="14"/>
      </w:rPr>
      <w:t>302</w:t>
    </w:r>
    <w:r>
      <w:rPr>
        <w:sz w:val="14"/>
      </w:rPr>
      <w:fldChar w:fldCharType="end"/>
    </w:r>
    <w:r>
      <w:rPr>
        <w:rFonts w:ascii="Times New Roman" w:eastAsia="Times New Roman" w:hAnsi="Times New Roman" w:cs="Times New Roman"/>
        <w:sz w:val="24"/>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94" w:firstLine="0"/>
      <w:jc w:val="left"/>
    </w:pPr>
    <w:r>
      <w:rPr>
        <w:noProof/>
      </w:rPr>
      <w:drawing>
        <wp:anchor distT="0" distB="0" distL="114300" distR="114300" simplePos="0" relativeHeight="251737088"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27" name="Picture 45879"/>
          <wp:cNvGraphicFramePr/>
          <a:graphic xmlns:a="http://schemas.openxmlformats.org/drawingml/2006/main">
            <a:graphicData uri="http://schemas.openxmlformats.org/drawingml/2006/picture">
              <pic:pic xmlns:pic="http://schemas.openxmlformats.org/drawingml/2006/picture">
                <pic:nvPicPr>
                  <pic:cNvPr id="45879" name="Picture 45879"/>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7035" name="Group 43703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7036" name="Shape 43703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7035" style="width:459.1pt;height:1.34998pt;position:absolute;mso-position-horizontal-relative:page;mso-position-horizontal:absolute;margin-left:130.31pt;mso-position-vertical-relative:page;margin-top:774.9pt;" coordsize="58305,171">
              <v:shape id="Shape 43703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357" w:right="1804"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59" w:firstLine="0"/>
      <w:jc w:val="right"/>
    </w:pPr>
    <w:r>
      <w:fldChar w:fldCharType="begin"/>
    </w:r>
    <w:r>
      <w:instrText xml:space="preserve"> PAGE   \</w:instrText>
    </w:r>
    <w:r>
      <w:instrText xml:space="preserve">* MERGEFORMAT </w:instrText>
    </w:r>
    <w:r>
      <w:fldChar w:fldCharType="separate"/>
    </w:r>
    <w:r>
      <w:rPr>
        <w:sz w:val="14"/>
      </w:rPr>
      <w:t>302</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36" w:right="12115"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40" name="Picture 140"/>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firstLine="0"/>
      <w:jc w:val="left"/>
    </w:pPr>
    <w:r>
      <w:rPr>
        <w:noProof/>
      </w:rPr>
      <w:drawing>
        <wp:anchor distT="0" distB="0" distL="114300" distR="114300" simplePos="0" relativeHeight="251668480"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23512" name="Picture 23512"/>
          <wp:cNvGraphicFramePr/>
          <a:graphic xmlns:a="http://schemas.openxmlformats.org/drawingml/2006/main">
            <a:graphicData uri="http://schemas.openxmlformats.org/drawingml/2006/picture">
              <pic:pic xmlns:pic="http://schemas.openxmlformats.org/drawingml/2006/picture">
                <pic:nvPicPr>
                  <pic:cNvPr id="23512" name="Picture 2351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199" name="Group 43619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200" name="Shape 43620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199" style="width:459.1pt;height:1.34998pt;position:absolute;mso-position-horizontal-relative:page;mso-position-horizontal:absolute;margin-left:130.31pt;mso-position-vertical-relative:page;margin-top:774.9pt;" coordsize="58305,171">
              <v:shape id="Shape 43620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645"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5" w:firstLine="0"/>
      <w:jc w:val="right"/>
    </w:pPr>
    <w:r>
      <w:fldChar w:fldCharType="begin"/>
    </w:r>
    <w:r>
      <w:instrText xml:space="preserve"> PAGE   \* MERGEFORMAT </w:instrText>
    </w:r>
    <w:r>
      <w:fldChar w:fldCharType="separate"/>
    </w:r>
    <w:r>
      <w:rPr>
        <w:sz w:val="14"/>
      </w:rPr>
      <w:t>219</w:t>
    </w:r>
    <w:r>
      <w:rPr>
        <w:sz w:val="1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firstLine="0"/>
      <w:jc w:val="left"/>
    </w:pPr>
    <w:r>
      <w:rPr>
        <w:noProof/>
      </w:rPr>
      <w:drawing>
        <wp:anchor distT="0" distB="0" distL="114300" distR="114300" simplePos="0" relativeHeight="251670528"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2" name="Picture 23512"/>
          <wp:cNvGraphicFramePr/>
          <a:graphic xmlns:a="http://schemas.openxmlformats.org/drawingml/2006/main">
            <a:graphicData uri="http://schemas.openxmlformats.org/drawingml/2006/picture">
              <pic:pic xmlns:pic="http://schemas.openxmlformats.org/drawingml/2006/picture">
                <pic:nvPicPr>
                  <pic:cNvPr id="23512" name="Picture 2351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156" name="Group 43615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157" name="Shape 43615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156" style="width:459.1pt;height:1.34998pt;position:absolute;mso-position-horizontal-relative:page;mso-position-horizontal:absolute;margin-left:130.31pt;mso-position-vertical-relative:page;margin-top:774.9pt;" coordsize="58305,171">
              <v:shape id="Shape 43615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645"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5" w:firstLine="0"/>
      <w:jc w:val="right"/>
    </w:pPr>
    <w:r>
      <w:fldChar w:fldCharType="begin"/>
    </w:r>
    <w:r>
      <w:instrText xml:space="preserve"> PAGE   \* MERGEFORMAT </w:instrText>
    </w:r>
    <w:r>
      <w:fldChar w:fldCharType="separate"/>
    </w:r>
    <w:r>
      <w:rPr>
        <w:sz w:val="14"/>
      </w:rPr>
      <w:t>219</w:t>
    </w:r>
    <w:r>
      <w:rPr>
        <w:sz w:val="1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firstLine="0"/>
      <w:jc w:val="left"/>
    </w:pPr>
    <w:r>
      <w:rPr>
        <w:noProof/>
      </w:rPr>
      <w:drawing>
        <wp:anchor distT="0" distB="0" distL="114300" distR="114300" simplePos="0" relativeHeight="251672576"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3" name="Picture 23512"/>
          <wp:cNvGraphicFramePr/>
          <a:graphic xmlns:a="http://schemas.openxmlformats.org/drawingml/2006/main">
            <a:graphicData uri="http://schemas.openxmlformats.org/drawingml/2006/picture">
              <pic:pic xmlns:pic="http://schemas.openxmlformats.org/drawingml/2006/picture">
                <pic:nvPicPr>
                  <pic:cNvPr id="23512" name="Picture 2351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111" name="Group 43611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112" name="Shape 43611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111" style="width:459.1pt;height:1.34998pt;position:absolute;mso-position-horizontal-relative:page;mso-position-horizontal:absolute;margin-left:130.31pt;mso-position-vertical-relative:page;margin-top:774.9pt;" coordsize="58305,171">
              <v:shape id="Shape 43611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645"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5" w:firstLine="0"/>
      <w:jc w:val="right"/>
    </w:pPr>
    <w:r>
      <w:fldChar w:fldCharType="begin"/>
    </w:r>
    <w:r>
      <w:instrText xml:space="preserve"> PAGE   \* MERGEFORMAT </w:instrText>
    </w:r>
    <w:r>
      <w:fldChar w:fldCharType="separate"/>
    </w:r>
    <w:r>
      <w:rPr>
        <w:sz w:val="14"/>
      </w:rPr>
      <w:t>219</w:t>
    </w:r>
    <w:r>
      <w:rPr>
        <w:sz w:val="1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firstLine="0"/>
      <w:jc w:val="left"/>
    </w:pPr>
    <w:r>
      <w:rPr>
        <w:noProof/>
      </w:rPr>
      <w:drawing>
        <wp:anchor distT="0" distB="0" distL="114300" distR="114300" simplePos="0" relativeHeight="251677696"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26180"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333" name="Group 43633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334" name="Shape 43633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333" style="width:459.1pt;height:1.34998pt;position:absolute;mso-position-horizontal-relative:page;mso-position-horizontal:absolute;margin-left:130.31pt;mso-position-vertical-relative:page;margin-top:774.9pt;" coordsize="58305,171">
              <v:shape id="Shape 43633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650"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11"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firstLine="0"/>
      <w:jc w:val="left"/>
    </w:pPr>
    <w:r>
      <w:rPr>
        <w:noProof/>
      </w:rPr>
      <w:drawing>
        <wp:anchor distT="0" distB="0" distL="114300" distR="114300" simplePos="0" relativeHeight="251679744"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4"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293" name="Group 43629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294" name="Shape 43629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293" style="width:459.1pt;height:1.34998pt;position:absolute;mso-position-horizontal-relative:page;mso-position-horizontal:absolute;margin-left:130.31pt;mso-position-vertical-relative:page;margin-top:774.9pt;" coordsize="58305,171">
              <v:shape id="Shape 43629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650"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11" w:firstLine="0"/>
      <w:jc w:val="right"/>
    </w:pPr>
    <w:r>
      <w:fldChar w:fldCharType="begin"/>
    </w:r>
    <w:r>
      <w:instrText xml:space="preserve"> PAGE   \*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56" w:firstLine="0"/>
      <w:jc w:val="left"/>
    </w:pPr>
    <w:r>
      <w:rPr>
        <w:noProof/>
      </w:rPr>
      <w:drawing>
        <wp:anchor distT="0" distB="0" distL="114300" distR="114300" simplePos="0" relativeHeight="251681792" behindDoc="0" locked="0" layoutInCell="1" allowOverlap="0">
          <wp:simplePos x="0" y="0"/>
          <wp:positionH relativeFrom="page">
            <wp:posOffset>8208773</wp:posOffset>
          </wp:positionH>
          <wp:positionV relativeFrom="page">
            <wp:posOffset>9867392</wp:posOffset>
          </wp:positionV>
          <wp:extent cx="444500" cy="444500"/>
          <wp:effectExtent l="0" t="0" r="0" b="0"/>
          <wp:wrapSquare wrapText="bothSides"/>
          <wp:docPr id="5" name="Picture 26180"/>
          <wp:cNvGraphicFramePr/>
          <a:graphic xmlns:a="http://schemas.openxmlformats.org/drawingml/2006/main">
            <a:graphicData uri="http://schemas.openxmlformats.org/drawingml/2006/picture">
              <pic:pic xmlns:pic="http://schemas.openxmlformats.org/drawingml/2006/picture">
                <pic:nvPicPr>
                  <pic:cNvPr id="26180" name="Picture 26180"/>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1654937</wp:posOffset>
              </wp:positionH>
              <wp:positionV relativeFrom="page">
                <wp:posOffset>9841230</wp:posOffset>
              </wp:positionV>
              <wp:extent cx="5830570" cy="17145"/>
              <wp:effectExtent l="0" t="0" r="0" b="0"/>
              <wp:wrapSquare wrapText="bothSides"/>
              <wp:docPr id="436239" name="Group 43623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436240" name="Shape 43624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239" style="width:459.1pt;height:1.34998pt;position:absolute;mso-position-horizontal-relative:page;mso-position-horizontal:absolute;margin-left:130.31pt;mso-position-vertical-relative:page;margin-top:774.9pt;" coordsize="58305,171">
              <v:shape id="Shape 43624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025683" w:rsidRDefault="007C2AAB">
    <w:pPr>
      <w:spacing w:after="75" w:line="238" w:lineRule="auto"/>
      <w:ind w:left="4014" w:right="1650" w:hanging="1976"/>
    </w:pPr>
    <w:r>
      <w:rPr>
        <w:sz w:val="14"/>
      </w:rPr>
      <w:t xml:space="preserve">Avenida Constitución Nº 7. Código postal: 38530, Candelaria. Teléfono: 922.500.800. </w:t>
    </w:r>
    <w:r>
      <w:rPr>
        <w:b/>
        <w:sz w:val="14"/>
      </w:rPr>
      <w:t xml:space="preserve">www. candelaria. es </w:t>
    </w:r>
  </w:p>
  <w:p w:rsidR="00025683" w:rsidRDefault="007C2AAB">
    <w:pPr>
      <w:spacing w:after="0" w:line="259" w:lineRule="auto"/>
      <w:ind w:left="0" w:right="11" w:firstLine="0"/>
      <w:jc w:val="right"/>
    </w:pPr>
    <w:r>
      <w:fldChar w:fldCharType="begin"/>
    </w:r>
    <w:r>
      <w:instrText xml:space="preserve"> PAGE   \</w:instrText>
    </w:r>
    <w:r>
      <w:instrText xml:space="preserve">* MERGEFORMAT </w:instrText>
    </w:r>
    <w:r>
      <w:fldChar w:fldCharType="separate"/>
    </w:r>
    <w:r>
      <w:rPr>
        <w:sz w:val="14"/>
      </w:rPr>
      <w:t>224</w:t>
    </w:r>
    <w:r>
      <w:rPr>
        <w:sz w:val="1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C2AAB">
      <w:pPr>
        <w:spacing w:after="0" w:line="240" w:lineRule="auto"/>
      </w:pPr>
      <w:r>
        <w:separator/>
      </w:r>
    </w:p>
  </w:footnote>
  <w:footnote w:type="continuationSeparator" w:id="0">
    <w:p w:rsidR="00000000" w:rsidRDefault="007C2A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36" w:right="8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1619428</wp:posOffset>
              </wp:positionH>
              <wp:positionV relativeFrom="page">
                <wp:posOffset>248412</wp:posOffset>
              </wp:positionV>
              <wp:extent cx="6019115" cy="1061872"/>
              <wp:effectExtent l="0" t="0" r="0" b="0"/>
              <wp:wrapSquare wrapText="bothSides"/>
              <wp:docPr id="436049" name="Group 436049"/>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050" name="Shape 436050"/>
                      <wps:cNvSpPr/>
                      <wps:spPr>
                        <a:xfrm>
                          <a:off x="20269" y="1040130"/>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051" name="Picture 436051"/>
                        <pic:cNvPicPr/>
                      </pic:nvPicPr>
                      <pic:blipFill>
                        <a:blip r:embed="rId1"/>
                        <a:stretch>
                          <a:fillRect/>
                        </a:stretch>
                      </pic:blipFill>
                      <pic:spPr>
                        <a:xfrm>
                          <a:off x="34747" y="0"/>
                          <a:ext cx="713232" cy="914400"/>
                        </a:xfrm>
                        <a:prstGeom prst="rect">
                          <a:avLst/>
                        </a:prstGeom>
                      </pic:spPr>
                    </pic:pic>
                    <wps:wsp>
                      <wps:cNvPr id="436053" name="Rectangle 436053"/>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054" name="Rectangle 436054"/>
                      <wps:cNvSpPr/>
                      <wps:spPr>
                        <a:xfrm>
                          <a:off x="1071321" y="420814"/>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55" name="Rectangle 436055"/>
                      <wps:cNvSpPr/>
                      <wps:spPr>
                        <a:xfrm>
                          <a:off x="1071321" y="551878"/>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56" name="Rectangle 436056"/>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057" name="Rectangle 436057"/>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58" name="Rectangle 436058"/>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52" name="Rectangle 436052"/>
                      <wps:cNvSpPr/>
                      <wps:spPr>
                        <a:xfrm>
                          <a:off x="1170381" y="191871"/>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059" name="Rectangle 436059"/>
                      <wps:cNvSpPr/>
                      <wps:spPr>
                        <a:xfrm>
                          <a:off x="0" y="367131"/>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060" name="Rectangle 436060"/>
                      <wps:cNvSpPr/>
                      <wps:spPr>
                        <a:xfrm>
                          <a:off x="0" y="542391"/>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061" name="Rectangle 436061"/>
                      <wps:cNvSpPr/>
                      <wps:spPr>
                        <a:xfrm>
                          <a:off x="0" y="717905"/>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062" name="Rectangle 436062"/>
                      <wps:cNvSpPr/>
                      <wps:spPr>
                        <a:xfrm>
                          <a:off x="0" y="893165"/>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049" style="width:473.946pt;height:83.6119pt;position:absolute;mso-position-horizontal-relative:page;mso-position-horizontal:absolute;margin-left:127.514pt;mso-position-vertical-relative:page;margin-top:19.56pt;" coordsize="60191,10618">
              <v:shape id="Shape 436050" style="position:absolute;width:59988;height:0;left:202;top:10401;" coordsize="5998846,0" path="m0,0l5998846,0">
                <v:stroke weight="2.04pt" endcap="square" joinstyle="miter" miterlimit="10" on="true" color="#993366"/>
                <v:fill on="false" color="#000000" opacity="0"/>
              </v:shape>
              <v:shape id="Picture 436051" style="position:absolute;width:7132;height:9144;left:347;top:0;" filled="f">
                <v:imagedata r:id="rId87"/>
              </v:shape>
              <v:rect id="Rectangle 436053"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054" style="position:absolute;width:422;height:1695;left:10713;top:420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55"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56"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057"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58"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52"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059"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060"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061"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062"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646"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432" name="Group 436432"/>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433" name="Shape 436433"/>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434" name="Picture 436434"/>
                        <pic:cNvPicPr/>
                      </pic:nvPicPr>
                      <pic:blipFill>
                        <a:blip r:embed="rId1"/>
                        <a:stretch>
                          <a:fillRect/>
                        </a:stretch>
                      </pic:blipFill>
                      <pic:spPr>
                        <a:xfrm>
                          <a:off x="34747" y="0"/>
                          <a:ext cx="713232" cy="914400"/>
                        </a:xfrm>
                        <a:prstGeom prst="rect">
                          <a:avLst/>
                        </a:prstGeom>
                      </pic:spPr>
                    </pic:pic>
                    <wps:wsp>
                      <wps:cNvPr id="436436" name="Rectangle 436436"/>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437" name="Rectangle 436437"/>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438" name="Rectangle 436438"/>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439" name="Rectangle 436439"/>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440" name="Rectangle 436440"/>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441" name="Rectangle 436441"/>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435" name="Rectangle 436435"/>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442" name="Rectangle 436442"/>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443" name="Rectangle 436443"/>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444" name="Rectangle 436444"/>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445" name="Rectangle 436445"/>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432" style="width:473.946pt;height:83.612pt;position:absolute;mso-position-horizontal-relative:page;mso-position-horizontal:absolute;margin-left:127.514pt;mso-position-vertical-relative:page;margin-top:21pt;" coordsize="60191,10618">
              <v:shape id="Shape 436433" style="position:absolute;width:59988;height:0;left:202;top:10386;" coordsize="5998846,0" path="m0,0l5998846,0">
                <v:stroke weight="2.04pt" endcap="square" joinstyle="miter" miterlimit="10" on="true" color="#993366"/>
                <v:fill on="false" color="#000000" opacity="0"/>
              </v:shape>
              <v:shape id="Picture 436434" style="position:absolute;width:7132;height:9144;left:347;top:0;" filled="f">
                <v:imagedata r:id="rId91"/>
              </v:shape>
              <v:rect id="Rectangle 436436"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437"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438"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439"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440"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441"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435"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442"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443"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444"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445"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646"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392" name="Group 436392"/>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393" name="Shape 436393"/>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394" name="Picture 436394"/>
                        <pic:cNvPicPr/>
                      </pic:nvPicPr>
                      <pic:blipFill>
                        <a:blip r:embed="rId1"/>
                        <a:stretch>
                          <a:fillRect/>
                        </a:stretch>
                      </pic:blipFill>
                      <pic:spPr>
                        <a:xfrm>
                          <a:off x="34747" y="0"/>
                          <a:ext cx="713232" cy="914400"/>
                        </a:xfrm>
                        <a:prstGeom prst="rect">
                          <a:avLst/>
                        </a:prstGeom>
                      </pic:spPr>
                    </pic:pic>
                    <wps:wsp>
                      <wps:cNvPr id="436396" name="Rectangle 436396"/>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397" name="Rectangle 436397"/>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398" name="Rectangle 436398"/>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399" name="Rectangle 436399"/>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400" name="Rectangle 436400"/>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401" name="Rectangle 436401"/>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395" name="Rectangle 436395"/>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402" name="Rectangle 436402"/>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403" name="Rectangle 436403"/>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404" name="Rectangle 436404"/>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405" name="Rectangle 436405"/>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392" style="width:473.946pt;height:83.612pt;position:absolute;mso-position-horizontal-relative:page;mso-position-horizontal:absolute;margin-left:127.514pt;mso-position-vertical-relative:page;margin-top:21pt;" coordsize="60191,10618">
              <v:shape id="Shape 436393" style="position:absolute;width:59988;height:0;left:202;top:10386;" coordsize="5998846,0" path="m0,0l5998846,0">
                <v:stroke weight="2.04pt" endcap="square" joinstyle="miter" miterlimit="10" on="true" color="#993366"/>
                <v:fill on="false" color="#000000" opacity="0"/>
              </v:shape>
              <v:shape id="Picture 436394" style="position:absolute;width:7132;height:9144;left:347;top:0;" filled="f">
                <v:imagedata r:id="rId91"/>
              </v:shape>
              <v:rect id="Rectangle 436396"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397"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398"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399"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400"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401"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395"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402"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403"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404"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405"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646" w:firstLine="0"/>
      <w:jc w:val="left"/>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352" name="Group 436352"/>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353" name="Shape 436353"/>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354" name="Picture 436354"/>
                        <pic:cNvPicPr/>
                      </pic:nvPicPr>
                      <pic:blipFill>
                        <a:blip r:embed="rId1"/>
                        <a:stretch>
                          <a:fillRect/>
                        </a:stretch>
                      </pic:blipFill>
                      <pic:spPr>
                        <a:xfrm>
                          <a:off x="34747" y="0"/>
                          <a:ext cx="713232" cy="914400"/>
                        </a:xfrm>
                        <a:prstGeom prst="rect">
                          <a:avLst/>
                        </a:prstGeom>
                      </pic:spPr>
                    </pic:pic>
                    <wps:wsp>
                      <wps:cNvPr id="436356" name="Rectangle 436356"/>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357" name="Rectangle 436357"/>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358" name="Rectangle 436358"/>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359" name="Rectangle 436359"/>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360" name="Rectangle 436360"/>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361" name="Rectangle 436361"/>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355" name="Rectangle 436355"/>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362" name="Rectangle 436362"/>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363" name="Rectangle 436363"/>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364" name="Rectangle 436364"/>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365" name="Rectangle 436365"/>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352" style="width:473.946pt;height:83.612pt;position:absolute;mso-position-horizontal-relative:page;mso-position-horizontal:absolute;margin-left:127.514pt;mso-position-vertical-relative:page;margin-top:21pt;" coordsize="60191,10618">
              <v:shape id="Shape 436353" style="position:absolute;width:59988;height:0;left:202;top:10386;" coordsize="5998846,0" path="m0,0l5998846,0">
                <v:stroke weight="2.04pt" endcap="square" joinstyle="miter" miterlimit="10" on="true" color="#993366"/>
                <v:fill on="false" color="#000000" opacity="0"/>
              </v:shape>
              <v:shape id="Picture 436354" style="position:absolute;width:7132;height:9144;left:347;top:0;" filled="f">
                <v:imagedata r:id="rId91"/>
              </v:shape>
              <v:rect id="Rectangle 436356"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357"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358"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359"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360"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361"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355"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362"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363"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364"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365"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1843" w:firstLine="0"/>
      <w:jc w:val="left"/>
    </w:pPr>
    <w:r>
      <w:rPr>
        <w:rFonts w:ascii="Times New Roman" w:eastAsia="Times New Roman" w:hAnsi="Times New Roman" w:cs="Times New Roman"/>
        <w:sz w:val="24"/>
      </w:rPr>
      <w:t xml:space="preserve"> </w:t>
    </w:r>
  </w:p>
  <w:p w:rsidR="00025683" w:rsidRDefault="007C2AAB">
    <w:pPr>
      <w:spacing w:after="16" w:line="259" w:lineRule="auto"/>
      <w:ind w:left="1687" w:firstLine="0"/>
      <w:jc w:val="left"/>
    </w:pPr>
    <w:r>
      <w:rPr>
        <w:sz w:val="16"/>
      </w:rPr>
      <w:t xml:space="preserve"> </w:t>
    </w:r>
  </w:p>
  <w:p w:rsidR="00025683" w:rsidRDefault="007C2AAB">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025683" w:rsidRDefault="007C2AAB">
    <w:pPr>
      <w:spacing w:after="24"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025683" w:rsidRDefault="007C2AAB">
    <w:pPr>
      <w:tabs>
        <w:tab w:val="center" w:pos="2726"/>
        <w:tab w:val="center" w:pos="3769"/>
      </w:tabs>
      <w:spacing w:after="186"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SECRETARÍA GENERAL </w:t>
    </w:r>
    <w:r>
      <w:rPr>
        <w:b/>
        <w:sz w:val="18"/>
      </w:rPr>
      <w:tab/>
      <w:t xml:space="preserve"> </w:t>
    </w:r>
  </w:p>
  <w:p w:rsidR="00025683" w:rsidRDefault="007C2AAB">
    <w:pPr>
      <w:spacing w:after="0" w:line="259" w:lineRule="auto"/>
      <w:ind w:left="0" w:right="-385"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1639697</wp:posOffset>
              </wp:positionH>
              <wp:positionV relativeFrom="page">
                <wp:posOffset>1305306</wp:posOffset>
              </wp:positionV>
              <wp:extent cx="5998846" cy="25908"/>
              <wp:effectExtent l="0" t="0" r="0" b="0"/>
              <wp:wrapSquare wrapText="bothSides"/>
              <wp:docPr id="436593" name="Group 436593"/>
              <wp:cNvGraphicFramePr/>
              <a:graphic xmlns:a="http://schemas.openxmlformats.org/drawingml/2006/main">
                <a:graphicData uri="http://schemas.microsoft.com/office/word/2010/wordprocessingGroup">
                  <wpg:wgp>
                    <wpg:cNvGrpSpPr/>
                    <wpg:grpSpPr>
                      <a:xfrm>
                        <a:off x="0" y="0"/>
                        <a:ext cx="5998846" cy="25908"/>
                        <a:chOff x="0" y="0"/>
                        <a:chExt cx="5998846" cy="25908"/>
                      </a:xfrm>
                    </wpg:grpSpPr>
                    <wps:wsp>
                      <wps:cNvPr id="436594" name="Shape 436594"/>
                      <wps:cNvSpPr/>
                      <wps:spPr>
                        <a:xfrm>
                          <a:off x="0" y="0"/>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593" style="width:472.35pt;height:2.04pt;position:absolute;mso-position-horizontal-relative:page;mso-position-horizontal:absolute;margin-left:129.11pt;mso-position-vertical-relative:page;margin-top:102.78pt;" coordsize="59988,259">
              <v:shape id="Shape 436594" style="position:absolute;width:59988;height:0;left:0;top:0;" coordsize="5998846,0" path="m0,0l5998846,0">
                <v:stroke weight="2.04pt" endcap="square" joinstyle="miter" miterlimit="10" on="true" color="#993366"/>
                <v:fill on="false" color="#000000" opacity="0"/>
              </v:shape>
              <w10:wrap type="square"/>
            </v:group>
          </w:pict>
        </mc:Fallback>
      </mc:AlternateContent>
    </w:r>
    <w:r>
      <w:rPr>
        <w:rFonts w:ascii="Times New Roman" w:eastAsia="Times New Roman" w:hAnsi="Times New Roman" w:cs="Times New Roman"/>
        <w:sz w:val="24"/>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644"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527" name="Group 436527"/>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528" name="Shape 436528"/>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529" name="Picture 436529"/>
                        <pic:cNvPicPr/>
                      </pic:nvPicPr>
                      <pic:blipFill>
                        <a:blip r:embed="rId1"/>
                        <a:stretch>
                          <a:fillRect/>
                        </a:stretch>
                      </pic:blipFill>
                      <pic:spPr>
                        <a:xfrm>
                          <a:off x="34747" y="0"/>
                          <a:ext cx="713232" cy="914400"/>
                        </a:xfrm>
                        <a:prstGeom prst="rect">
                          <a:avLst/>
                        </a:prstGeom>
                      </pic:spPr>
                    </pic:pic>
                    <wps:wsp>
                      <wps:cNvPr id="436531" name="Rectangle 436531"/>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532" name="Rectangle 436532"/>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533" name="Rectangle 436533"/>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534" name="Rectangle 436534"/>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535" name="Rectangle 436535"/>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536" name="Rectangle 436536"/>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530" name="Rectangle 436530"/>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537" name="Rectangle 436537"/>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538" name="Rectangle 436538"/>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539" name="Rectangle 436539"/>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540" name="Rectangle 436540"/>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527" style="width:473.946pt;height:83.612pt;position:absolute;mso-position-horizontal-relative:page;mso-position-horizontal:absolute;margin-left:127.514pt;mso-position-vertical-relative:page;margin-top:21pt;" coordsize="60191,10618">
              <v:shape id="Shape 436528" style="position:absolute;width:59988;height:0;left:202;top:10386;" coordsize="5998846,0" path="m0,0l5998846,0">
                <v:stroke weight="2.04pt" endcap="square" joinstyle="miter" miterlimit="10" on="true" color="#993366"/>
                <v:fill on="false" color="#000000" opacity="0"/>
              </v:shape>
              <v:shape id="Picture 436529" style="position:absolute;width:7132;height:9144;left:347;top:0;" filled="f">
                <v:imagedata r:id="rId91"/>
              </v:shape>
              <v:rect id="Rectangle 436531"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532"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533"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534"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535"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536"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530"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537"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538"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539"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540"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1843" w:firstLine="0"/>
      <w:jc w:val="left"/>
    </w:pPr>
    <w:r>
      <w:rPr>
        <w:rFonts w:ascii="Times New Roman" w:eastAsia="Times New Roman" w:hAnsi="Times New Roman" w:cs="Times New Roman"/>
        <w:sz w:val="24"/>
      </w:rPr>
      <w:t xml:space="preserve"> </w:t>
    </w:r>
  </w:p>
  <w:p w:rsidR="00025683" w:rsidRDefault="007C2AAB">
    <w:pPr>
      <w:spacing w:after="16" w:line="259" w:lineRule="auto"/>
      <w:ind w:left="1687" w:firstLine="0"/>
      <w:jc w:val="left"/>
    </w:pPr>
    <w:r>
      <w:rPr>
        <w:sz w:val="16"/>
      </w:rPr>
      <w:t xml:space="preserve"> </w:t>
    </w:r>
  </w:p>
  <w:p w:rsidR="00025683" w:rsidRDefault="007C2AAB">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025683" w:rsidRDefault="007C2AAB">
    <w:pPr>
      <w:spacing w:after="24"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025683" w:rsidRDefault="007C2AAB">
    <w:pPr>
      <w:tabs>
        <w:tab w:val="center" w:pos="2726"/>
        <w:tab w:val="center" w:pos="3769"/>
      </w:tabs>
      <w:spacing w:after="186"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SECRETARÍA GENERAL </w:t>
    </w:r>
    <w:r>
      <w:rPr>
        <w:b/>
        <w:sz w:val="18"/>
      </w:rPr>
      <w:tab/>
      <w:t xml:space="preserve"> </w:t>
    </w:r>
  </w:p>
  <w:p w:rsidR="00025683" w:rsidRDefault="007C2AAB">
    <w:pPr>
      <w:spacing w:after="0" w:line="259" w:lineRule="auto"/>
      <w:ind w:left="0" w:right="-385" w:firstLine="0"/>
      <w:jc w:val="left"/>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1639697</wp:posOffset>
              </wp:positionH>
              <wp:positionV relativeFrom="page">
                <wp:posOffset>1305306</wp:posOffset>
              </wp:positionV>
              <wp:extent cx="5998846" cy="25908"/>
              <wp:effectExtent l="0" t="0" r="0" b="0"/>
              <wp:wrapSquare wrapText="bothSides"/>
              <wp:docPr id="436499" name="Group 436499"/>
              <wp:cNvGraphicFramePr/>
              <a:graphic xmlns:a="http://schemas.openxmlformats.org/drawingml/2006/main">
                <a:graphicData uri="http://schemas.microsoft.com/office/word/2010/wordprocessingGroup">
                  <wpg:wgp>
                    <wpg:cNvGrpSpPr/>
                    <wpg:grpSpPr>
                      <a:xfrm>
                        <a:off x="0" y="0"/>
                        <a:ext cx="5998846" cy="25908"/>
                        <a:chOff x="0" y="0"/>
                        <a:chExt cx="5998846" cy="25908"/>
                      </a:xfrm>
                    </wpg:grpSpPr>
                    <wps:wsp>
                      <wps:cNvPr id="436500" name="Shape 436500"/>
                      <wps:cNvSpPr/>
                      <wps:spPr>
                        <a:xfrm>
                          <a:off x="0" y="0"/>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499" style="width:472.35pt;height:2.04pt;position:absolute;mso-position-horizontal-relative:page;mso-position-horizontal:absolute;margin-left:129.11pt;mso-position-vertical-relative:page;margin-top:102.78pt;" coordsize="59988,259">
              <v:shape id="Shape 436500" style="position:absolute;width:59988;height:0;left:0;top:0;" coordsize="5998846,0" path="m0,0l5998846,0">
                <v:stroke weight="2.04pt" endcap="square" joinstyle="miter" miterlimit="10" on="true" color="#993366"/>
                <v:fill on="false" color="#000000" opacity="0"/>
              </v:shape>
              <w10:wrap type="square"/>
            </v:group>
          </w:pict>
        </mc:Fallback>
      </mc:AlternateContent>
    </w:r>
    <w:r>
      <w:rPr>
        <w:rFonts w:ascii="Times New Roman" w:eastAsia="Times New Roman" w:hAnsi="Times New Roman" w:cs="Times New Roman"/>
        <w:sz w:val="24"/>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646"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702" name="Group 436702"/>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703" name="Shape 436703"/>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704" name="Picture 436704"/>
                        <pic:cNvPicPr/>
                      </pic:nvPicPr>
                      <pic:blipFill>
                        <a:blip r:embed="rId1"/>
                        <a:stretch>
                          <a:fillRect/>
                        </a:stretch>
                      </pic:blipFill>
                      <pic:spPr>
                        <a:xfrm>
                          <a:off x="34747" y="0"/>
                          <a:ext cx="713232" cy="914400"/>
                        </a:xfrm>
                        <a:prstGeom prst="rect">
                          <a:avLst/>
                        </a:prstGeom>
                      </pic:spPr>
                    </pic:pic>
                    <wps:wsp>
                      <wps:cNvPr id="436706" name="Rectangle 436706"/>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707" name="Rectangle 436707"/>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708" name="Rectangle 436708"/>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709" name="Rectangle 436709"/>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710" name="Rectangle 436710"/>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711" name="Rectangle 436711"/>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705" name="Rectangle 436705"/>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712" name="Rectangle 436712"/>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713" name="Rectangle 436713"/>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714" name="Rectangle 436714"/>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715" name="Rectangle 436715"/>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702" style="width:473.946pt;height:83.612pt;position:absolute;mso-position-horizontal-relative:page;mso-position-horizontal:absolute;margin-left:127.514pt;mso-position-vertical-relative:page;margin-top:21pt;" coordsize="60191,10618">
              <v:shape id="Shape 436703" style="position:absolute;width:59988;height:0;left:202;top:10386;" coordsize="5998846,0" path="m0,0l5998846,0">
                <v:stroke weight="2.04pt" endcap="square" joinstyle="miter" miterlimit="10" on="true" color="#993366"/>
                <v:fill on="false" color="#000000" opacity="0"/>
              </v:shape>
              <v:shape id="Picture 436704" style="position:absolute;width:7132;height:9144;left:347;top:0;" filled="f">
                <v:imagedata r:id="rId91"/>
              </v:shape>
              <v:rect id="Rectangle 436706"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707"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708"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709"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710"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711"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705"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712"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713"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714"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715"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646" w:firstLine="0"/>
      <w:jc w:val="left"/>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662" name="Group 436662"/>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663" name="Shape 436663"/>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664" name="Picture 436664"/>
                        <pic:cNvPicPr/>
                      </pic:nvPicPr>
                      <pic:blipFill>
                        <a:blip r:embed="rId1"/>
                        <a:stretch>
                          <a:fillRect/>
                        </a:stretch>
                      </pic:blipFill>
                      <pic:spPr>
                        <a:xfrm>
                          <a:off x="34747" y="0"/>
                          <a:ext cx="713232" cy="914400"/>
                        </a:xfrm>
                        <a:prstGeom prst="rect">
                          <a:avLst/>
                        </a:prstGeom>
                      </pic:spPr>
                    </pic:pic>
                    <wps:wsp>
                      <wps:cNvPr id="436666" name="Rectangle 436666"/>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667" name="Rectangle 436667"/>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668" name="Rectangle 436668"/>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669" name="Rectangle 436669"/>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670" name="Rectangle 436670"/>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671" name="Rectangle 436671"/>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665" name="Rectangle 436665"/>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672" name="Rectangle 436672"/>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673" name="Rectangle 436673"/>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674" name="Rectangle 436674"/>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675" name="Rectangle 436675"/>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662" style="width:473.946pt;height:83.612pt;position:absolute;mso-position-horizontal-relative:page;mso-position-horizontal:absolute;margin-left:127.514pt;mso-position-vertical-relative:page;margin-top:21pt;" coordsize="60191,10618">
              <v:shape id="Shape 436663" style="position:absolute;width:59988;height:0;left:202;top:10386;" coordsize="5998846,0" path="m0,0l5998846,0">
                <v:stroke weight="2.04pt" endcap="square" joinstyle="miter" miterlimit="10" on="true" color="#993366"/>
                <v:fill on="false" color="#000000" opacity="0"/>
              </v:shape>
              <v:shape id="Picture 436664" style="position:absolute;width:7132;height:9144;left:347;top:0;" filled="f">
                <v:imagedata r:id="rId91"/>
              </v:shape>
              <v:rect id="Rectangle 436666"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667"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668"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669"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670"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671"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665"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672"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673"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674"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675"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646" w:firstLine="0"/>
      <w:jc w:val="left"/>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622" name="Group 436622"/>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623" name="Shape 436623"/>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624" name="Picture 436624"/>
                        <pic:cNvPicPr/>
                      </pic:nvPicPr>
                      <pic:blipFill>
                        <a:blip r:embed="rId1"/>
                        <a:stretch>
                          <a:fillRect/>
                        </a:stretch>
                      </pic:blipFill>
                      <pic:spPr>
                        <a:xfrm>
                          <a:off x="34747" y="0"/>
                          <a:ext cx="713232" cy="914400"/>
                        </a:xfrm>
                        <a:prstGeom prst="rect">
                          <a:avLst/>
                        </a:prstGeom>
                      </pic:spPr>
                    </pic:pic>
                    <wps:wsp>
                      <wps:cNvPr id="436626" name="Rectangle 436626"/>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627" name="Rectangle 436627"/>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628" name="Rectangle 436628"/>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629" name="Rectangle 436629"/>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630" name="Rectangle 436630"/>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631" name="Rectangle 436631"/>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625" name="Rectangle 436625"/>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632" name="Rectangle 436632"/>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633" name="Rectangle 436633"/>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634" name="Rectangle 436634"/>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635" name="Rectangle 436635"/>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622" style="width:473.946pt;height:83.612pt;position:absolute;mso-position-horizontal-relative:page;mso-position-horizontal:absolute;margin-left:127.514pt;mso-position-vertical-relative:page;margin-top:21pt;" coordsize="60191,10618">
              <v:shape id="Shape 436623" style="position:absolute;width:59988;height:0;left:202;top:10386;" coordsize="5998846,0" path="m0,0l5998846,0">
                <v:stroke weight="2.04pt" endcap="square" joinstyle="miter" miterlimit="10" on="true" color="#993366"/>
                <v:fill on="false" color="#000000" opacity="0"/>
              </v:shape>
              <v:shape id="Picture 436624" style="position:absolute;width:7132;height:9144;left:347;top:0;" filled="f">
                <v:imagedata r:id="rId91"/>
              </v:shape>
              <v:rect id="Rectangle 436626"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627"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628"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629"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630"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631"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625"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632"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633"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634"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635"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964"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837" name="Group 436837"/>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838" name="Shape 436838"/>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839" name="Picture 436839"/>
                        <pic:cNvPicPr/>
                      </pic:nvPicPr>
                      <pic:blipFill>
                        <a:blip r:embed="rId1"/>
                        <a:stretch>
                          <a:fillRect/>
                        </a:stretch>
                      </pic:blipFill>
                      <pic:spPr>
                        <a:xfrm>
                          <a:off x="34747" y="0"/>
                          <a:ext cx="713232" cy="914400"/>
                        </a:xfrm>
                        <a:prstGeom prst="rect">
                          <a:avLst/>
                        </a:prstGeom>
                      </pic:spPr>
                    </pic:pic>
                    <wps:wsp>
                      <wps:cNvPr id="436841" name="Rectangle 436841"/>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842" name="Rectangle 436842"/>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843" name="Rectangle 436843"/>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844" name="Rectangle 436844"/>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845" name="Rectangle 436845"/>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846" name="Rectangle 436846"/>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840" name="Rectangle 436840"/>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847" name="Rectangle 436847"/>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848" name="Rectangle 436848"/>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849" name="Rectangle 436849"/>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850" name="Rectangle 436850"/>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837" style="width:473.946pt;height:83.612pt;position:absolute;mso-position-horizontal-relative:page;mso-position-horizontal:absolute;margin-left:127.514pt;mso-position-vertical-relative:page;margin-top:21pt;" coordsize="60191,10618">
              <v:shape id="Shape 436838" style="position:absolute;width:59988;height:0;left:202;top:10386;" coordsize="5998846,0" path="m0,0l5998846,0">
                <v:stroke weight="2.04pt" endcap="square" joinstyle="miter" miterlimit="10" on="true" color="#993366"/>
                <v:fill on="false" color="#000000" opacity="0"/>
              </v:shape>
              <v:shape id="Picture 436839" style="position:absolute;width:7132;height:9144;left:347;top:0;" filled="f">
                <v:imagedata r:id="rId91"/>
              </v:shape>
              <v:rect id="Rectangle 436841"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842"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843"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844"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845"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846"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840"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847"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848"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849"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850"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36" w:right="86" w:firstLine="0"/>
      <w:jc w:val="left"/>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1619428</wp:posOffset>
              </wp:positionH>
              <wp:positionV relativeFrom="page">
                <wp:posOffset>248412</wp:posOffset>
              </wp:positionV>
              <wp:extent cx="6019115" cy="1061872"/>
              <wp:effectExtent l="0" t="0" r="0" b="0"/>
              <wp:wrapSquare wrapText="bothSides"/>
              <wp:docPr id="436010" name="Group 436010"/>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011" name="Shape 436011"/>
                      <wps:cNvSpPr/>
                      <wps:spPr>
                        <a:xfrm>
                          <a:off x="20269" y="1040130"/>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012" name="Picture 436012"/>
                        <pic:cNvPicPr/>
                      </pic:nvPicPr>
                      <pic:blipFill>
                        <a:blip r:embed="rId1"/>
                        <a:stretch>
                          <a:fillRect/>
                        </a:stretch>
                      </pic:blipFill>
                      <pic:spPr>
                        <a:xfrm>
                          <a:off x="34747" y="0"/>
                          <a:ext cx="713232" cy="914400"/>
                        </a:xfrm>
                        <a:prstGeom prst="rect">
                          <a:avLst/>
                        </a:prstGeom>
                      </pic:spPr>
                    </pic:pic>
                    <wps:wsp>
                      <wps:cNvPr id="436014" name="Rectangle 436014"/>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015" name="Rectangle 436015"/>
                      <wps:cNvSpPr/>
                      <wps:spPr>
                        <a:xfrm>
                          <a:off x="1071321" y="420814"/>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16" name="Rectangle 436016"/>
                      <wps:cNvSpPr/>
                      <wps:spPr>
                        <a:xfrm>
                          <a:off x="1071321" y="551878"/>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17" name="Rectangle 436017"/>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018" name="Rectangle 436018"/>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19" name="Rectangle 436019"/>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13" name="Rectangle 436013"/>
                      <wps:cNvSpPr/>
                      <wps:spPr>
                        <a:xfrm>
                          <a:off x="1170381" y="191871"/>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020" name="Rectangle 436020"/>
                      <wps:cNvSpPr/>
                      <wps:spPr>
                        <a:xfrm>
                          <a:off x="0" y="367131"/>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021" name="Rectangle 436021"/>
                      <wps:cNvSpPr/>
                      <wps:spPr>
                        <a:xfrm>
                          <a:off x="0" y="542391"/>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022" name="Rectangle 436022"/>
                      <wps:cNvSpPr/>
                      <wps:spPr>
                        <a:xfrm>
                          <a:off x="0" y="717905"/>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023" name="Rectangle 436023"/>
                      <wps:cNvSpPr/>
                      <wps:spPr>
                        <a:xfrm>
                          <a:off x="0" y="893165"/>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010" style="width:473.946pt;height:83.6119pt;position:absolute;mso-position-horizontal-relative:page;mso-position-horizontal:absolute;margin-left:127.514pt;mso-position-vertical-relative:page;margin-top:19.56pt;" coordsize="60191,10618">
              <v:shape id="Shape 436011" style="position:absolute;width:59988;height:0;left:202;top:10401;" coordsize="5998846,0" path="m0,0l5998846,0">
                <v:stroke weight="2.04pt" endcap="square" joinstyle="miter" miterlimit="10" on="true" color="#993366"/>
                <v:fill on="false" color="#000000" opacity="0"/>
              </v:shape>
              <v:shape id="Picture 436012" style="position:absolute;width:7132;height:9144;left:347;top:0;" filled="f">
                <v:imagedata r:id="rId87"/>
              </v:shape>
              <v:rect id="Rectangle 436014"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015" style="position:absolute;width:422;height:1695;left:10713;top:420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16"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17"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018"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19"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13"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020"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021"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022"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023"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964"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797" name="Group 436797"/>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798" name="Shape 436798"/>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799" name="Picture 436799"/>
                        <pic:cNvPicPr/>
                      </pic:nvPicPr>
                      <pic:blipFill>
                        <a:blip r:embed="rId1"/>
                        <a:stretch>
                          <a:fillRect/>
                        </a:stretch>
                      </pic:blipFill>
                      <pic:spPr>
                        <a:xfrm>
                          <a:off x="34747" y="0"/>
                          <a:ext cx="713232" cy="914400"/>
                        </a:xfrm>
                        <a:prstGeom prst="rect">
                          <a:avLst/>
                        </a:prstGeom>
                      </pic:spPr>
                    </pic:pic>
                    <wps:wsp>
                      <wps:cNvPr id="436801" name="Rectangle 436801"/>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802" name="Rectangle 436802"/>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803" name="Rectangle 436803"/>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804" name="Rectangle 436804"/>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805" name="Rectangle 436805"/>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806" name="Rectangle 436806"/>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800" name="Rectangle 436800"/>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807" name="Rectangle 436807"/>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808" name="Rectangle 436808"/>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809" name="Rectangle 436809"/>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810" name="Rectangle 436810"/>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797" style="width:473.946pt;height:83.612pt;position:absolute;mso-position-horizontal-relative:page;mso-position-horizontal:absolute;margin-left:127.514pt;mso-position-vertical-relative:page;margin-top:21pt;" coordsize="60191,10618">
              <v:shape id="Shape 436798" style="position:absolute;width:59988;height:0;left:202;top:10386;" coordsize="5998846,0" path="m0,0l5998846,0">
                <v:stroke weight="2.04pt" endcap="square" joinstyle="miter" miterlimit="10" on="true" color="#993366"/>
                <v:fill on="false" color="#000000" opacity="0"/>
              </v:shape>
              <v:shape id="Picture 436799" style="position:absolute;width:7132;height:9144;left:347;top:0;" filled="f">
                <v:imagedata r:id="rId91"/>
              </v:shape>
              <v:rect id="Rectangle 436801"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802"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803"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804"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805"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806"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800"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807"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808"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809"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810"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1843" w:firstLine="0"/>
      <w:jc w:val="left"/>
    </w:pPr>
    <w:r>
      <w:rPr>
        <w:rFonts w:ascii="Times New Roman" w:eastAsia="Times New Roman" w:hAnsi="Times New Roman" w:cs="Times New Roman"/>
        <w:sz w:val="24"/>
      </w:rPr>
      <w:t xml:space="preserve"> </w:t>
    </w:r>
  </w:p>
  <w:p w:rsidR="00025683" w:rsidRDefault="007C2AAB">
    <w:pPr>
      <w:spacing w:after="16" w:line="259" w:lineRule="auto"/>
      <w:ind w:left="1687" w:firstLine="0"/>
      <w:jc w:val="left"/>
    </w:pPr>
    <w:r>
      <w:rPr>
        <w:sz w:val="16"/>
      </w:rPr>
      <w:t xml:space="preserve"> </w:t>
    </w:r>
  </w:p>
  <w:p w:rsidR="00025683" w:rsidRDefault="007C2AAB">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025683" w:rsidRDefault="007C2AAB">
    <w:pPr>
      <w:spacing w:after="24"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025683" w:rsidRDefault="007C2AAB">
    <w:pPr>
      <w:tabs>
        <w:tab w:val="center" w:pos="2726"/>
        <w:tab w:val="center" w:pos="3769"/>
      </w:tabs>
      <w:spacing w:after="186"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SECRETARÍA GENERAL </w:t>
    </w:r>
    <w:r>
      <w:rPr>
        <w:b/>
        <w:sz w:val="18"/>
      </w:rPr>
      <w:tab/>
      <w:t xml:space="preserve"> </w:t>
    </w:r>
  </w:p>
  <w:p w:rsidR="00025683" w:rsidRDefault="007C2AAB">
    <w:pPr>
      <w:spacing w:after="0" w:line="259" w:lineRule="auto"/>
      <w:ind w:left="0" w:right="-66"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1639697</wp:posOffset>
              </wp:positionH>
              <wp:positionV relativeFrom="page">
                <wp:posOffset>1305306</wp:posOffset>
              </wp:positionV>
              <wp:extent cx="5998846" cy="25908"/>
              <wp:effectExtent l="0" t="0" r="0" b="0"/>
              <wp:wrapSquare wrapText="bothSides"/>
              <wp:docPr id="436769" name="Group 436769"/>
              <wp:cNvGraphicFramePr/>
              <a:graphic xmlns:a="http://schemas.openxmlformats.org/drawingml/2006/main">
                <a:graphicData uri="http://schemas.microsoft.com/office/word/2010/wordprocessingGroup">
                  <wpg:wgp>
                    <wpg:cNvGrpSpPr/>
                    <wpg:grpSpPr>
                      <a:xfrm>
                        <a:off x="0" y="0"/>
                        <a:ext cx="5998846" cy="25908"/>
                        <a:chOff x="0" y="0"/>
                        <a:chExt cx="5998846" cy="25908"/>
                      </a:xfrm>
                    </wpg:grpSpPr>
                    <wps:wsp>
                      <wps:cNvPr id="436770" name="Shape 436770"/>
                      <wps:cNvSpPr/>
                      <wps:spPr>
                        <a:xfrm>
                          <a:off x="0" y="0"/>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769" style="width:472.35pt;height:2.04pt;position:absolute;mso-position-horizontal-relative:page;mso-position-horizontal:absolute;margin-left:129.11pt;mso-position-vertical-relative:page;margin-top:102.78pt;" coordsize="59988,259">
              <v:shape id="Shape 436770" style="position:absolute;width:59988;height:0;left:0;top:0;" coordsize="5998846,0" path="m0,0l5998846,0">
                <v:stroke weight="2.04pt" endcap="square" joinstyle="miter" miterlimit="10" on="true" color="#993366"/>
                <v:fill on="false" color="#000000" opacity="0"/>
              </v:shape>
              <w10:wrap type="square"/>
            </v:group>
          </w:pict>
        </mc:Fallback>
      </mc:AlternateContent>
    </w:r>
    <w:r>
      <w:rPr>
        <w:rFonts w:ascii="Times New Roman" w:eastAsia="Times New Roman" w:hAnsi="Times New Roman" w:cs="Times New Roman"/>
        <w:sz w:val="24"/>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305" w:right="11907" w:firstLine="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972" name="Group 436972"/>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973" name="Shape 436973"/>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974" name="Picture 436974"/>
                        <pic:cNvPicPr/>
                      </pic:nvPicPr>
                      <pic:blipFill>
                        <a:blip r:embed="rId1"/>
                        <a:stretch>
                          <a:fillRect/>
                        </a:stretch>
                      </pic:blipFill>
                      <pic:spPr>
                        <a:xfrm>
                          <a:off x="34747" y="0"/>
                          <a:ext cx="713232" cy="914400"/>
                        </a:xfrm>
                        <a:prstGeom prst="rect">
                          <a:avLst/>
                        </a:prstGeom>
                      </pic:spPr>
                    </pic:pic>
                    <wps:wsp>
                      <wps:cNvPr id="436976" name="Rectangle 436976"/>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977" name="Rectangle 436977"/>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978" name="Rectangle 436978"/>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979" name="Rectangle 436979"/>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980" name="Rectangle 436980"/>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981" name="Rectangle 436981"/>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975" name="Rectangle 436975"/>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982" name="Rectangle 436982"/>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983" name="Rectangle 436983"/>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984" name="Rectangle 436984"/>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985" name="Rectangle 436985"/>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972" style="width:473.946pt;height:83.612pt;position:absolute;mso-position-horizontal-relative:page;mso-position-horizontal:absolute;margin-left:127.514pt;mso-position-vertical-relative:page;margin-top:21pt;" coordsize="60191,10618">
              <v:shape id="Shape 436973" style="position:absolute;width:59988;height:0;left:202;top:10386;" coordsize="5998846,0" path="m0,0l5998846,0">
                <v:stroke weight="2.04pt" endcap="square" joinstyle="miter" miterlimit="10" on="true" color="#993366"/>
                <v:fill on="false" color="#000000" opacity="0"/>
              </v:shape>
              <v:shape id="Picture 436974" style="position:absolute;width:7132;height:9144;left:347;top:0;" filled="f">
                <v:imagedata r:id="rId91"/>
              </v:shape>
              <v:rect id="Rectangle 436976"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977"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978"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979"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980"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981"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975"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982"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983"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984"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985"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305" w:right="11907" w:firstLine="0"/>
      <w:jc w:val="left"/>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932" name="Group 436932"/>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933" name="Shape 436933"/>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934" name="Picture 436934"/>
                        <pic:cNvPicPr/>
                      </pic:nvPicPr>
                      <pic:blipFill>
                        <a:blip r:embed="rId1"/>
                        <a:stretch>
                          <a:fillRect/>
                        </a:stretch>
                      </pic:blipFill>
                      <pic:spPr>
                        <a:xfrm>
                          <a:off x="34747" y="0"/>
                          <a:ext cx="713232" cy="914400"/>
                        </a:xfrm>
                        <a:prstGeom prst="rect">
                          <a:avLst/>
                        </a:prstGeom>
                      </pic:spPr>
                    </pic:pic>
                    <wps:wsp>
                      <wps:cNvPr id="436936" name="Rectangle 436936"/>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937" name="Rectangle 436937"/>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938" name="Rectangle 436938"/>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939" name="Rectangle 436939"/>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940" name="Rectangle 436940"/>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941" name="Rectangle 436941"/>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935" name="Rectangle 436935"/>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942" name="Rectangle 436942"/>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943" name="Rectangle 436943"/>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944" name="Rectangle 436944"/>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945" name="Rectangle 436945"/>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932" style="width:473.946pt;height:83.612pt;position:absolute;mso-position-horizontal-relative:page;mso-position-horizontal:absolute;margin-left:127.514pt;mso-position-vertical-relative:page;margin-top:21pt;" coordsize="60191,10618">
              <v:shape id="Shape 436933" style="position:absolute;width:59988;height:0;left:202;top:10386;" coordsize="5998846,0" path="m0,0l5998846,0">
                <v:stroke weight="2.04pt" endcap="square" joinstyle="miter" miterlimit="10" on="true" color="#993366"/>
                <v:fill on="false" color="#000000" opacity="0"/>
              </v:shape>
              <v:shape id="Picture 436934" style="position:absolute;width:7132;height:9144;left:347;top:0;" filled="f">
                <v:imagedata r:id="rId91"/>
              </v:shape>
              <v:rect id="Rectangle 436936"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937"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938"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939"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940"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941"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935"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942"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943"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944"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945"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088" w:firstLine="0"/>
      <w:jc w:val="left"/>
    </w:pPr>
    <w:r>
      <w:rPr>
        <w:rFonts w:ascii="Times New Roman" w:eastAsia="Times New Roman" w:hAnsi="Times New Roman" w:cs="Times New Roman"/>
        <w:sz w:val="24"/>
      </w:rPr>
      <w:t xml:space="preserve"> </w:t>
    </w:r>
  </w:p>
  <w:p w:rsidR="00025683" w:rsidRDefault="007C2AAB">
    <w:pPr>
      <w:spacing w:after="16" w:line="259" w:lineRule="auto"/>
      <w:ind w:left="1932" w:firstLine="0"/>
      <w:jc w:val="left"/>
    </w:pPr>
    <w:r>
      <w:rPr>
        <w:sz w:val="16"/>
      </w:rPr>
      <w:t xml:space="preserve"> </w:t>
    </w:r>
  </w:p>
  <w:p w:rsidR="00025683" w:rsidRDefault="007C2AAB">
    <w:pPr>
      <w:spacing w:after="0" w:line="259" w:lineRule="auto"/>
      <w:ind w:left="245"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025683" w:rsidRDefault="007C2AAB">
    <w:pPr>
      <w:spacing w:after="24" w:line="259" w:lineRule="auto"/>
      <w:ind w:left="245"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025683" w:rsidRDefault="007C2AAB">
    <w:pPr>
      <w:tabs>
        <w:tab w:val="center" w:pos="245"/>
        <w:tab w:val="center" w:pos="2971"/>
        <w:tab w:val="center" w:pos="4014"/>
      </w:tabs>
      <w:spacing w:after="186" w:line="259" w:lineRule="auto"/>
      <w:ind w:left="0" w:firstLine="0"/>
      <w:jc w:val="left"/>
    </w:pPr>
    <w:r>
      <w:rPr>
        <w:rFonts w:ascii="Calibri" w:eastAsia="Calibri" w:hAnsi="Calibri" w:cs="Calibri"/>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SECRETARÍA GENERAL </w:t>
    </w:r>
    <w:r>
      <w:rPr>
        <w:b/>
        <w:sz w:val="18"/>
      </w:rPr>
      <w:tab/>
      <w:t xml:space="preserve"> </w:t>
    </w:r>
  </w:p>
  <w:p w:rsidR="00025683" w:rsidRDefault="007C2AAB">
    <w:pPr>
      <w:spacing w:after="0" w:line="259" w:lineRule="auto"/>
      <w:ind w:left="245" w:right="-122" w:firstLine="0"/>
      <w:jc w:val="left"/>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1639697</wp:posOffset>
              </wp:positionH>
              <wp:positionV relativeFrom="page">
                <wp:posOffset>1305306</wp:posOffset>
              </wp:positionV>
              <wp:extent cx="5998846" cy="25908"/>
              <wp:effectExtent l="0" t="0" r="0" b="0"/>
              <wp:wrapSquare wrapText="bothSides"/>
              <wp:docPr id="436904" name="Group 436904"/>
              <wp:cNvGraphicFramePr/>
              <a:graphic xmlns:a="http://schemas.openxmlformats.org/drawingml/2006/main">
                <a:graphicData uri="http://schemas.microsoft.com/office/word/2010/wordprocessingGroup">
                  <wpg:wgp>
                    <wpg:cNvGrpSpPr/>
                    <wpg:grpSpPr>
                      <a:xfrm>
                        <a:off x="0" y="0"/>
                        <a:ext cx="5998846" cy="25908"/>
                        <a:chOff x="0" y="0"/>
                        <a:chExt cx="5998846" cy="25908"/>
                      </a:xfrm>
                    </wpg:grpSpPr>
                    <wps:wsp>
                      <wps:cNvPr id="436905" name="Shape 436905"/>
                      <wps:cNvSpPr/>
                      <wps:spPr>
                        <a:xfrm>
                          <a:off x="0" y="0"/>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904" style="width:472.35pt;height:2.04pt;position:absolute;mso-position-horizontal-relative:page;mso-position-horizontal:absolute;margin-left:129.11pt;mso-position-vertical-relative:page;margin-top:102.78pt;" coordsize="59988,259">
              <v:shape id="Shape 436905" style="position:absolute;width:59988;height:0;left:0;top:0;" coordsize="5998846,0" path="m0,0l5998846,0">
                <v:stroke weight="2.04pt" endcap="square" joinstyle="miter" miterlimit="10" on="true" color="#993366"/>
                <v:fill on="false" color="#000000" opacity="0"/>
              </v:shape>
              <w10:wrap type="square"/>
            </v:group>
          </w:pict>
        </mc:Fallback>
      </mc:AlternateContent>
    </w:r>
    <w:r>
      <w:rPr>
        <w:rFonts w:ascii="Times New Roman" w:eastAsia="Times New Roman" w:hAnsi="Times New Roman" w:cs="Times New Roman"/>
        <w:sz w:val="24"/>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312" w:right="141"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1620952</wp:posOffset>
              </wp:positionH>
              <wp:positionV relativeFrom="page">
                <wp:posOffset>266700</wp:posOffset>
              </wp:positionV>
              <wp:extent cx="6017591" cy="1061872"/>
              <wp:effectExtent l="0" t="0" r="0" b="0"/>
              <wp:wrapSquare wrapText="bothSides"/>
              <wp:docPr id="437093" name="Group 437093"/>
              <wp:cNvGraphicFramePr/>
              <a:graphic xmlns:a="http://schemas.openxmlformats.org/drawingml/2006/main">
                <a:graphicData uri="http://schemas.microsoft.com/office/word/2010/wordprocessingGroup">
                  <wpg:wgp>
                    <wpg:cNvGrpSpPr/>
                    <wpg:grpSpPr>
                      <a:xfrm>
                        <a:off x="0" y="0"/>
                        <a:ext cx="6017591" cy="1061872"/>
                        <a:chOff x="0" y="0"/>
                        <a:chExt cx="6017591" cy="1061872"/>
                      </a:xfrm>
                    </wpg:grpSpPr>
                    <wps:wsp>
                      <wps:cNvPr id="437094" name="Shape 437094"/>
                      <wps:cNvSpPr/>
                      <wps:spPr>
                        <a:xfrm>
                          <a:off x="18745"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7095" name="Picture 437095"/>
                        <pic:cNvPicPr/>
                      </pic:nvPicPr>
                      <pic:blipFill>
                        <a:blip r:embed="rId1"/>
                        <a:stretch>
                          <a:fillRect/>
                        </a:stretch>
                      </pic:blipFill>
                      <pic:spPr>
                        <a:xfrm>
                          <a:off x="33223" y="0"/>
                          <a:ext cx="714756" cy="914400"/>
                        </a:xfrm>
                        <a:prstGeom prst="rect">
                          <a:avLst/>
                        </a:prstGeom>
                      </pic:spPr>
                    </pic:pic>
                    <wps:wsp>
                      <wps:cNvPr id="437097" name="Rectangle 437097"/>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7098" name="Rectangle 437098"/>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099" name="Rectangle 437099"/>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100" name="Rectangle 437100"/>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7101" name="Rectangle 437101"/>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102" name="Rectangle 437102"/>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096" name="Rectangle 437096"/>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103" name="Rectangle 437103"/>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104" name="Rectangle 437104"/>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105" name="Rectangle 437105"/>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106" name="Rectangle 437106"/>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7093" style="width:473.826pt;height:83.612pt;position:absolute;mso-position-horizontal-relative:page;mso-position-horizontal:absolute;margin-left:127.634pt;mso-position-vertical-relative:page;margin-top:21pt;" coordsize="60175,10618">
              <v:shape id="Shape 437094" style="position:absolute;width:59988;height:0;left:187;top:10386;" coordsize="5998846,0" path="m0,0l5998846,0">
                <v:stroke weight="2.04pt" endcap="square" joinstyle="miter" miterlimit="10" on="true" color="#993366"/>
                <v:fill on="false" color="#000000" opacity="0"/>
              </v:shape>
              <v:shape id="Picture 437095" style="position:absolute;width:7147;height:9144;left:332;top:0;" filled="f">
                <v:imagedata r:id="rId92"/>
              </v:shape>
              <v:rect id="Rectangle 437097"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7098"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099"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100"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7101"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102"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096"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103"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104"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105"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106"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312" w:right="141" w:firstLine="0"/>
      <w:jc w:val="left"/>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1620952</wp:posOffset>
              </wp:positionH>
              <wp:positionV relativeFrom="page">
                <wp:posOffset>266700</wp:posOffset>
              </wp:positionV>
              <wp:extent cx="6017591" cy="1061872"/>
              <wp:effectExtent l="0" t="0" r="0" b="0"/>
              <wp:wrapSquare wrapText="bothSides"/>
              <wp:docPr id="437053" name="Group 437053"/>
              <wp:cNvGraphicFramePr/>
              <a:graphic xmlns:a="http://schemas.openxmlformats.org/drawingml/2006/main">
                <a:graphicData uri="http://schemas.microsoft.com/office/word/2010/wordprocessingGroup">
                  <wpg:wgp>
                    <wpg:cNvGrpSpPr/>
                    <wpg:grpSpPr>
                      <a:xfrm>
                        <a:off x="0" y="0"/>
                        <a:ext cx="6017591" cy="1061872"/>
                        <a:chOff x="0" y="0"/>
                        <a:chExt cx="6017591" cy="1061872"/>
                      </a:xfrm>
                    </wpg:grpSpPr>
                    <wps:wsp>
                      <wps:cNvPr id="437054" name="Shape 437054"/>
                      <wps:cNvSpPr/>
                      <wps:spPr>
                        <a:xfrm>
                          <a:off x="18745"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7055" name="Picture 437055"/>
                        <pic:cNvPicPr/>
                      </pic:nvPicPr>
                      <pic:blipFill>
                        <a:blip r:embed="rId1"/>
                        <a:stretch>
                          <a:fillRect/>
                        </a:stretch>
                      </pic:blipFill>
                      <pic:spPr>
                        <a:xfrm>
                          <a:off x="33223" y="0"/>
                          <a:ext cx="714756" cy="914400"/>
                        </a:xfrm>
                        <a:prstGeom prst="rect">
                          <a:avLst/>
                        </a:prstGeom>
                      </pic:spPr>
                    </pic:pic>
                    <wps:wsp>
                      <wps:cNvPr id="437057" name="Rectangle 437057"/>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7058" name="Rectangle 437058"/>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059" name="Rectangle 437059"/>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060" name="Rectangle 437060"/>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7061" name="Rectangle 437061"/>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062" name="Rectangle 437062"/>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056" name="Rectangle 437056"/>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063" name="Rectangle 437063"/>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064" name="Rectangle 437064"/>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065" name="Rectangle 437065"/>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066" name="Rectangle 437066"/>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7053" style="width:473.826pt;height:83.612pt;position:absolute;mso-position-horizontal-relative:page;mso-position-horizontal:absolute;margin-left:127.634pt;mso-position-vertical-relative:page;margin-top:21pt;" coordsize="60175,10618">
              <v:shape id="Shape 437054" style="position:absolute;width:59988;height:0;left:187;top:10386;" coordsize="5998846,0" path="m0,0l5998846,0">
                <v:stroke weight="2.04pt" endcap="square" joinstyle="miter" miterlimit="10" on="true" color="#993366"/>
                <v:fill on="false" color="#000000" opacity="0"/>
              </v:shape>
              <v:shape id="Picture 437055" style="position:absolute;width:7147;height:9144;left:332;top:0;" filled="f">
                <v:imagedata r:id="rId92"/>
              </v:shape>
              <v:rect id="Rectangle 437057"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7058"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059"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060"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7061"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062"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056"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063"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064"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065"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066"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312" w:right="141" w:firstLine="0"/>
      <w:jc w:val="left"/>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1620952</wp:posOffset>
              </wp:positionH>
              <wp:positionV relativeFrom="page">
                <wp:posOffset>266700</wp:posOffset>
              </wp:positionV>
              <wp:extent cx="6017591" cy="1061872"/>
              <wp:effectExtent l="0" t="0" r="0" b="0"/>
              <wp:wrapSquare wrapText="bothSides"/>
              <wp:docPr id="437013" name="Group 437013"/>
              <wp:cNvGraphicFramePr/>
              <a:graphic xmlns:a="http://schemas.openxmlformats.org/drawingml/2006/main">
                <a:graphicData uri="http://schemas.microsoft.com/office/word/2010/wordprocessingGroup">
                  <wpg:wgp>
                    <wpg:cNvGrpSpPr/>
                    <wpg:grpSpPr>
                      <a:xfrm>
                        <a:off x="0" y="0"/>
                        <a:ext cx="6017591" cy="1061872"/>
                        <a:chOff x="0" y="0"/>
                        <a:chExt cx="6017591" cy="1061872"/>
                      </a:xfrm>
                    </wpg:grpSpPr>
                    <wps:wsp>
                      <wps:cNvPr id="437014" name="Shape 437014"/>
                      <wps:cNvSpPr/>
                      <wps:spPr>
                        <a:xfrm>
                          <a:off x="18745"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7015" name="Picture 437015"/>
                        <pic:cNvPicPr/>
                      </pic:nvPicPr>
                      <pic:blipFill>
                        <a:blip r:embed="rId1"/>
                        <a:stretch>
                          <a:fillRect/>
                        </a:stretch>
                      </pic:blipFill>
                      <pic:spPr>
                        <a:xfrm>
                          <a:off x="33223" y="0"/>
                          <a:ext cx="714756" cy="914400"/>
                        </a:xfrm>
                        <a:prstGeom prst="rect">
                          <a:avLst/>
                        </a:prstGeom>
                      </pic:spPr>
                    </pic:pic>
                    <wps:wsp>
                      <wps:cNvPr id="437017" name="Rectangle 437017"/>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7018" name="Rectangle 437018"/>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019" name="Rectangle 437019"/>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020" name="Rectangle 437020"/>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7021" name="Rectangle 437021"/>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022" name="Rectangle 437022"/>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7016" name="Rectangle 437016"/>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023" name="Rectangle 437023"/>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024" name="Rectangle 437024"/>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025" name="Rectangle 437025"/>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7026" name="Rectangle 437026"/>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7013" style="width:473.826pt;height:83.612pt;position:absolute;mso-position-horizontal-relative:page;mso-position-horizontal:absolute;margin-left:127.634pt;mso-position-vertical-relative:page;margin-top:21pt;" coordsize="60175,10618">
              <v:shape id="Shape 437014" style="position:absolute;width:59988;height:0;left:187;top:10386;" coordsize="5998846,0" path="m0,0l5998846,0">
                <v:stroke weight="2.04pt" endcap="square" joinstyle="miter" miterlimit="10" on="true" color="#993366"/>
                <v:fill on="false" color="#000000" opacity="0"/>
              </v:shape>
              <v:shape id="Picture 437015" style="position:absolute;width:7147;height:9144;left:332;top:0;" filled="f">
                <v:imagedata r:id="rId92"/>
              </v:shape>
              <v:rect id="Rectangle 437017"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7018"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019"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020"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7021"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022"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7016"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023"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024"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025"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7026"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025683">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8757"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177" name="Group 436177"/>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178" name="Shape 436178"/>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179" name="Picture 436179"/>
                        <pic:cNvPicPr/>
                      </pic:nvPicPr>
                      <pic:blipFill>
                        <a:blip r:embed="rId1"/>
                        <a:stretch>
                          <a:fillRect/>
                        </a:stretch>
                      </pic:blipFill>
                      <pic:spPr>
                        <a:xfrm>
                          <a:off x="34747" y="0"/>
                          <a:ext cx="713232" cy="914400"/>
                        </a:xfrm>
                        <a:prstGeom prst="rect">
                          <a:avLst/>
                        </a:prstGeom>
                      </pic:spPr>
                    </pic:pic>
                    <wps:wsp>
                      <wps:cNvPr id="436181" name="Rectangle 436181"/>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182" name="Rectangle 436182"/>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183" name="Rectangle 436183"/>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184" name="Rectangle 436184"/>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185" name="Rectangle 436185"/>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186" name="Rectangle 436186"/>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180" name="Rectangle 436180"/>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187" name="Rectangle 436187"/>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188" name="Rectangle 436188"/>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189" name="Rectangle 436189"/>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190" name="Rectangle 436190"/>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177" style="width:473.946pt;height:83.612pt;position:absolute;mso-position-horizontal-relative:page;mso-position-horizontal:absolute;margin-left:127.514pt;mso-position-vertical-relative:page;margin-top:21pt;" coordsize="60191,10618">
              <v:shape id="Shape 436178" style="position:absolute;width:59988;height:0;left:202;top:10386;" coordsize="5998846,0" path="m0,0l5998846,0">
                <v:stroke weight="2.04pt" endcap="square" joinstyle="miter" miterlimit="10" on="true" color="#993366"/>
                <v:fill on="false" color="#000000" opacity="0"/>
              </v:shape>
              <v:shape id="Picture 436179" style="position:absolute;width:7132;height:9144;left:347;top:0;" filled="f">
                <v:imagedata r:id="rId91"/>
              </v:shape>
              <v:rect id="Rectangle 436181"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182"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183"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184"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185"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186"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180"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187"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188"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189"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190"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r>
      <w:t xml:space="preserve"> </w:t>
    </w:r>
    <w:r>
      <w:tab/>
    </w:r>
    <w:r>
      <w:rPr>
        <w:rFonts w:ascii="Times New Roman" w:eastAsia="Times New Roman" w:hAnsi="Times New Roman" w:cs="Times New Roman"/>
        <w:sz w:val="24"/>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3764"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134" name="Group 436134"/>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135" name="Shape 436135"/>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136" name="Picture 436136"/>
                        <pic:cNvPicPr/>
                      </pic:nvPicPr>
                      <pic:blipFill>
                        <a:blip r:embed="rId1"/>
                        <a:stretch>
                          <a:fillRect/>
                        </a:stretch>
                      </pic:blipFill>
                      <pic:spPr>
                        <a:xfrm>
                          <a:off x="34747" y="0"/>
                          <a:ext cx="713232" cy="914400"/>
                        </a:xfrm>
                        <a:prstGeom prst="rect">
                          <a:avLst/>
                        </a:prstGeom>
                      </pic:spPr>
                    </pic:pic>
                    <wps:wsp>
                      <wps:cNvPr id="436138" name="Rectangle 436138"/>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139" name="Rectangle 436139"/>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140" name="Rectangle 436140"/>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141" name="Rectangle 436141"/>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142" name="Rectangle 436142"/>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143" name="Rectangle 436143"/>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137" name="Rectangle 436137"/>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144" name="Rectangle 436144"/>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145" name="Rectangle 436145"/>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146" name="Rectangle 436146"/>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147" name="Rectangle 436147"/>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134" style="width:473.946pt;height:83.612pt;position:absolute;mso-position-horizontal-relative:page;mso-position-horizontal:absolute;margin-left:127.514pt;mso-position-vertical-relative:page;margin-top:21pt;" coordsize="60191,10618">
              <v:shape id="Shape 436135" style="position:absolute;width:59988;height:0;left:202;top:10386;" coordsize="5998846,0" path="m0,0l5998846,0">
                <v:stroke weight="2.04pt" endcap="square" joinstyle="miter" miterlimit="10" on="true" color="#993366"/>
                <v:fill on="false" color="#000000" opacity="0"/>
              </v:shape>
              <v:shape id="Picture 436136" style="position:absolute;width:7132;height:9144;left:347;top:0;" filled="f">
                <v:imagedata r:id="rId91"/>
              </v:shape>
              <v:rect id="Rectangle 436138"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139"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140"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141"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142"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143"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137"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144"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145"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146"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147"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r>
      <w:t xml:space="preserve"> </w:t>
    </w:r>
    <w:r>
      <w:tab/>
      <w:t xml:space="preserve"> </w:t>
    </w:r>
    <w:r>
      <w:tab/>
    </w:r>
    <w:r>
      <w:rPr>
        <w:rFonts w:ascii="Times New Roman" w:eastAsia="Times New Roman" w:hAnsi="Times New Roman" w:cs="Times New Roman"/>
        <w:sz w:val="24"/>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906"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089" name="Group 436089"/>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090" name="Shape 436090"/>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091" name="Picture 436091"/>
                        <pic:cNvPicPr/>
                      </pic:nvPicPr>
                      <pic:blipFill>
                        <a:blip r:embed="rId1"/>
                        <a:stretch>
                          <a:fillRect/>
                        </a:stretch>
                      </pic:blipFill>
                      <pic:spPr>
                        <a:xfrm>
                          <a:off x="34747" y="0"/>
                          <a:ext cx="713232" cy="914400"/>
                        </a:xfrm>
                        <a:prstGeom prst="rect">
                          <a:avLst/>
                        </a:prstGeom>
                      </pic:spPr>
                    </pic:pic>
                    <wps:wsp>
                      <wps:cNvPr id="436093" name="Rectangle 436093"/>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094" name="Rectangle 436094"/>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95" name="Rectangle 436095"/>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96" name="Rectangle 436096"/>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097" name="Rectangle 436097"/>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98" name="Rectangle 436098"/>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092" name="Rectangle 436092"/>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099" name="Rectangle 436099"/>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100" name="Rectangle 436100"/>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101" name="Rectangle 436101"/>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102" name="Rectangle 436102"/>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089" style="width:473.946pt;height:83.612pt;position:absolute;mso-position-horizontal-relative:page;mso-position-horizontal:absolute;margin-left:127.514pt;mso-position-vertical-relative:page;margin-top:21pt;" coordsize="60191,10618">
              <v:shape id="Shape 436090" style="position:absolute;width:59988;height:0;left:202;top:10386;" coordsize="5998846,0" path="m0,0l5998846,0">
                <v:stroke weight="2.04pt" endcap="square" joinstyle="miter" miterlimit="10" on="true" color="#993366"/>
                <v:fill on="false" color="#000000" opacity="0"/>
              </v:shape>
              <v:shape id="Picture 436091" style="position:absolute;width:7132;height:9144;left:347;top:0;" filled="f">
                <v:imagedata r:id="rId91"/>
              </v:shape>
              <v:rect id="Rectangle 436093"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094"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95"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96"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097"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98"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092"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099"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100"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101"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102"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911"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311" name="Group 436311"/>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312" name="Shape 436312"/>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313" name="Picture 436313"/>
                        <pic:cNvPicPr/>
                      </pic:nvPicPr>
                      <pic:blipFill>
                        <a:blip r:embed="rId1"/>
                        <a:stretch>
                          <a:fillRect/>
                        </a:stretch>
                      </pic:blipFill>
                      <pic:spPr>
                        <a:xfrm>
                          <a:off x="34747" y="0"/>
                          <a:ext cx="713232" cy="914400"/>
                        </a:xfrm>
                        <a:prstGeom prst="rect">
                          <a:avLst/>
                        </a:prstGeom>
                      </pic:spPr>
                    </pic:pic>
                    <wps:wsp>
                      <wps:cNvPr id="436315" name="Rectangle 436315"/>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316" name="Rectangle 436316"/>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317" name="Rectangle 436317"/>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318" name="Rectangle 436318"/>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319" name="Rectangle 436319"/>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320" name="Rectangle 436320"/>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314" name="Rectangle 436314"/>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321" name="Rectangle 436321"/>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322" name="Rectangle 436322"/>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323" name="Rectangle 436323"/>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324" name="Rectangle 436324"/>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311" style="width:473.946pt;height:83.612pt;position:absolute;mso-position-horizontal-relative:page;mso-position-horizontal:absolute;margin-left:127.514pt;mso-position-vertical-relative:page;margin-top:21pt;" coordsize="60191,10618">
              <v:shape id="Shape 436312" style="position:absolute;width:59988;height:0;left:202;top:10386;" coordsize="5998846,0" path="m0,0l5998846,0">
                <v:stroke weight="2.04pt" endcap="square" joinstyle="miter" miterlimit="10" on="true" color="#993366"/>
                <v:fill on="false" color="#000000" opacity="0"/>
              </v:shape>
              <v:shape id="Picture 436313" style="position:absolute;width:7132;height:9144;left:347;top:0;" filled="f">
                <v:imagedata r:id="rId91"/>
              </v:shape>
              <v:rect id="Rectangle 436315"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316"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317"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318"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319"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320"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314"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321"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322"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323"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324"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1843" w:firstLine="0"/>
      <w:jc w:val="left"/>
    </w:pPr>
    <w:r>
      <w:rPr>
        <w:rFonts w:ascii="Times New Roman" w:eastAsia="Times New Roman" w:hAnsi="Times New Roman" w:cs="Times New Roman"/>
        <w:sz w:val="24"/>
      </w:rPr>
      <w:t xml:space="preserve"> </w:t>
    </w:r>
  </w:p>
  <w:p w:rsidR="00025683" w:rsidRDefault="007C2AAB">
    <w:pPr>
      <w:spacing w:after="16" w:line="259" w:lineRule="auto"/>
      <w:ind w:left="1687" w:firstLine="0"/>
      <w:jc w:val="left"/>
    </w:pPr>
    <w:r>
      <w:rPr>
        <w:sz w:val="16"/>
      </w:rPr>
      <w:t xml:space="preserve"> </w:t>
    </w:r>
  </w:p>
  <w:p w:rsidR="00025683" w:rsidRDefault="007C2AAB">
    <w:pPr>
      <w:spacing w:after="0"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025683" w:rsidRDefault="007C2AAB">
    <w:pPr>
      <w:spacing w:after="24"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 </w:t>
    </w:r>
  </w:p>
  <w:p w:rsidR="00025683" w:rsidRDefault="007C2AAB">
    <w:pPr>
      <w:tabs>
        <w:tab w:val="center" w:pos="2726"/>
        <w:tab w:val="center" w:pos="3769"/>
      </w:tabs>
      <w:spacing w:after="186" w:line="259" w:lineRule="auto"/>
      <w:ind w:lef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sz w:val="18"/>
      </w:rPr>
      <w:t xml:space="preserve">SECRETARÍA GENERAL </w:t>
    </w:r>
    <w:r>
      <w:rPr>
        <w:b/>
        <w:sz w:val="18"/>
      </w:rPr>
      <w:tab/>
      <w:t xml:space="preserve"> </w:t>
    </w:r>
  </w:p>
  <w:p w:rsidR="00025683" w:rsidRDefault="007C2AAB">
    <w:pPr>
      <w:spacing w:after="0" w:line="259" w:lineRule="auto"/>
      <w:ind w:left="0" w:right="-118"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1639697</wp:posOffset>
              </wp:positionH>
              <wp:positionV relativeFrom="page">
                <wp:posOffset>1305306</wp:posOffset>
              </wp:positionV>
              <wp:extent cx="5998846" cy="25908"/>
              <wp:effectExtent l="0" t="0" r="0" b="0"/>
              <wp:wrapSquare wrapText="bothSides"/>
              <wp:docPr id="436283" name="Group 436283"/>
              <wp:cNvGraphicFramePr/>
              <a:graphic xmlns:a="http://schemas.openxmlformats.org/drawingml/2006/main">
                <a:graphicData uri="http://schemas.microsoft.com/office/word/2010/wordprocessingGroup">
                  <wpg:wgp>
                    <wpg:cNvGrpSpPr/>
                    <wpg:grpSpPr>
                      <a:xfrm>
                        <a:off x="0" y="0"/>
                        <a:ext cx="5998846" cy="25908"/>
                        <a:chOff x="0" y="0"/>
                        <a:chExt cx="5998846" cy="25908"/>
                      </a:xfrm>
                    </wpg:grpSpPr>
                    <wps:wsp>
                      <wps:cNvPr id="436284" name="Shape 436284"/>
                      <wps:cNvSpPr/>
                      <wps:spPr>
                        <a:xfrm>
                          <a:off x="0" y="0"/>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6283" style="width:472.35pt;height:2.04pt;position:absolute;mso-position-horizontal-relative:page;mso-position-horizontal:absolute;margin-left:129.11pt;mso-position-vertical-relative:page;margin-top:102.78pt;" coordsize="59988,259">
              <v:shape id="Shape 436284" style="position:absolute;width:59988;height:0;left:0;top:0;" coordsize="5998846,0" path="m0,0l5998846,0">
                <v:stroke weight="2.04pt" endcap="square" joinstyle="miter" miterlimit="10" on="true" color="#993366"/>
                <v:fill on="false" color="#000000" opacity="0"/>
              </v:shape>
              <w10:wrap type="square"/>
            </v:group>
          </w:pict>
        </mc:Fallback>
      </mc:AlternateContent>
    </w:r>
    <w:r>
      <w:rPr>
        <w:rFonts w:ascii="Times New Roman" w:eastAsia="Times New Roman" w:hAnsi="Times New Roman" w:cs="Times New Roman"/>
        <w:sz w:val="24"/>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5683" w:rsidRDefault="007C2AAB">
    <w:pPr>
      <w:spacing w:after="0" w:line="259" w:lineRule="auto"/>
      <w:ind w:left="-2550" w:right="11911"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1619428</wp:posOffset>
              </wp:positionH>
              <wp:positionV relativeFrom="page">
                <wp:posOffset>266700</wp:posOffset>
              </wp:positionV>
              <wp:extent cx="6019115" cy="1061872"/>
              <wp:effectExtent l="0" t="0" r="0" b="0"/>
              <wp:wrapSquare wrapText="bothSides"/>
              <wp:docPr id="436217" name="Group 436217"/>
              <wp:cNvGraphicFramePr/>
              <a:graphic xmlns:a="http://schemas.openxmlformats.org/drawingml/2006/main">
                <a:graphicData uri="http://schemas.microsoft.com/office/word/2010/wordprocessingGroup">
                  <wpg:wgp>
                    <wpg:cNvGrpSpPr/>
                    <wpg:grpSpPr>
                      <a:xfrm>
                        <a:off x="0" y="0"/>
                        <a:ext cx="6019115" cy="1061872"/>
                        <a:chOff x="0" y="0"/>
                        <a:chExt cx="6019115" cy="1061872"/>
                      </a:xfrm>
                    </wpg:grpSpPr>
                    <wps:wsp>
                      <wps:cNvPr id="436218" name="Shape 436218"/>
                      <wps:cNvSpPr/>
                      <wps:spPr>
                        <a:xfrm>
                          <a:off x="20269" y="1038606"/>
                          <a:ext cx="5998846" cy="0"/>
                        </a:xfrm>
                        <a:custGeom>
                          <a:avLst/>
                          <a:gdLst/>
                          <a:ahLst/>
                          <a:cxnLst/>
                          <a:rect l="0" t="0" r="0" b="0"/>
                          <a:pathLst>
                            <a:path w="5998846">
                              <a:moveTo>
                                <a:pt x="0" y="0"/>
                              </a:moveTo>
                              <a:lnTo>
                                <a:pt x="5998846"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436219" name="Picture 436219"/>
                        <pic:cNvPicPr/>
                      </pic:nvPicPr>
                      <pic:blipFill>
                        <a:blip r:embed="rId1"/>
                        <a:stretch>
                          <a:fillRect/>
                        </a:stretch>
                      </pic:blipFill>
                      <pic:spPr>
                        <a:xfrm>
                          <a:off x="34747" y="0"/>
                          <a:ext cx="713232" cy="914400"/>
                        </a:xfrm>
                        <a:prstGeom prst="rect">
                          <a:avLst/>
                        </a:prstGeom>
                      </pic:spPr>
                    </pic:pic>
                    <wps:wsp>
                      <wps:cNvPr id="436221" name="Rectangle 436221"/>
                      <wps:cNvSpPr/>
                      <wps:spPr>
                        <a:xfrm>
                          <a:off x="1071321" y="303833"/>
                          <a:ext cx="37731" cy="151421"/>
                        </a:xfrm>
                        <a:prstGeom prst="rect">
                          <a:avLst/>
                        </a:prstGeom>
                        <a:ln>
                          <a:noFill/>
                        </a:ln>
                      </wps:spPr>
                      <wps:txbx>
                        <w:txbxContent>
                          <w:p w:rsidR="00025683" w:rsidRDefault="007C2AAB">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36222" name="Rectangle 436222"/>
                      <wps:cNvSpPr/>
                      <wps:spPr>
                        <a:xfrm>
                          <a:off x="1071321" y="419291"/>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223" name="Rectangle 436223"/>
                      <wps:cNvSpPr/>
                      <wps:spPr>
                        <a:xfrm>
                          <a:off x="1071321" y="551879"/>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224" name="Rectangle 436224"/>
                      <wps:cNvSpPr/>
                      <wps:spPr>
                        <a:xfrm>
                          <a:off x="1071321" y="683196"/>
                          <a:ext cx="1754427" cy="169502"/>
                        </a:xfrm>
                        <a:prstGeom prst="rect">
                          <a:avLst/>
                        </a:prstGeom>
                        <a:ln>
                          <a:noFill/>
                        </a:ln>
                      </wps:spPr>
                      <wps:txbx>
                        <w:txbxContent>
                          <w:p w:rsidR="00025683" w:rsidRDefault="007C2AAB">
                            <w:pPr>
                              <w:spacing w:after="160" w:line="259" w:lineRule="auto"/>
                              <w:ind w:left="0" w:firstLine="0"/>
                              <w:jc w:val="left"/>
                            </w:pPr>
                            <w:r>
                              <w:rPr>
                                <w:b/>
                                <w:sz w:val="18"/>
                              </w:rPr>
                              <w:t>SECRETARÍA GENERAL</w:t>
                            </w:r>
                          </w:p>
                        </w:txbxContent>
                      </wps:txbx>
                      <wps:bodyPr horzOverflow="overflow" vert="horz" lIns="0" tIns="0" rIns="0" bIns="0" rtlCol="0">
                        <a:noAutofit/>
                      </wps:bodyPr>
                    </wps:wsp>
                    <wps:wsp>
                      <wps:cNvPr id="436225" name="Rectangle 436225"/>
                      <wps:cNvSpPr/>
                      <wps:spPr>
                        <a:xfrm>
                          <a:off x="2393010" y="683196"/>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226" name="Rectangle 436226"/>
                      <wps:cNvSpPr/>
                      <wps:spPr>
                        <a:xfrm>
                          <a:off x="1071321" y="818832"/>
                          <a:ext cx="42236" cy="169502"/>
                        </a:xfrm>
                        <a:prstGeom prst="rect">
                          <a:avLst/>
                        </a:prstGeom>
                        <a:ln>
                          <a:noFill/>
                        </a:ln>
                      </wps:spPr>
                      <wps:txbx>
                        <w:txbxContent>
                          <w:p w:rsidR="00025683" w:rsidRDefault="007C2AAB">
                            <w:pPr>
                              <w:spacing w:after="160" w:line="259" w:lineRule="auto"/>
                              <w:ind w:left="0" w:firstLine="0"/>
                              <w:jc w:val="left"/>
                            </w:pPr>
                            <w:r>
                              <w:rPr>
                                <w:b/>
                                <w:sz w:val="18"/>
                              </w:rPr>
                              <w:t xml:space="preserve"> </w:t>
                            </w:r>
                          </w:p>
                        </w:txbxContent>
                      </wps:txbx>
                      <wps:bodyPr horzOverflow="overflow" vert="horz" lIns="0" tIns="0" rIns="0" bIns="0" rtlCol="0">
                        <a:noAutofit/>
                      </wps:bodyPr>
                    </wps:wsp>
                    <wps:wsp>
                      <wps:cNvPr id="436220" name="Rectangle 436220"/>
                      <wps:cNvSpPr/>
                      <wps:spPr>
                        <a:xfrm>
                          <a:off x="1170381" y="19187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227" name="Rectangle 436227"/>
                      <wps:cNvSpPr/>
                      <wps:spPr>
                        <a:xfrm>
                          <a:off x="0" y="36713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228" name="Rectangle 436228"/>
                      <wps:cNvSpPr/>
                      <wps:spPr>
                        <a:xfrm>
                          <a:off x="0" y="542392"/>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229" name="Rectangle 436229"/>
                      <wps:cNvSpPr/>
                      <wps:spPr>
                        <a:xfrm>
                          <a:off x="0" y="71790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6230" name="Rectangle 436230"/>
                      <wps:cNvSpPr/>
                      <wps:spPr>
                        <a:xfrm>
                          <a:off x="0" y="893166"/>
                          <a:ext cx="50673" cy="224380"/>
                        </a:xfrm>
                        <a:prstGeom prst="rect">
                          <a:avLst/>
                        </a:prstGeom>
                        <a:ln>
                          <a:noFill/>
                        </a:ln>
                      </wps:spPr>
                      <wps:txbx>
                        <w:txbxContent>
                          <w:p w:rsidR="00025683" w:rsidRDefault="007C2AAB">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36217" style="width:473.946pt;height:83.612pt;position:absolute;mso-position-horizontal-relative:page;mso-position-horizontal:absolute;margin-left:127.514pt;mso-position-vertical-relative:page;margin-top:21pt;" coordsize="60191,10618">
              <v:shape id="Shape 436218" style="position:absolute;width:59988;height:0;left:202;top:10386;" coordsize="5998846,0" path="m0,0l5998846,0">
                <v:stroke weight="2.04pt" endcap="square" joinstyle="miter" miterlimit="10" on="true" color="#993366"/>
                <v:fill on="false" color="#000000" opacity="0"/>
              </v:shape>
              <v:shape id="Picture 436219" style="position:absolute;width:7132;height:9144;left:347;top:0;" filled="f">
                <v:imagedata r:id="rId91"/>
              </v:shape>
              <v:rect id="Rectangle 436221" style="position:absolute;width:377;height:1514;left:10713;top:3038;" filled="f" stroked="f">
                <v:textbox inset="0,0,0,0">
                  <w:txbxContent>
                    <w:p>
                      <w:pPr>
                        <w:spacing w:before="0" w:after="160" w:line="259" w:lineRule="auto"/>
                        <w:ind w:left="0" w:firstLine="0"/>
                        <w:jc w:val="left"/>
                      </w:pPr>
                      <w:r>
                        <w:rPr>
                          <w:sz w:val="16"/>
                        </w:rPr>
                        <w:t xml:space="preserve"> </w:t>
                      </w:r>
                    </w:p>
                  </w:txbxContent>
                </v:textbox>
              </v:rect>
              <v:rect id="Rectangle 436222" style="position:absolute;width:422;height:1695;left:10713;top:4192;"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223" style="position:absolute;width:422;height:1695;left:10713;top:551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224" style="position:absolute;width:17544;height:1695;left:10713;top:6831;" filled="f" stroked="f">
                <v:textbox inset="0,0,0,0">
                  <w:txbxContent>
                    <w:p>
                      <w:pPr>
                        <w:spacing w:before="0" w:after="160" w:line="259" w:lineRule="auto"/>
                        <w:ind w:left="0" w:firstLine="0"/>
                        <w:jc w:val="left"/>
                      </w:pPr>
                      <w:r>
                        <w:rPr>
                          <w:rFonts w:cs="Arial" w:hAnsi="Arial" w:eastAsia="Arial" w:ascii="Arial"/>
                          <w:b w:val="1"/>
                          <w:sz w:val="18"/>
                        </w:rPr>
                        <w:t xml:space="preserve">SECRETARÍA GENERAL</w:t>
                      </w:r>
                    </w:p>
                  </w:txbxContent>
                </v:textbox>
              </v:rect>
              <v:rect id="Rectangle 436225" style="position:absolute;width:422;height:1695;left:23930;top:6831;"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226" style="position:absolute;width:422;height:1695;left:10713;top:8188;" filled="f" stroked="f">
                <v:textbox inset="0,0,0,0">
                  <w:txbxContent>
                    <w:p>
                      <w:pPr>
                        <w:spacing w:before="0" w:after="160" w:line="259" w:lineRule="auto"/>
                        <w:ind w:left="0" w:firstLine="0"/>
                        <w:jc w:val="left"/>
                      </w:pPr>
                      <w:r>
                        <w:rPr>
                          <w:rFonts w:cs="Arial" w:hAnsi="Arial" w:eastAsia="Arial" w:ascii="Arial"/>
                          <w:b w:val="1"/>
                          <w:sz w:val="18"/>
                        </w:rPr>
                        <w:t xml:space="preserve"> </w:t>
                      </w:r>
                    </w:p>
                  </w:txbxContent>
                </v:textbox>
              </v:rect>
              <v:rect id="Rectangle 436220" style="position:absolute;width:506;height:2243;left:11703;top:191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227" style="position:absolute;width:506;height:2243;left:0;top:36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228" style="position:absolute;width:506;height:2243;left:0;top:5423;"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229" style="position:absolute;width:506;height:2243;left:0;top:71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436230" style="position:absolute;width:506;height:2243;left:0;top:893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EB5"/>
    <w:multiLevelType w:val="hybridMultilevel"/>
    <w:tmpl w:val="1BECB110"/>
    <w:lvl w:ilvl="0" w:tplc="2468107A">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034E3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CAC4E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389E3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CEA2F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44FE8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FCF7D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BC98C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0F039B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57495B"/>
    <w:multiLevelType w:val="hybridMultilevel"/>
    <w:tmpl w:val="C61CA8B4"/>
    <w:lvl w:ilvl="0" w:tplc="A0FAFDE2">
      <w:start w:val="1"/>
      <w:numFmt w:val="decimal"/>
      <w:lvlText w:val="%1."/>
      <w:lvlJc w:val="left"/>
      <w:pPr>
        <w:ind w:left="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9AE949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876B858">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93F6C28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2FCE55E">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000AC010">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81A7A7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16A0CDA">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9BC1B90">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0753728"/>
    <w:multiLevelType w:val="hybridMultilevel"/>
    <w:tmpl w:val="953825E4"/>
    <w:lvl w:ilvl="0" w:tplc="16BC73DE">
      <w:start w:val="3"/>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81810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0882C7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3EA6F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F2C85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B04FA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F0FC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D2B69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5E15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B144BF"/>
    <w:multiLevelType w:val="hybridMultilevel"/>
    <w:tmpl w:val="091CD390"/>
    <w:lvl w:ilvl="0" w:tplc="E178741A">
      <w:start w:val="1"/>
      <w:numFmt w:val="decimal"/>
      <w:lvlText w:val="%1."/>
      <w:lvlJc w:val="left"/>
      <w:pPr>
        <w:ind w:left="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0420DE">
      <w:start w:val="1"/>
      <w:numFmt w:val="lowerLetter"/>
      <w:lvlText w:val="%2"/>
      <w:lvlJc w:val="left"/>
      <w:pPr>
        <w:ind w:left="10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DE8363E">
      <w:start w:val="1"/>
      <w:numFmt w:val="lowerRoman"/>
      <w:lvlText w:val="%3"/>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844A2E">
      <w:start w:val="1"/>
      <w:numFmt w:val="decimal"/>
      <w:lvlText w:val="%4"/>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D49CB0">
      <w:start w:val="1"/>
      <w:numFmt w:val="lowerLetter"/>
      <w:lvlText w:val="%5"/>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1061DA">
      <w:start w:val="1"/>
      <w:numFmt w:val="lowerRoman"/>
      <w:lvlText w:val="%6"/>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2C0300">
      <w:start w:val="1"/>
      <w:numFmt w:val="decimal"/>
      <w:lvlText w:val="%7"/>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8CEE1F4">
      <w:start w:val="1"/>
      <w:numFmt w:val="lowerLetter"/>
      <w:lvlText w:val="%8"/>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9E6C4E">
      <w:start w:val="1"/>
      <w:numFmt w:val="lowerRoman"/>
      <w:lvlText w:val="%9"/>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2234E2"/>
    <w:multiLevelType w:val="hybridMultilevel"/>
    <w:tmpl w:val="04C44BDC"/>
    <w:lvl w:ilvl="0" w:tplc="85E41A66">
      <w:start w:val="5"/>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CE0F7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4AE8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02DB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7DA8EF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1CB2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72EBB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4C9A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DA84D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1E60BD"/>
    <w:multiLevelType w:val="hybridMultilevel"/>
    <w:tmpl w:val="F510019E"/>
    <w:lvl w:ilvl="0" w:tplc="497C6992">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B8C40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74AA39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24130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18EE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46E5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14E8E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0E58C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F84FD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2691776"/>
    <w:multiLevelType w:val="hybridMultilevel"/>
    <w:tmpl w:val="851618CA"/>
    <w:lvl w:ilvl="0" w:tplc="54F6D16C">
      <w:start w:val="3"/>
      <w:numFmt w:val="lowerLetter"/>
      <w:lvlText w:val="%1)"/>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8CAAAE0">
      <w:start w:val="1"/>
      <w:numFmt w:val="lowerLetter"/>
      <w:lvlText w:val="%2"/>
      <w:lvlJc w:val="left"/>
      <w:pPr>
        <w:ind w:left="14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E9A97A4">
      <w:start w:val="1"/>
      <w:numFmt w:val="lowerRoman"/>
      <w:lvlText w:val="%3"/>
      <w:lvlJc w:val="left"/>
      <w:pPr>
        <w:ind w:left="21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CDC464C">
      <w:start w:val="1"/>
      <w:numFmt w:val="decimal"/>
      <w:lvlText w:val="%4"/>
      <w:lvlJc w:val="left"/>
      <w:pPr>
        <w:ind w:left="29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9922BC2">
      <w:start w:val="1"/>
      <w:numFmt w:val="lowerLetter"/>
      <w:lvlText w:val="%5"/>
      <w:lvlJc w:val="left"/>
      <w:pPr>
        <w:ind w:left="36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A46E6FC">
      <w:start w:val="1"/>
      <w:numFmt w:val="lowerRoman"/>
      <w:lvlText w:val="%6"/>
      <w:lvlJc w:val="left"/>
      <w:pPr>
        <w:ind w:left="43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082BEE4">
      <w:start w:val="1"/>
      <w:numFmt w:val="decimal"/>
      <w:lvlText w:val="%7"/>
      <w:lvlJc w:val="left"/>
      <w:pPr>
        <w:ind w:left="50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5FA5574">
      <w:start w:val="1"/>
      <w:numFmt w:val="lowerLetter"/>
      <w:lvlText w:val="%8"/>
      <w:lvlJc w:val="left"/>
      <w:pPr>
        <w:ind w:left="57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8EE5F4A">
      <w:start w:val="1"/>
      <w:numFmt w:val="lowerRoman"/>
      <w:lvlText w:val="%9"/>
      <w:lvlJc w:val="left"/>
      <w:pPr>
        <w:ind w:left="65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2D43C80"/>
    <w:multiLevelType w:val="hybridMultilevel"/>
    <w:tmpl w:val="8528F3F6"/>
    <w:lvl w:ilvl="0" w:tplc="E460FD2C">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B7AA5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5EACC6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F21A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20E4C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A2A48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1120C7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DCCCEB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9EEF8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33112CE"/>
    <w:multiLevelType w:val="hybridMultilevel"/>
    <w:tmpl w:val="2F0AEEF4"/>
    <w:lvl w:ilvl="0" w:tplc="A57E4732">
      <w:start w:val="1"/>
      <w:numFmt w:val="decimal"/>
      <w:lvlText w:val="%1."/>
      <w:lvlJc w:val="left"/>
      <w:pPr>
        <w:ind w:left="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780B6B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1DAFBB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D26DBB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6AE83F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7380A6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3F8397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536E17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7C03D3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3EF0DB9"/>
    <w:multiLevelType w:val="hybridMultilevel"/>
    <w:tmpl w:val="422E4EDA"/>
    <w:lvl w:ilvl="0" w:tplc="6B620982">
      <w:start w:val="1"/>
      <w:numFmt w:val="lowerLetter"/>
      <w:lvlText w:val="%1)"/>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7DC6FD2">
      <w:start w:val="3"/>
      <w:numFmt w:val="decimal"/>
      <w:lvlText w:val="%2."/>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76C536A">
      <w:start w:val="1"/>
      <w:numFmt w:val="lowerRoman"/>
      <w:lvlText w:val="%3"/>
      <w:lvlJc w:val="left"/>
      <w:pPr>
        <w:ind w:left="15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C60FB12">
      <w:start w:val="1"/>
      <w:numFmt w:val="decimal"/>
      <w:lvlText w:val="%4"/>
      <w:lvlJc w:val="left"/>
      <w:pPr>
        <w:ind w:left="23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8667E3C">
      <w:start w:val="1"/>
      <w:numFmt w:val="lowerLetter"/>
      <w:lvlText w:val="%5"/>
      <w:lvlJc w:val="left"/>
      <w:pPr>
        <w:ind w:left="30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43E8D8A">
      <w:start w:val="1"/>
      <w:numFmt w:val="lowerRoman"/>
      <w:lvlText w:val="%6"/>
      <w:lvlJc w:val="left"/>
      <w:pPr>
        <w:ind w:left="37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06C5E86">
      <w:start w:val="1"/>
      <w:numFmt w:val="decimal"/>
      <w:lvlText w:val="%7"/>
      <w:lvlJc w:val="left"/>
      <w:pPr>
        <w:ind w:left="44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2CABCFE">
      <w:start w:val="1"/>
      <w:numFmt w:val="lowerLetter"/>
      <w:lvlText w:val="%8"/>
      <w:lvlJc w:val="left"/>
      <w:pPr>
        <w:ind w:left="51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736B65C">
      <w:start w:val="1"/>
      <w:numFmt w:val="lowerRoman"/>
      <w:lvlText w:val="%9"/>
      <w:lvlJc w:val="left"/>
      <w:pPr>
        <w:ind w:left="59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5105D8B"/>
    <w:multiLevelType w:val="hybridMultilevel"/>
    <w:tmpl w:val="DFBE1D5A"/>
    <w:lvl w:ilvl="0" w:tplc="664CFDBA">
      <w:start w:val="3"/>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C432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B4A54E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28381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BE65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34CEF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312C5B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44A8A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DA6B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5193C6A"/>
    <w:multiLevelType w:val="hybridMultilevel"/>
    <w:tmpl w:val="E57ECBC8"/>
    <w:lvl w:ilvl="0" w:tplc="45DC5A28">
      <w:start w:val="3"/>
      <w:numFmt w:val="decimal"/>
      <w:lvlText w:val="%1."/>
      <w:lvlJc w:val="left"/>
      <w:pPr>
        <w:ind w:left="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C4B8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88DDA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80AD1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2CD2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948C8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9CF3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F68F6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C3027E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5670319"/>
    <w:multiLevelType w:val="hybridMultilevel"/>
    <w:tmpl w:val="F09645B8"/>
    <w:lvl w:ilvl="0" w:tplc="FD80C9D6">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6C0E7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50B4E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AAAFD3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86AAF3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E4D0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A87F8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BA6CA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3636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60E6BD8"/>
    <w:multiLevelType w:val="hybridMultilevel"/>
    <w:tmpl w:val="12C80A84"/>
    <w:lvl w:ilvl="0" w:tplc="B106C494">
      <w:start w:val="2"/>
      <w:numFmt w:val="lowerLetter"/>
      <w:lvlText w:val="%1)"/>
      <w:lvlJc w:val="left"/>
      <w:pPr>
        <w:ind w:left="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F05B8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92436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9E66E2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3079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D6C43A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94AA7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6ADC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C922F5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6940B96"/>
    <w:multiLevelType w:val="hybridMultilevel"/>
    <w:tmpl w:val="56FEE16E"/>
    <w:lvl w:ilvl="0" w:tplc="B7A2502E">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63C71D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D067EC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532D11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A8150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6230B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F6630E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B06FF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605C2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76E4A18"/>
    <w:multiLevelType w:val="hybridMultilevel"/>
    <w:tmpl w:val="7AFE02D2"/>
    <w:lvl w:ilvl="0" w:tplc="8C841C56">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B46DC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9CFB1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8DADF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84A39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B233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5EF1B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C0A7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62B9C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7AE44F4"/>
    <w:multiLevelType w:val="hybridMultilevel"/>
    <w:tmpl w:val="EBC45AC0"/>
    <w:lvl w:ilvl="0" w:tplc="E1ECDDFA">
      <w:start w:val="1"/>
      <w:numFmt w:val="lowerLetter"/>
      <w:lvlText w:val="%1)"/>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5E9F2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BC40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CC934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EAF82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52421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0463A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B2D8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E27F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9082671"/>
    <w:multiLevelType w:val="hybridMultilevel"/>
    <w:tmpl w:val="FAE855E8"/>
    <w:lvl w:ilvl="0" w:tplc="18E8D1B2">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1D2438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6F462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D031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DEE556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BE28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D02DF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56064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8AAC3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95C36CF"/>
    <w:multiLevelType w:val="hybridMultilevel"/>
    <w:tmpl w:val="A5F8BB34"/>
    <w:lvl w:ilvl="0" w:tplc="64989AEA">
      <w:start w:val="1"/>
      <w:numFmt w:val="decimal"/>
      <w:lvlText w:val="%1."/>
      <w:lvlJc w:val="left"/>
      <w:pPr>
        <w:ind w:left="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AA15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6AA6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8C41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C08F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9C65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0AFF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D8D5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7080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9DC6585"/>
    <w:multiLevelType w:val="hybridMultilevel"/>
    <w:tmpl w:val="E04EC82C"/>
    <w:lvl w:ilvl="0" w:tplc="DCDED3E4">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2E040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190261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FE7D8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B013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CFCF41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9229F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2620F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7761F3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A077276"/>
    <w:multiLevelType w:val="hybridMultilevel"/>
    <w:tmpl w:val="B0566FA8"/>
    <w:lvl w:ilvl="0" w:tplc="09D0E78A">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10FE0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4E387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D0CA6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E0FB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10BA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F5A2A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01A852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41298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AB154EC"/>
    <w:multiLevelType w:val="hybridMultilevel"/>
    <w:tmpl w:val="3B768246"/>
    <w:lvl w:ilvl="0" w:tplc="45E243F8">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0AA4D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1693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16AE3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08E32E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7C4F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70A5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4AED24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89AAD2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AC421A9"/>
    <w:multiLevelType w:val="hybridMultilevel"/>
    <w:tmpl w:val="FE0A6B52"/>
    <w:lvl w:ilvl="0" w:tplc="BFF0F328">
      <w:start w:val="1"/>
      <w:numFmt w:val="lowerLetter"/>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A224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A4FF6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D41E1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D7A71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8432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FD2B1A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2EE0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F476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0B88212C"/>
    <w:multiLevelType w:val="hybridMultilevel"/>
    <w:tmpl w:val="8FF2D0D2"/>
    <w:lvl w:ilvl="0" w:tplc="A572728C">
      <w:start w:val="1"/>
      <w:numFmt w:val="lowerLetter"/>
      <w:lvlText w:val="%1)"/>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C0CE5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B647D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08F75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8833A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116A48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15090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CC5B3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674A4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0C1F24C2"/>
    <w:multiLevelType w:val="hybridMultilevel"/>
    <w:tmpl w:val="D30286D4"/>
    <w:lvl w:ilvl="0" w:tplc="0D96AB24">
      <w:start w:val="1"/>
      <w:numFmt w:val="lowerLetter"/>
      <w:lvlText w:val="%1)"/>
      <w:lvlJc w:val="left"/>
      <w:pPr>
        <w:ind w:left="4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4654F2">
      <w:start w:val="1"/>
      <w:numFmt w:val="lowerLetter"/>
      <w:lvlText w:val="%2"/>
      <w:lvlJc w:val="left"/>
      <w:pPr>
        <w:ind w:left="12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99624D4">
      <w:start w:val="1"/>
      <w:numFmt w:val="lowerRoman"/>
      <w:lvlText w:val="%3"/>
      <w:lvlJc w:val="left"/>
      <w:pPr>
        <w:ind w:left="19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5A2ABE">
      <w:start w:val="1"/>
      <w:numFmt w:val="decimal"/>
      <w:lvlText w:val="%4"/>
      <w:lvlJc w:val="left"/>
      <w:pPr>
        <w:ind w:left="2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38A1CE">
      <w:start w:val="1"/>
      <w:numFmt w:val="lowerLetter"/>
      <w:lvlText w:val="%5"/>
      <w:lvlJc w:val="left"/>
      <w:pPr>
        <w:ind w:left="3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D2FC24">
      <w:start w:val="1"/>
      <w:numFmt w:val="lowerRoman"/>
      <w:lvlText w:val="%6"/>
      <w:lvlJc w:val="left"/>
      <w:pPr>
        <w:ind w:left="41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E033EA">
      <w:start w:val="1"/>
      <w:numFmt w:val="decimal"/>
      <w:lvlText w:val="%7"/>
      <w:lvlJc w:val="left"/>
      <w:pPr>
        <w:ind w:left="48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2AC0DA">
      <w:start w:val="1"/>
      <w:numFmt w:val="lowerLetter"/>
      <w:lvlText w:val="%8"/>
      <w:lvlJc w:val="left"/>
      <w:pPr>
        <w:ind w:left="55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14A87A">
      <w:start w:val="1"/>
      <w:numFmt w:val="lowerRoman"/>
      <w:lvlText w:val="%9"/>
      <w:lvlJc w:val="left"/>
      <w:pPr>
        <w:ind w:left="63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C3B72C2"/>
    <w:multiLevelType w:val="hybridMultilevel"/>
    <w:tmpl w:val="B0CC235A"/>
    <w:lvl w:ilvl="0" w:tplc="A6188C9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288E098">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83A2F8A">
      <w:start w:val="1"/>
      <w:numFmt w:val="lowerLetter"/>
      <w:lvlRestart w:val="0"/>
      <w:lvlText w:val="%3)"/>
      <w:lvlJc w:val="left"/>
      <w:pPr>
        <w:ind w:left="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64C6EDA">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1D80C0C">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6EC1A8">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3ADF62">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48F37A">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7626528">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CEB4B96"/>
    <w:multiLevelType w:val="hybridMultilevel"/>
    <w:tmpl w:val="E6CCC4F2"/>
    <w:lvl w:ilvl="0" w:tplc="2982D5CE">
      <w:start w:val="1"/>
      <w:numFmt w:val="bullet"/>
      <w:lvlText w:val="•"/>
      <w:lvlJc w:val="left"/>
      <w:pPr>
        <w:ind w:left="7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C6267D4">
      <w:start w:val="1"/>
      <w:numFmt w:val="bullet"/>
      <w:lvlText w:val="o"/>
      <w:lvlJc w:val="left"/>
      <w:pPr>
        <w:ind w:left="145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9A181F64">
      <w:start w:val="1"/>
      <w:numFmt w:val="bullet"/>
      <w:lvlText w:val="▪"/>
      <w:lvlJc w:val="left"/>
      <w:pPr>
        <w:ind w:left="217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C7048270">
      <w:start w:val="1"/>
      <w:numFmt w:val="bullet"/>
      <w:lvlText w:val="•"/>
      <w:lvlJc w:val="left"/>
      <w:pPr>
        <w:ind w:left="28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BC8E264">
      <w:start w:val="1"/>
      <w:numFmt w:val="bullet"/>
      <w:lvlText w:val="o"/>
      <w:lvlJc w:val="left"/>
      <w:pPr>
        <w:ind w:left="361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B094CD08">
      <w:start w:val="1"/>
      <w:numFmt w:val="bullet"/>
      <w:lvlText w:val="▪"/>
      <w:lvlJc w:val="left"/>
      <w:pPr>
        <w:ind w:left="433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403A7656">
      <w:start w:val="1"/>
      <w:numFmt w:val="bullet"/>
      <w:lvlText w:val="•"/>
      <w:lvlJc w:val="left"/>
      <w:pPr>
        <w:ind w:left="50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07C67BC">
      <w:start w:val="1"/>
      <w:numFmt w:val="bullet"/>
      <w:lvlText w:val="o"/>
      <w:lvlJc w:val="left"/>
      <w:pPr>
        <w:ind w:left="577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249E14AC">
      <w:start w:val="1"/>
      <w:numFmt w:val="bullet"/>
      <w:lvlText w:val="▪"/>
      <w:lvlJc w:val="left"/>
      <w:pPr>
        <w:ind w:left="649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27" w15:restartNumberingAfterBreak="0">
    <w:nsid w:val="0D3558F9"/>
    <w:multiLevelType w:val="hybridMultilevel"/>
    <w:tmpl w:val="3DEACA60"/>
    <w:lvl w:ilvl="0" w:tplc="671CF25E">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F020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F8560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1C904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96FE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D25B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E043E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22C38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21023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D856AFD"/>
    <w:multiLevelType w:val="hybridMultilevel"/>
    <w:tmpl w:val="81004E76"/>
    <w:lvl w:ilvl="0" w:tplc="7D769B08">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F8A1A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D6860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ECCEC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E288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B6CAC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2D278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72ED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94BC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E1C07B2"/>
    <w:multiLevelType w:val="hybridMultilevel"/>
    <w:tmpl w:val="DBD06EF2"/>
    <w:lvl w:ilvl="0" w:tplc="C5D4F15A">
      <w:start w:val="1"/>
      <w:numFmt w:val="decimal"/>
      <w:lvlText w:val="%1."/>
      <w:lvlJc w:val="left"/>
      <w:pPr>
        <w:ind w:left="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3160B4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9ABE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F220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4AD6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3E4B13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AC5B6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22D0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3CCF3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F39255E"/>
    <w:multiLevelType w:val="hybridMultilevel"/>
    <w:tmpl w:val="94ACF138"/>
    <w:lvl w:ilvl="0" w:tplc="9424A9BA">
      <w:start w:val="4"/>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16DE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8A2D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8A20D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A035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4A6F93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0A57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386499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6C916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F9C0AD1"/>
    <w:multiLevelType w:val="hybridMultilevel"/>
    <w:tmpl w:val="69381A74"/>
    <w:lvl w:ilvl="0" w:tplc="5CD6015C">
      <w:start w:val="1"/>
      <w:numFmt w:val="lowerLetter"/>
      <w:lvlText w:val="%1)"/>
      <w:lvlJc w:val="left"/>
      <w:pPr>
        <w:ind w:left="4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7C4593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E388E8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CFC615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79A6AD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B10926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78AD2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5219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C8C41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F9C0CE9"/>
    <w:multiLevelType w:val="hybridMultilevel"/>
    <w:tmpl w:val="E0441AEC"/>
    <w:lvl w:ilvl="0" w:tplc="148E040E">
      <w:start w:val="3"/>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FC598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8E76A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9D8676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7CB1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D6DE7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36A2E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561EF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138685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FD4602A"/>
    <w:multiLevelType w:val="hybridMultilevel"/>
    <w:tmpl w:val="E27AF21A"/>
    <w:lvl w:ilvl="0" w:tplc="67E2DB50">
      <w:start w:val="3"/>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07A466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D22CED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DCA29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E702F8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314A3C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FEF1B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1CA1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36DD4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0C22121"/>
    <w:multiLevelType w:val="hybridMultilevel"/>
    <w:tmpl w:val="6542F670"/>
    <w:lvl w:ilvl="0" w:tplc="F2007EA2">
      <w:start w:val="1"/>
      <w:numFmt w:val="lowerLetter"/>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3259B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06AEF0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0090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98902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3C21D3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F2D2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C4D66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922267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1C73DF9"/>
    <w:multiLevelType w:val="hybridMultilevel"/>
    <w:tmpl w:val="6838CCE6"/>
    <w:lvl w:ilvl="0" w:tplc="3FE0C0D0">
      <w:start w:val="1"/>
      <w:numFmt w:val="decimal"/>
      <w:lvlText w:val="%1."/>
      <w:lvlJc w:val="left"/>
      <w:pPr>
        <w:ind w:left="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EE45E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0CA01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01ECA9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1C467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483A2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3FE3A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734459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E6365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2142DD3"/>
    <w:multiLevelType w:val="hybridMultilevel"/>
    <w:tmpl w:val="67D6F97A"/>
    <w:lvl w:ilvl="0" w:tplc="84148A08">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D96A528">
      <w:start w:val="1"/>
      <w:numFmt w:val="lowerLetter"/>
      <w:lvlText w:val="%2)"/>
      <w:lvlJc w:val="left"/>
      <w:pPr>
        <w:ind w:left="3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E68CC0">
      <w:start w:val="1"/>
      <w:numFmt w:val="lowerRoman"/>
      <w:lvlText w:val="%3"/>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248226E">
      <w:start w:val="1"/>
      <w:numFmt w:val="decimal"/>
      <w:lvlText w:val="%4"/>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D448C28">
      <w:start w:val="1"/>
      <w:numFmt w:val="lowerLetter"/>
      <w:lvlText w:val="%5"/>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60DF32">
      <w:start w:val="1"/>
      <w:numFmt w:val="lowerRoman"/>
      <w:lvlText w:val="%6"/>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3AFAD2">
      <w:start w:val="1"/>
      <w:numFmt w:val="decimal"/>
      <w:lvlText w:val="%7"/>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7F24C2E">
      <w:start w:val="1"/>
      <w:numFmt w:val="lowerLetter"/>
      <w:lvlText w:val="%8"/>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F2BEBA">
      <w:start w:val="1"/>
      <w:numFmt w:val="lowerRoman"/>
      <w:lvlText w:val="%9"/>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1220196C"/>
    <w:multiLevelType w:val="hybridMultilevel"/>
    <w:tmpl w:val="CF022026"/>
    <w:lvl w:ilvl="0" w:tplc="A2E808F2">
      <w:start w:val="2"/>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BEBE7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E48A3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B6BD6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2097C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186DC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463FD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5AA68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30AF6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292266F"/>
    <w:multiLevelType w:val="hybridMultilevel"/>
    <w:tmpl w:val="3A8A0E84"/>
    <w:lvl w:ilvl="0" w:tplc="46767FE2">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5AAB2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92DD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D815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DC499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B4226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4032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5AFD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FCE7D1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4006C57"/>
    <w:multiLevelType w:val="hybridMultilevel"/>
    <w:tmpl w:val="1F86A372"/>
    <w:lvl w:ilvl="0" w:tplc="D6C28F56">
      <w:start w:val="1"/>
      <w:numFmt w:val="lowerLetter"/>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5A6E0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FAA238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8D4E39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18989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86D7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BE6B5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738804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8C59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4315FFB"/>
    <w:multiLevelType w:val="hybridMultilevel"/>
    <w:tmpl w:val="BF12A51C"/>
    <w:lvl w:ilvl="0" w:tplc="AC46A450">
      <w:start w:val="2"/>
      <w:numFmt w:val="decimal"/>
      <w:lvlText w:val="%1."/>
      <w:lvlJc w:val="left"/>
      <w:pPr>
        <w:ind w:left="67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4C4F166">
      <w:start w:val="1"/>
      <w:numFmt w:val="lowerLetter"/>
      <w:lvlText w:val="%2"/>
      <w:lvlJc w:val="left"/>
      <w:pPr>
        <w:ind w:left="13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FF0BCBC">
      <w:start w:val="1"/>
      <w:numFmt w:val="lowerRoman"/>
      <w:lvlText w:val="%3"/>
      <w:lvlJc w:val="left"/>
      <w:pPr>
        <w:ind w:left="20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B90C8AE">
      <w:start w:val="1"/>
      <w:numFmt w:val="decimal"/>
      <w:lvlText w:val="%4"/>
      <w:lvlJc w:val="left"/>
      <w:pPr>
        <w:ind w:left="27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1E8F854">
      <w:start w:val="1"/>
      <w:numFmt w:val="lowerLetter"/>
      <w:lvlText w:val="%5"/>
      <w:lvlJc w:val="left"/>
      <w:pPr>
        <w:ind w:left="34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4CC203FE">
      <w:start w:val="1"/>
      <w:numFmt w:val="lowerRoman"/>
      <w:lvlText w:val="%6"/>
      <w:lvlJc w:val="left"/>
      <w:pPr>
        <w:ind w:left="41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4D0C89E">
      <w:start w:val="1"/>
      <w:numFmt w:val="decimal"/>
      <w:lvlText w:val="%7"/>
      <w:lvlJc w:val="left"/>
      <w:pPr>
        <w:ind w:left="49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CAFA939C">
      <w:start w:val="1"/>
      <w:numFmt w:val="lowerLetter"/>
      <w:lvlText w:val="%8"/>
      <w:lvlJc w:val="left"/>
      <w:pPr>
        <w:ind w:left="56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40CD180">
      <w:start w:val="1"/>
      <w:numFmt w:val="lowerRoman"/>
      <w:lvlText w:val="%9"/>
      <w:lvlJc w:val="left"/>
      <w:pPr>
        <w:ind w:left="63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147206FB"/>
    <w:multiLevelType w:val="hybridMultilevel"/>
    <w:tmpl w:val="1C52E368"/>
    <w:lvl w:ilvl="0" w:tplc="A0267872">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BB05E8C">
      <w:start w:val="1"/>
      <w:numFmt w:val="lowerLetter"/>
      <w:lvlText w:val="%2"/>
      <w:lvlJc w:val="left"/>
      <w:pPr>
        <w:ind w:left="1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80F3FC">
      <w:start w:val="1"/>
      <w:numFmt w:val="lowerRoman"/>
      <w:lvlText w:val="%3"/>
      <w:lvlJc w:val="left"/>
      <w:pPr>
        <w:ind w:left="20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066B88">
      <w:start w:val="1"/>
      <w:numFmt w:val="decimal"/>
      <w:lvlText w:val="%4"/>
      <w:lvlJc w:val="left"/>
      <w:pPr>
        <w:ind w:left="2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B030F2">
      <w:start w:val="1"/>
      <w:numFmt w:val="lowerLetter"/>
      <w:lvlText w:val="%5"/>
      <w:lvlJc w:val="left"/>
      <w:pPr>
        <w:ind w:left="3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E8A09A">
      <w:start w:val="1"/>
      <w:numFmt w:val="lowerRoman"/>
      <w:lvlText w:val="%6"/>
      <w:lvlJc w:val="left"/>
      <w:pPr>
        <w:ind w:left="42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320502E">
      <w:start w:val="1"/>
      <w:numFmt w:val="decimal"/>
      <w:lvlText w:val="%7"/>
      <w:lvlJc w:val="left"/>
      <w:pPr>
        <w:ind w:left="49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E3A6D4C">
      <w:start w:val="1"/>
      <w:numFmt w:val="lowerLetter"/>
      <w:lvlText w:val="%8"/>
      <w:lvlJc w:val="left"/>
      <w:pPr>
        <w:ind w:left="56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48C96C">
      <w:start w:val="1"/>
      <w:numFmt w:val="lowerRoman"/>
      <w:lvlText w:val="%9"/>
      <w:lvlJc w:val="left"/>
      <w:pPr>
        <w:ind w:left="6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4E13ACE"/>
    <w:multiLevelType w:val="hybridMultilevel"/>
    <w:tmpl w:val="7DC6AC2E"/>
    <w:lvl w:ilvl="0" w:tplc="1038912E">
      <w:start w:val="1"/>
      <w:numFmt w:val="bullet"/>
      <w:lvlText w:val="•"/>
      <w:lvlJc w:val="left"/>
      <w:pPr>
        <w:ind w:left="7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9900048">
      <w:start w:val="1"/>
      <w:numFmt w:val="bullet"/>
      <w:lvlText w:val="o"/>
      <w:lvlJc w:val="left"/>
      <w:pPr>
        <w:ind w:left="145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1E32E9CC">
      <w:start w:val="1"/>
      <w:numFmt w:val="bullet"/>
      <w:lvlText w:val="▪"/>
      <w:lvlJc w:val="left"/>
      <w:pPr>
        <w:ind w:left="217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808F70C">
      <w:start w:val="1"/>
      <w:numFmt w:val="bullet"/>
      <w:lvlText w:val="•"/>
      <w:lvlJc w:val="left"/>
      <w:pPr>
        <w:ind w:left="28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5DC7724">
      <w:start w:val="1"/>
      <w:numFmt w:val="bullet"/>
      <w:lvlText w:val="o"/>
      <w:lvlJc w:val="left"/>
      <w:pPr>
        <w:ind w:left="361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1EF27ED2">
      <w:start w:val="1"/>
      <w:numFmt w:val="bullet"/>
      <w:lvlText w:val="▪"/>
      <w:lvlJc w:val="left"/>
      <w:pPr>
        <w:ind w:left="433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B778201A">
      <w:start w:val="1"/>
      <w:numFmt w:val="bullet"/>
      <w:lvlText w:val="•"/>
      <w:lvlJc w:val="left"/>
      <w:pPr>
        <w:ind w:left="50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E6817B2">
      <w:start w:val="1"/>
      <w:numFmt w:val="bullet"/>
      <w:lvlText w:val="o"/>
      <w:lvlJc w:val="left"/>
      <w:pPr>
        <w:ind w:left="577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79FADB60">
      <w:start w:val="1"/>
      <w:numFmt w:val="bullet"/>
      <w:lvlText w:val="▪"/>
      <w:lvlJc w:val="left"/>
      <w:pPr>
        <w:ind w:left="649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3" w15:restartNumberingAfterBreak="0">
    <w:nsid w:val="14F4778E"/>
    <w:multiLevelType w:val="hybridMultilevel"/>
    <w:tmpl w:val="8CE00AEE"/>
    <w:lvl w:ilvl="0" w:tplc="C6D8CB34">
      <w:start w:val="1"/>
      <w:numFmt w:val="lowerLetter"/>
      <w:lvlText w:val="%1)"/>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568D454">
      <w:start w:val="3"/>
      <w:numFmt w:val="decimal"/>
      <w:lvlText w:val="%2."/>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8901BDC">
      <w:start w:val="1"/>
      <w:numFmt w:val="lowerRoman"/>
      <w:lvlText w:val="%3"/>
      <w:lvlJc w:val="left"/>
      <w:pPr>
        <w:ind w:left="15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1D20964">
      <w:start w:val="1"/>
      <w:numFmt w:val="decimal"/>
      <w:lvlText w:val="%4"/>
      <w:lvlJc w:val="left"/>
      <w:pPr>
        <w:ind w:left="23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C225A7A">
      <w:start w:val="1"/>
      <w:numFmt w:val="lowerLetter"/>
      <w:lvlText w:val="%5"/>
      <w:lvlJc w:val="left"/>
      <w:pPr>
        <w:ind w:left="30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B5A8F5A">
      <w:start w:val="1"/>
      <w:numFmt w:val="lowerRoman"/>
      <w:lvlText w:val="%6"/>
      <w:lvlJc w:val="left"/>
      <w:pPr>
        <w:ind w:left="37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14A8538">
      <w:start w:val="1"/>
      <w:numFmt w:val="decimal"/>
      <w:lvlText w:val="%7"/>
      <w:lvlJc w:val="left"/>
      <w:pPr>
        <w:ind w:left="44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C562544">
      <w:start w:val="1"/>
      <w:numFmt w:val="lowerLetter"/>
      <w:lvlText w:val="%8"/>
      <w:lvlJc w:val="left"/>
      <w:pPr>
        <w:ind w:left="51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EFE7B44">
      <w:start w:val="1"/>
      <w:numFmt w:val="lowerRoman"/>
      <w:lvlText w:val="%9"/>
      <w:lvlJc w:val="left"/>
      <w:pPr>
        <w:ind w:left="59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5B61FB0"/>
    <w:multiLevelType w:val="hybridMultilevel"/>
    <w:tmpl w:val="B39258E0"/>
    <w:lvl w:ilvl="0" w:tplc="E49830D6">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68875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E4A8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A8062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24A04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AEC1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0ED6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668D8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0C41D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5D378B5"/>
    <w:multiLevelType w:val="hybridMultilevel"/>
    <w:tmpl w:val="0FF22E48"/>
    <w:lvl w:ilvl="0" w:tplc="C9463C7E">
      <w:start w:val="1"/>
      <w:numFmt w:val="lowerLetter"/>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52D7E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5635E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5294E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416C9D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0E66A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1C76C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909C0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7C949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5D6583E"/>
    <w:multiLevelType w:val="hybridMultilevel"/>
    <w:tmpl w:val="0FB61944"/>
    <w:lvl w:ilvl="0" w:tplc="A1ACCC5E">
      <w:start w:val="1"/>
      <w:numFmt w:val="lowerLetter"/>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1672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6B22E9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3A45A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B01D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A4EF2F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A5C7EE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86AC1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72993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16237EC3"/>
    <w:multiLevelType w:val="hybridMultilevel"/>
    <w:tmpl w:val="8A380D8A"/>
    <w:lvl w:ilvl="0" w:tplc="EA1847EA">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91ACB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8A6EC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90082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7A2C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C5CCD5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95CF8C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6EAC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BE839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67D6287"/>
    <w:multiLevelType w:val="hybridMultilevel"/>
    <w:tmpl w:val="49FE1BD0"/>
    <w:lvl w:ilvl="0" w:tplc="759C6B52">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28E8E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F8C4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FE55C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4C5C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F8F76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3E78A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D479D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A2680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6FC058D"/>
    <w:multiLevelType w:val="hybridMultilevel"/>
    <w:tmpl w:val="496C2B6C"/>
    <w:lvl w:ilvl="0" w:tplc="4B6E471A">
      <w:start w:val="1"/>
      <w:numFmt w:val="lowerLetter"/>
      <w:lvlText w:val="%1."/>
      <w:lvlJc w:val="left"/>
      <w:pPr>
        <w:ind w:left="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61C7BD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51744DA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A7AD77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0D288C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94A6A3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5ACD47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E0CE0C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DEC1ED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179D0A20"/>
    <w:multiLevelType w:val="hybridMultilevel"/>
    <w:tmpl w:val="39C836AE"/>
    <w:lvl w:ilvl="0" w:tplc="3B72E152">
      <w:start w:val="2"/>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44EC0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1E3B2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A28E0B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F28E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3839B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A14E1B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96E61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DE11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17A71B1F"/>
    <w:multiLevelType w:val="hybridMultilevel"/>
    <w:tmpl w:val="753C1DD8"/>
    <w:lvl w:ilvl="0" w:tplc="269EFD62">
      <w:start w:val="1"/>
      <w:numFmt w:val="lowerLetter"/>
      <w:lvlText w:val="%1)"/>
      <w:lvlJc w:val="left"/>
      <w:pPr>
        <w:ind w:left="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B024D78">
      <w:start w:val="1"/>
      <w:numFmt w:val="lowerLetter"/>
      <w:lvlText w:val="%2"/>
      <w:lvlJc w:val="left"/>
      <w:pPr>
        <w:ind w:left="1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FAFD3E">
      <w:start w:val="1"/>
      <w:numFmt w:val="lowerRoman"/>
      <w:lvlText w:val="%3"/>
      <w:lvlJc w:val="left"/>
      <w:pPr>
        <w:ind w:left="1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B38AFEC">
      <w:start w:val="1"/>
      <w:numFmt w:val="decimal"/>
      <w:lvlText w:val="%4"/>
      <w:lvlJc w:val="left"/>
      <w:pPr>
        <w:ind w:left="2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610B65A">
      <w:start w:val="1"/>
      <w:numFmt w:val="lowerLetter"/>
      <w:lvlText w:val="%5"/>
      <w:lvlJc w:val="left"/>
      <w:pPr>
        <w:ind w:left="3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C8480C">
      <w:start w:val="1"/>
      <w:numFmt w:val="lowerRoman"/>
      <w:lvlText w:val="%6"/>
      <w:lvlJc w:val="left"/>
      <w:pPr>
        <w:ind w:left="4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4E5220">
      <w:start w:val="1"/>
      <w:numFmt w:val="decimal"/>
      <w:lvlText w:val="%7"/>
      <w:lvlJc w:val="left"/>
      <w:pPr>
        <w:ind w:left="4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160BA8">
      <w:start w:val="1"/>
      <w:numFmt w:val="lowerLetter"/>
      <w:lvlText w:val="%8"/>
      <w:lvlJc w:val="left"/>
      <w:pPr>
        <w:ind w:left="5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4747DDA">
      <w:start w:val="1"/>
      <w:numFmt w:val="lowerRoman"/>
      <w:lvlText w:val="%9"/>
      <w:lvlJc w:val="left"/>
      <w:pPr>
        <w:ind w:left="62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7FA7F47"/>
    <w:multiLevelType w:val="hybridMultilevel"/>
    <w:tmpl w:val="4FC4742A"/>
    <w:lvl w:ilvl="0" w:tplc="FE047F7A">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BC64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FAE0D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2F8268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FE97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2322B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2CA6D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02EB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7AC2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8290ED6"/>
    <w:multiLevelType w:val="hybridMultilevel"/>
    <w:tmpl w:val="ABBA683E"/>
    <w:lvl w:ilvl="0" w:tplc="96C23E42">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8A657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916D2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242D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080DB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92CBCF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A8F1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18EE65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9C465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87874F8"/>
    <w:multiLevelType w:val="hybridMultilevel"/>
    <w:tmpl w:val="58C6F4AE"/>
    <w:lvl w:ilvl="0" w:tplc="7BA861F8">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284BA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A0E87F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3A2AE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4814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E6FF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44EA7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E0470E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490493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8D43F11"/>
    <w:multiLevelType w:val="hybridMultilevel"/>
    <w:tmpl w:val="3A60CB62"/>
    <w:lvl w:ilvl="0" w:tplc="19E48CCA">
      <w:start w:val="1"/>
      <w:numFmt w:val="lowerLetter"/>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EA1B2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9D65C4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008AA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D2D33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B2768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80D9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A4D8D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8A6BB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18DE4192"/>
    <w:multiLevelType w:val="hybridMultilevel"/>
    <w:tmpl w:val="9D262B6A"/>
    <w:lvl w:ilvl="0" w:tplc="0B84497E">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942905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476063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A4450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DE47C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E603E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A4EA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6EFEE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C2DAC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91A315C"/>
    <w:multiLevelType w:val="hybridMultilevel"/>
    <w:tmpl w:val="8C4A783E"/>
    <w:lvl w:ilvl="0" w:tplc="5ACEEF54">
      <w:start w:val="1"/>
      <w:numFmt w:val="decimal"/>
      <w:lvlText w:val="%1."/>
      <w:lvlJc w:val="left"/>
      <w:pPr>
        <w:ind w:left="1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65C442A">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B5E297C">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0E6723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2843B04">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70E2328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FB0408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CA6ADD62">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ACAD10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19A74191"/>
    <w:multiLevelType w:val="hybridMultilevel"/>
    <w:tmpl w:val="506CA826"/>
    <w:lvl w:ilvl="0" w:tplc="690EB862">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BE2FE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75E80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208D2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7219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92A4DD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940E4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EC2C4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5FA3F6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1A7956A6"/>
    <w:multiLevelType w:val="hybridMultilevel"/>
    <w:tmpl w:val="EA5C6302"/>
    <w:lvl w:ilvl="0" w:tplc="D416DB7C">
      <w:start w:val="1"/>
      <w:numFmt w:val="lowerLetter"/>
      <w:lvlText w:val="%1)"/>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6C9AF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E160B7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70E8D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1E8D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C56787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A4DB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C4915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A4AEEA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1BAD71FE"/>
    <w:multiLevelType w:val="hybridMultilevel"/>
    <w:tmpl w:val="F4286A76"/>
    <w:lvl w:ilvl="0" w:tplc="B5D89B64">
      <w:start w:val="2"/>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52B7A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BE25A0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CC0FA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DC541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5D2589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CAE70F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F4197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EB4A30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1BF8279A"/>
    <w:multiLevelType w:val="hybridMultilevel"/>
    <w:tmpl w:val="D584D608"/>
    <w:lvl w:ilvl="0" w:tplc="A8B0F554">
      <w:start w:val="7"/>
      <w:numFmt w:val="decimal"/>
      <w:lvlText w:val="%1."/>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89CE8FE">
      <w:start w:val="1"/>
      <w:numFmt w:val="lowerLetter"/>
      <w:lvlText w:val="%2"/>
      <w:lvlJc w:val="left"/>
      <w:pPr>
        <w:ind w:left="16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9F4CD7A">
      <w:start w:val="1"/>
      <w:numFmt w:val="lowerRoman"/>
      <w:lvlText w:val="%3"/>
      <w:lvlJc w:val="left"/>
      <w:pPr>
        <w:ind w:left="23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E36EC34">
      <w:start w:val="1"/>
      <w:numFmt w:val="decimal"/>
      <w:lvlText w:val="%4"/>
      <w:lvlJc w:val="left"/>
      <w:pPr>
        <w:ind w:left="30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87E7F94">
      <w:start w:val="1"/>
      <w:numFmt w:val="lowerLetter"/>
      <w:lvlText w:val="%5"/>
      <w:lvlJc w:val="left"/>
      <w:pPr>
        <w:ind w:left="37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1A6BA72">
      <w:start w:val="1"/>
      <w:numFmt w:val="lowerRoman"/>
      <w:lvlText w:val="%6"/>
      <w:lvlJc w:val="left"/>
      <w:pPr>
        <w:ind w:left="44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8A819D4">
      <w:start w:val="1"/>
      <w:numFmt w:val="decimal"/>
      <w:lvlText w:val="%7"/>
      <w:lvlJc w:val="left"/>
      <w:pPr>
        <w:ind w:left="52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B6ADD20">
      <w:start w:val="1"/>
      <w:numFmt w:val="lowerLetter"/>
      <w:lvlText w:val="%8"/>
      <w:lvlJc w:val="left"/>
      <w:pPr>
        <w:ind w:left="59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5503FB6">
      <w:start w:val="1"/>
      <w:numFmt w:val="lowerRoman"/>
      <w:lvlText w:val="%9"/>
      <w:lvlJc w:val="left"/>
      <w:pPr>
        <w:ind w:left="66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1CBE5F68"/>
    <w:multiLevelType w:val="hybridMultilevel"/>
    <w:tmpl w:val="D4321550"/>
    <w:lvl w:ilvl="0" w:tplc="16BC879A">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D400CB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B2485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24B56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B1C23A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A86A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F03A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1C6413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8A5D9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D905D4C"/>
    <w:multiLevelType w:val="hybridMultilevel"/>
    <w:tmpl w:val="F39C5D30"/>
    <w:lvl w:ilvl="0" w:tplc="752CAA16">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E81F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CCF0E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78056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FC67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0E552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2E06C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C68691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36442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DA273FD"/>
    <w:multiLevelType w:val="hybridMultilevel"/>
    <w:tmpl w:val="EF3462A0"/>
    <w:lvl w:ilvl="0" w:tplc="F716B868">
      <w:start w:val="1"/>
      <w:numFmt w:val="lowerLetter"/>
      <w:lvlText w:val="%1)"/>
      <w:lvlJc w:val="left"/>
      <w:pPr>
        <w:ind w:left="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ECD17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38852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09A8A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404671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F2B67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2FE9CB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10D2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D1627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E89144F"/>
    <w:multiLevelType w:val="hybridMultilevel"/>
    <w:tmpl w:val="B6C41E20"/>
    <w:lvl w:ilvl="0" w:tplc="1F0A08D0">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B0264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04F1C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286231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90A24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6EADC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7075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CCE5E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1A6A9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EB06B48"/>
    <w:multiLevelType w:val="hybridMultilevel"/>
    <w:tmpl w:val="E7A4FF50"/>
    <w:lvl w:ilvl="0" w:tplc="681EC1C6">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3C0136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00B4D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17852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AE345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14AB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01C17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7AF9E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E6786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1ED759A5"/>
    <w:multiLevelType w:val="hybridMultilevel"/>
    <w:tmpl w:val="BA6A0718"/>
    <w:lvl w:ilvl="0" w:tplc="8A5C6982">
      <w:start w:val="33"/>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9A3E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18B5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B5211F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81411C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9B6384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A6C5E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27CB4D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32431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F5F2BEA"/>
    <w:multiLevelType w:val="hybridMultilevel"/>
    <w:tmpl w:val="ED36F90A"/>
    <w:lvl w:ilvl="0" w:tplc="84E85194">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44A3D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51A849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E0F2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5A80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3C28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030CD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9F8CC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C2187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0150653"/>
    <w:multiLevelType w:val="hybridMultilevel"/>
    <w:tmpl w:val="7BDA021A"/>
    <w:lvl w:ilvl="0" w:tplc="F8045BAC">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C253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56B4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AA890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CC87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9651B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CEC6E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A4C0C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1AE71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204B0B39"/>
    <w:multiLevelType w:val="hybridMultilevel"/>
    <w:tmpl w:val="70DAE05A"/>
    <w:lvl w:ilvl="0" w:tplc="9EA6ABFA">
      <w:start w:val="1"/>
      <w:numFmt w:val="bullet"/>
      <w:lvlText w:val="•"/>
      <w:lvlJc w:val="left"/>
      <w:pPr>
        <w:ind w:left="16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8AA358A">
      <w:start w:val="1"/>
      <w:numFmt w:val="bullet"/>
      <w:lvlText w:val="o"/>
      <w:lvlJc w:val="left"/>
      <w:pPr>
        <w:ind w:left="10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7E78403C">
      <w:start w:val="1"/>
      <w:numFmt w:val="bullet"/>
      <w:lvlText w:val="▪"/>
      <w:lvlJc w:val="left"/>
      <w:pPr>
        <w:ind w:left="18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C37C11D8">
      <w:start w:val="1"/>
      <w:numFmt w:val="bullet"/>
      <w:lvlText w:val="•"/>
      <w:lvlJc w:val="left"/>
      <w:pPr>
        <w:ind w:left="25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8C2FDFC">
      <w:start w:val="1"/>
      <w:numFmt w:val="bullet"/>
      <w:lvlText w:val="o"/>
      <w:lvlJc w:val="left"/>
      <w:pPr>
        <w:ind w:left="324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0AA2394">
      <w:start w:val="1"/>
      <w:numFmt w:val="bullet"/>
      <w:lvlText w:val="▪"/>
      <w:lvlJc w:val="left"/>
      <w:pPr>
        <w:ind w:left="396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9DAAE32">
      <w:start w:val="1"/>
      <w:numFmt w:val="bullet"/>
      <w:lvlText w:val="•"/>
      <w:lvlJc w:val="left"/>
      <w:pPr>
        <w:ind w:left="46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5E0FE94">
      <w:start w:val="1"/>
      <w:numFmt w:val="bullet"/>
      <w:lvlText w:val="o"/>
      <w:lvlJc w:val="left"/>
      <w:pPr>
        <w:ind w:left="54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054479F6">
      <w:start w:val="1"/>
      <w:numFmt w:val="bullet"/>
      <w:lvlText w:val="▪"/>
      <w:lvlJc w:val="left"/>
      <w:pPr>
        <w:ind w:left="61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71" w15:restartNumberingAfterBreak="0">
    <w:nsid w:val="2080024B"/>
    <w:multiLevelType w:val="hybridMultilevel"/>
    <w:tmpl w:val="3934FE78"/>
    <w:lvl w:ilvl="0" w:tplc="F8B4CD20">
      <w:start w:val="1"/>
      <w:numFmt w:val="lowerLetter"/>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82477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90FFD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18CA79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3E79A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2925E1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E929D1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B2709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6494C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20D55049"/>
    <w:multiLevelType w:val="hybridMultilevel"/>
    <w:tmpl w:val="9F4A47FE"/>
    <w:lvl w:ilvl="0" w:tplc="70109E2C">
      <w:start w:val="1"/>
      <w:numFmt w:val="lowerLetter"/>
      <w:lvlText w:val="%1)"/>
      <w:lvlJc w:val="left"/>
      <w:pPr>
        <w:ind w:left="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D854F8">
      <w:start w:val="1"/>
      <w:numFmt w:val="lowerLetter"/>
      <w:lvlText w:val="%2"/>
      <w:lvlJc w:val="left"/>
      <w:pPr>
        <w:ind w:left="1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01C03B4">
      <w:start w:val="1"/>
      <w:numFmt w:val="lowerRoman"/>
      <w:lvlText w:val="%3"/>
      <w:lvlJc w:val="left"/>
      <w:pPr>
        <w:ind w:left="2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DF27FBE">
      <w:start w:val="1"/>
      <w:numFmt w:val="decimal"/>
      <w:lvlText w:val="%4"/>
      <w:lvlJc w:val="left"/>
      <w:pPr>
        <w:ind w:left="2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0A7DDE">
      <w:start w:val="1"/>
      <w:numFmt w:val="lowerLetter"/>
      <w:lvlText w:val="%5"/>
      <w:lvlJc w:val="left"/>
      <w:pPr>
        <w:ind w:left="3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A0DFF8">
      <w:start w:val="1"/>
      <w:numFmt w:val="lowerRoman"/>
      <w:lvlText w:val="%6"/>
      <w:lvlJc w:val="left"/>
      <w:pPr>
        <w:ind w:left="4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CA9378">
      <w:start w:val="1"/>
      <w:numFmt w:val="decimal"/>
      <w:lvlText w:val="%7"/>
      <w:lvlJc w:val="left"/>
      <w:pPr>
        <w:ind w:left="4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8423BC8">
      <w:start w:val="1"/>
      <w:numFmt w:val="lowerLetter"/>
      <w:lvlText w:val="%8"/>
      <w:lvlJc w:val="left"/>
      <w:pPr>
        <w:ind w:left="5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BAA5638">
      <w:start w:val="1"/>
      <w:numFmt w:val="lowerRoman"/>
      <w:lvlText w:val="%9"/>
      <w:lvlJc w:val="left"/>
      <w:pPr>
        <w:ind w:left="6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21531E9A"/>
    <w:multiLevelType w:val="hybridMultilevel"/>
    <w:tmpl w:val="7FA43F74"/>
    <w:lvl w:ilvl="0" w:tplc="A49A1882">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F4FC8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2FCB1B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A6C6D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E604DF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1A31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540D9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30D6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DA91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41C727F"/>
    <w:multiLevelType w:val="hybridMultilevel"/>
    <w:tmpl w:val="87FA11C2"/>
    <w:lvl w:ilvl="0" w:tplc="7D8CF70A">
      <w:start w:val="1"/>
      <w:numFmt w:val="bullet"/>
      <w:lvlText w:val="•"/>
      <w:lvlJc w:val="left"/>
      <w:pPr>
        <w:ind w:left="21"/>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1" w:tplc="EDAEB264">
      <w:start w:val="1"/>
      <w:numFmt w:val="bullet"/>
      <w:lvlText w:val="o"/>
      <w:lvlJc w:val="left"/>
      <w:pPr>
        <w:ind w:left="108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2" w:tplc="437C3C74">
      <w:start w:val="1"/>
      <w:numFmt w:val="bullet"/>
      <w:lvlText w:val="▪"/>
      <w:lvlJc w:val="left"/>
      <w:pPr>
        <w:ind w:left="180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3" w:tplc="8438E23C">
      <w:start w:val="1"/>
      <w:numFmt w:val="bullet"/>
      <w:lvlText w:val="•"/>
      <w:lvlJc w:val="left"/>
      <w:pPr>
        <w:ind w:left="252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4" w:tplc="9902646C">
      <w:start w:val="1"/>
      <w:numFmt w:val="bullet"/>
      <w:lvlText w:val="o"/>
      <w:lvlJc w:val="left"/>
      <w:pPr>
        <w:ind w:left="324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5" w:tplc="ECD0A77E">
      <w:start w:val="1"/>
      <w:numFmt w:val="bullet"/>
      <w:lvlText w:val="▪"/>
      <w:lvlJc w:val="left"/>
      <w:pPr>
        <w:ind w:left="396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6" w:tplc="3A1A6112">
      <w:start w:val="1"/>
      <w:numFmt w:val="bullet"/>
      <w:lvlText w:val="•"/>
      <w:lvlJc w:val="left"/>
      <w:pPr>
        <w:ind w:left="468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7" w:tplc="888AB1CC">
      <w:start w:val="1"/>
      <w:numFmt w:val="bullet"/>
      <w:lvlText w:val="o"/>
      <w:lvlJc w:val="left"/>
      <w:pPr>
        <w:ind w:left="540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8" w:tplc="5E5A0AEC">
      <w:start w:val="1"/>
      <w:numFmt w:val="bullet"/>
      <w:lvlText w:val="▪"/>
      <w:lvlJc w:val="left"/>
      <w:pPr>
        <w:ind w:left="612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abstractNum>
  <w:abstractNum w:abstractNumId="75" w15:restartNumberingAfterBreak="0">
    <w:nsid w:val="24225B04"/>
    <w:multiLevelType w:val="hybridMultilevel"/>
    <w:tmpl w:val="D0E43BFA"/>
    <w:lvl w:ilvl="0" w:tplc="6D62C164">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9C5BD0">
      <w:start w:val="1"/>
      <w:numFmt w:val="lowerLetter"/>
      <w:lvlText w:val="%2)"/>
      <w:lvlJc w:val="left"/>
      <w:pPr>
        <w:ind w:left="9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C49316">
      <w:start w:val="1"/>
      <w:numFmt w:val="lowerRoman"/>
      <w:lvlText w:val="%3"/>
      <w:lvlJc w:val="left"/>
      <w:pPr>
        <w:ind w:left="1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F2E336">
      <w:start w:val="1"/>
      <w:numFmt w:val="decimal"/>
      <w:lvlText w:val="%4"/>
      <w:lvlJc w:val="left"/>
      <w:pPr>
        <w:ind w:left="1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502C62">
      <w:start w:val="1"/>
      <w:numFmt w:val="lowerLetter"/>
      <w:lvlText w:val="%5"/>
      <w:lvlJc w:val="left"/>
      <w:pPr>
        <w:ind w:left="2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8E12C2">
      <w:start w:val="1"/>
      <w:numFmt w:val="lowerRoman"/>
      <w:lvlText w:val="%6"/>
      <w:lvlJc w:val="left"/>
      <w:pPr>
        <w:ind w:left="3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C705FF6">
      <w:start w:val="1"/>
      <w:numFmt w:val="decimal"/>
      <w:lvlText w:val="%7"/>
      <w:lvlJc w:val="left"/>
      <w:pPr>
        <w:ind w:left="4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9E1786">
      <w:start w:val="1"/>
      <w:numFmt w:val="lowerLetter"/>
      <w:lvlText w:val="%8"/>
      <w:lvlJc w:val="left"/>
      <w:pPr>
        <w:ind w:left="4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0802F0">
      <w:start w:val="1"/>
      <w:numFmt w:val="lowerRoman"/>
      <w:lvlText w:val="%9"/>
      <w:lvlJc w:val="left"/>
      <w:pPr>
        <w:ind w:left="54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4434ADE"/>
    <w:multiLevelType w:val="hybridMultilevel"/>
    <w:tmpl w:val="B2B20EDC"/>
    <w:lvl w:ilvl="0" w:tplc="619C076C">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878E38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763C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0EE4A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08B61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54B59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E2C3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8C1A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14279F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4FC193B"/>
    <w:multiLevelType w:val="hybridMultilevel"/>
    <w:tmpl w:val="1F58B4A2"/>
    <w:lvl w:ilvl="0" w:tplc="44084FB6">
      <w:start w:val="1"/>
      <w:numFmt w:val="decimal"/>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AA49D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D4049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986A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C0170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A856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1CC035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19E598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BEBA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272C7637"/>
    <w:multiLevelType w:val="hybridMultilevel"/>
    <w:tmpl w:val="E0E2F9FA"/>
    <w:lvl w:ilvl="0" w:tplc="8D5EE378">
      <w:start w:val="1"/>
      <w:numFmt w:val="lowerLetter"/>
      <w:lvlText w:val="%1)"/>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5BE4A0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BFA276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D4260E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7A4AC0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20A46E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05CF9E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4E6F4F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EA6DD8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277E3832"/>
    <w:multiLevelType w:val="hybridMultilevel"/>
    <w:tmpl w:val="32F8BC6A"/>
    <w:lvl w:ilvl="0" w:tplc="CA0EF4E8">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501D54">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21A5478">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72FA14">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A41CD8">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15093CA">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3E0FE8">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BE994E">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760391E">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287C6665"/>
    <w:multiLevelType w:val="hybridMultilevel"/>
    <w:tmpl w:val="FFA88E24"/>
    <w:lvl w:ilvl="0" w:tplc="6B3A229A">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50487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1437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B2BE7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99877F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007F7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7E2B4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0A86DC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8280C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93761CB"/>
    <w:multiLevelType w:val="hybridMultilevel"/>
    <w:tmpl w:val="0A1AC284"/>
    <w:lvl w:ilvl="0" w:tplc="FE3E38A2">
      <w:start w:val="1"/>
      <w:numFmt w:val="lowerLetter"/>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98AF9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4F0061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A0A5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864765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622068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4CC11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3E6D9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04831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A49649F"/>
    <w:multiLevelType w:val="hybridMultilevel"/>
    <w:tmpl w:val="0722EACC"/>
    <w:lvl w:ilvl="0" w:tplc="224E572E">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7E071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F182C9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12626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AABB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CE588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AC8B82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D9C77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52E08C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BDD6B4F"/>
    <w:multiLevelType w:val="hybridMultilevel"/>
    <w:tmpl w:val="ED02FC18"/>
    <w:lvl w:ilvl="0" w:tplc="E70EBFFC">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BE03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F24900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910F04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86BD2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B04B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9A75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0C227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58E3F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C992313"/>
    <w:multiLevelType w:val="hybridMultilevel"/>
    <w:tmpl w:val="9F10D4B6"/>
    <w:lvl w:ilvl="0" w:tplc="FC526CD6">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38224E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ACF5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E8F8F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16E9A2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4C301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82E65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18C3A6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A861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CD5304D"/>
    <w:multiLevelType w:val="hybridMultilevel"/>
    <w:tmpl w:val="5AB8DD20"/>
    <w:lvl w:ilvl="0" w:tplc="CD664232">
      <w:start w:val="3"/>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72266BC">
      <w:start w:val="1"/>
      <w:numFmt w:val="lowerLetter"/>
      <w:lvlText w:val="%2"/>
      <w:lvlJc w:val="left"/>
      <w:pPr>
        <w:ind w:left="10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ACA7E2">
      <w:start w:val="1"/>
      <w:numFmt w:val="lowerRoman"/>
      <w:lvlText w:val="%3"/>
      <w:lvlJc w:val="left"/>
      <w:pPr>
        <w:ind w:left="18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A27DEE">
      <w:start w:val="1"/>
      <w:numFmt w:val="decimal"/>
      <w:lvlText w:val="%4"/>
      <w:lvlJc w:val="left"/>
      <w:pPr>
        <w:ind w:left="25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D69812">
      <w:start w:val="1"/>
      <w:numFmt w:val="lowerLetter"/>
      <w:lvlText w:val="%5"/>
      <w:lvlJc w:val="left"/>
      <w:pPr>
        <w:ind w:left="32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FC60EA">
      <w:start w:val="1"/>
      <w:numFmt w:val="lowerRoman"/>
      <w:lvlText w:val="%6"/>
      <w:lvlJc w:val="left"/>
      <w:pPr>
        <w:ind w:left="39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6A1C32">
      <w:start w:val="1"/>
      <w:numFmt w:val="decimal"/>
      <w:lvlText w:val="%7"/>
      <w:lvlJc w:val="left"/>
      <w:pPr>
        <w:ind w:left="46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263A22">
      <w:start w:val="1"/>
      <w:numFmt w:val="lowerLetter"/>
      <w:lvlText w:val="%8"/>
      <w:lvlJc w:val="left"/>
      <w:pPr>
        <w:ind w:left="5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226348">
      <w:start w:val="1"/>
      <w:numFmt w:val="lowerRoman"/>
      <w:lvlText w:val="%9"/>
      <w:lvlJc w:val="left"/>
      <w:pPr>
        <w:ind w:left="61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2EC31BF6"/>
    <w:multiLevelType w:val="hybridMultilevel"/>
    <w:tmpl w:val="AA1A2422"/>
    <w:lvl w:ilvl="0" w:tplc="9FECA294">
      <w:start w:val="1"/>
      <w:numFmt w:val="lowerLetter"/>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B6B37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F40F4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1C091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7625B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49C9D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0B0657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7AC1F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B63C4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2F2841D5"/>
    <w:multiLevelType w:val="hybridMultilevel"/>
    <w:tmpl w:val="B9A68442"/>
    <w:lvl w:ilvl="0" w:tplc="371A3CAE">
      <w:start w:val="1"/>
      <w:numFmt w:val="lowerLetter"/>
      <w:lvlText w:val="%1)"/>
      <w:lvlJc w:val="left"/>
      <w:pPr>
        <w:ind w:left="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C847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644AC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BC618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3A2C7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22957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A9692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26D10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1D4ED4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2F9E0172"/>
    <w:multiLevelType w:val="hybridMultilevel"/>
    <w:tmpl w:val="5254C56C"/>
    <w:lvl w:ilvl="0" w:tplc="4EB86A40">
      <w:start w:val="1"/>
      <w:numFmt w:val="lowerLetter"/>
      <w:lvlText w:val="%1)"/>
      <w:lvlJc w:val="left"/>
      <w:pPr>
        <w:ind w:left="49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FA80DC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6B2AA7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3EA9EA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BD8735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4B4093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F84768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0B2AD1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9B2817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300D1569"/>
    <w:multiLevelType w:val="hybridMultilevel"/>
    <w:tmpl w:val="15548D02"/>
    <w:lvl w:ilvl="0" w:tplc="141CF55A">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7E24D0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3097E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CAB9D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0FABA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C222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AE0E7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DF050E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D1CE0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30462C4C"/>
    <w:multiLevelType w:val="hybridMultilevel"/>
    <w:tmpl w:val="1FC8B562"/>
    <w:lvl w:ilvl="0" w:tplc="0AF83D06">
      <w:start w:val="1"/>
      <w:numFmt w:val="bullet"/>
      <w:lvlText w:val="•"/>
      <w:lvlJc w:val="left"/>
      <w:pPr>
        <w:ind w:left="7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7480E330">
      <w:start w:val="1"/>
      <w:numFmt w:val="bullet"/>
      <w:lvlText w:val="o"/>
      <w:lvlJc w:val="left"/>
      <w:pPr>
        <w:ind w:left="145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77AB86E">
      <w:start w:val="1"/>
      <w:numFmt w:val="bullet"/>
      <w:lvlText w:val="▪"/>
      <w:lvlJc w:val="left"/>
      <w:pPr>
        <w:ind w:left="217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0DA24932">
      <w:start w:val="1"/>
      <w:numFmt w:val="bullet"/>
      <w:lvlText w:val="•"/>
      <w:lvlJc w:val="left"/>
      <w:pPr>
        <w:ind w:left="28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8B2EF18A">
      <w:start w:val="1"/>
      <w:numFmt w:val="bullet"/>
      <w:lvlText w:val="o"/>
      <w:lvlJc w:val="left"/>
      <w:pPr>
        <w:ind w:left="361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F3E8C578">
      <w:start w:val="1"/>
      <w:numFmt w:val="bullet"/>
      <w:lvlText w:val="▪"/>
      <w:lvlJc w:val="left"/>
      <w:pPr>
        <w:ind w:left="433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373675EC">
      <w:start w:val="1"/>
      <w:numFmt w:val="bullet"/>
      <w:lvlText w:val="•"/>
      <w:lvlJc w:val="left"/>
      <w:pPr>
        <w:ind w:left="50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4300E0C0">
      <w:start w:val="1"/>
      <w:numFmt w:val="bullet"/>
      <w:lvlText w:val="o"/>
      <w:lvlJc w:val="left"/>
      <w:pPr>
        <w:ind w:left="577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AE4C3B36">
      <w:start w:val="1"/>
      <w:numFmt w:val="bullet"/>
      <w:lvlText w:val="▪"/>
      <w:lvlJc w:val="left"/>
      <w:pPr>
        <w:ind w:left="649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91" w15:restartNumberingAfterBreak="0">
    <w:nsid w:val="305B3E9E"/>
    <w:multiLevelType w:val="hybridMultilevel"/>
    <w:tmpl w:val="E1761622"/>
    <w:lvl w:ilvl="0" w:tplc="890AAE94">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8118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7844A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45C3D5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221D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46019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AEFBE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CB88CB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50B2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17928EF"/>
    <w:multiLevelType w:val="hybridMultilevel"/>
    <w:tmpl w:val="396A02FE"/>
    <w:lvl w:ilvl="0" w:tplc="19EA90D6">
      <w:start w:val="1"/>
      <w:numFmt w:val="bullet"/>
      <w:lvlText w:val="•"/>
      <w:lvlJc w:val="left"/>
      <w:pPr>
        <w:ind w:left="21"/>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1" w:tplc="C98EC96C">
      <w:start w:val="1"/>
      <w:numFmt w:val="bullet"/>
      <w:lvlText w:val="o"/>
      <w:lvlJc w:val="left"/>
      <w:pPr>
        <w:ind w:left="108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2" w:tplc="BCE2AA8E">
      <w:start w:val="1"/>
      <w:numFmt w:val="bullet"/>
      <w:lvlText w:val="▪"/>
      <w:lvlJc w:val="left"/>
      <w:pPr>
        <w:ind w:left="180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3" w:tplc="B86A2832">
      <w:start w:val="1"/>
      <w:numFmt w:val="bullet"/>
      <w:lvlText w:val="•"/>
      <w:lvlJc w:val="left"/>
      <w:pPr>
        <w:ind w:left="252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4" w:tplc="7A28B7A4">
      <w:start w:val="1"/>
      <w:numFmt w:val="bullet"/>
      <w:lvlText w:val="o"/>
      <w:lvlJc w:val="left"/>
      <w:pPr>
        <w:ind w:left="324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5" w:tplc="9EDA9722">
      <w:start w:val="1"/>
      <w:numFmt w:val="bullet"/>
      <w:lvlText w:val="▪"/>
      <w:lvlJc w:val="left"/>
      <w:pPr>
        <w:ind w:left="396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6" w:tplc="800E2314">
      <w:start w:val="1"/>
      <w:numFmt w:val="bullet"/>
      <w:lvlText w:val="•"/>
      <w:lvlJc w:val="left"/>
      <w:pPr>
        <w:ind w:left="468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7" w:tplc="17E8A3AE">
      <w:start w:val="1"/>
      <w:numFmt w:val="bullet"/>
      <w:lvlText w:val="o"/>
      <w:lvlJc w:val="left"/>
      <w:pPr>
        <w:ind w:left="540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8" w:tplc="D6F64D40">
      <w:start w:val="1"/>
      <w:numFmt w:val="bullet"/>
      <w:lvlText w:val="▪"/>
      <w:lvlJc w:val="left"/>
      <w:pPr>
        <w:ind w:left="612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abstractNum>
  <w:abstractNum w:abstractNumId="93" w15:restartNumberingAfterBreak="0">
    <w:nsid w:val="31AB354D"/>
    <w:multiLevelType w:val="hybridMultilevel"/>
    <w:tmpl w:val="2C9A8A76"/>
    <w:lvl w:ilvl="0" w:tplc="79DC785A">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26F9E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E683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C604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B003F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D281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669D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C42A3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38D1D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1E737FF"/>
    <w:multiLevelType w:val="hybridMultilevel"/>
    <w:tmpl w:val="E4E47F1C"/>
    <w:lvl w:ilvl="0" w:tplc="FC4C8ED6">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34357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0E632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1658F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DC83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F665D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706B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62C50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BC86A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3C55147"/>
    <w:multiLevelType w:val="hybridMultilevel"/>
    <w:tmpl w:val="8FB0CB3E"/>
    <w:lvl w:ilvl="0" w:tplc="9142FC2C">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E0D2D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C67FF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FBE87F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641C0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15EC5D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5427C0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E63FD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CF01E4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346C56D3"/>
    <w:multiLevelType w:val="hybridMultilevel"/>
    <w:tmpl w:val="275408EA"/>
    <w:lvl w:ilvl="0" w:tplc="4FA83E90">
      <w:start w:val="1"/>
      <w:numFmt w:val="decimal"/>
      <w:lvlText w:val="%1)"/>
      <w:lvlJc w:val="left"/>
      <w:pPr>
        <w:ind w:left="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03A7C56">
      <w:start w:val="1"/>
      <w:numFmt w:val="lowerLetter"/>
      <w:lvlText w:val="%2"/>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4BDE0736">
      <w:start w:val="1"/>
      <w:numFmt w:val="lowerRoman"/>
      <w:lvlText w:val="%3"/>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E15643B0">
      <w:start w:val="1"/>
      <w:numFmt w:val="decimal"/>
      <w:lvlText w:val="%4"/>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D56324A">
      <w:start w:val="1"/>
      <w:numFmt w:val="lowerLetter"/>
      <w:lvlText w:val="%5"/>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B2829900">
      <w:start w:val="1"/>
      <w:numFmt w:val="lowerRoman"/>
      <w:lvlText w:val="%6"/>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20CEDF58">
      <w:start w:val="1"/>
      <w:numFmt w:val="decimal"/>
      <w:lvlText w:val="%7"/>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B640B5A">
      <w:start w:val="1"/>
      <w:numFmt w:val="lowerLetter"/>
      <w:lvlText w:val="%8"/>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C1F6874A">
      <w:start w:val="1"/>
      <w:numFmt w:val="lowerRoman"/>
      <w:lvlText w:val="%9"/>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97" w15:restartNumberingAfterBreak="0">
    <w:nsid w:val="34A25756"/>
    <w:multiLevelType w:val="hybridMultilevel"/>
    <w:tmpl w:val="A07E699C"/>
    <w:lvl w:ilvl="0" w:tplc="040810E2">
      <w:start w:val="3"/>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B45A5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B0B57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FCC492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D361C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CA541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C2325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7E11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0E178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8" w15:restartNumberingAfterBreak="0">
    <w:nsid w:val="372E2497"/>
    <w:multiLevelType w:val="hybridMultilevel"/>
    <w:tmpl w:val="F3582220"/>
    <w:lvl w:ilvl="0" w:tplc="A96AB944">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6784E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064FD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BA1B5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C043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4E6B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AA410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565BA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ADCD9C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76279D9"/>
    <w:multiLevelType w:val="hybridMultilevel"/>
    <w:tmpl w:val="9DCAD174"/>
    <w:lvl w:ilvl="0" w:tplc="F84E4C94">
      <w:start w:val="1"/>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D69DB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C4BB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AC563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184A6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C52F34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A64684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B2B88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3281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37991DFB"/>
    <w:multiLevelType w:val="hybridMultilevel"/>
    <w:tmpl w:val="A28415B2"/>
    <w:lvl w:ilvl="0" w:tplc="AF5E2E30">
      <w:start w:val="1"/>
      <w:numFmt w:val="bullet"/>
      <w:lvlText w:val="•"/>
      <w:lvlJc w:val="left"/>
      <w:pPr>
        <w:ind w:left="7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B84F0CC">
      <w:start w:val="1"/>
      <w:numFmt w:val="bullet"/>
      <w:lvlText w:val="o"/>
      <w:lvlJc w:val="left"/>
      <w:pPr>
        <w:ind w:left="14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822C3378">
      <w:start w:val="1"/>
      <w:numFmt w:val="bullet"/>
      <w:lvlText w:val="▪"/>
      <w:lvlJc w:val="left"/>
      <w:pPr>
        <w:ind w:left="21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FE9896D0">
      <w:start w:val="1"/>
      <w:numFmt w:val="bullet"/>
      <w:lvlText w:val="•"/>
      <w:lvlJc w:val="left"/>
      <w:pPr>
        <w:ind w:left="28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97ED7FA">
      <w:start w:val="1"/>
      <w:numFmt w:val="bullet"/>
      <w:lvlText w:val="o"/>
      <w:lvlJc w:val="left"/>
      <w:pPr>
        <w:ind w:left="36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4A645958">
      <w:start w:val="1"/>
      <w:numFmt w:val="bullet"/>
      <w:lvlText w:val="▪"/>
      <w:lvlJc w:val="left"/>
      <w:pPr>
        <w:ind w:left="43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DCE6275C">
      <w:start w:val="1"/>
      <w:numFmt w:val="bullet"/>
      <w:lvlText w:val="•"/>
      <w:lvlJc w:val="left"/>
      <w:pPr>
        <w:ind w:left="50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02617A4">
      <w:start w:val="1"/>
      <w:numFmt w:val="bullet"/>
      <w:lvlText w:val="o"/>
      <w:lvlJc w:val="left"/>
      <w:pPr>
        <w:ind w:left="57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5EA2FE54">
      <w:start w:val="1"/>
      <w:numFmt w:val="bullet"/>
      <w:lvlText w:val="▪"/>
      <w:lvlJc w:val="left"/>
      <w:pPr>
        <w:ind w:left="64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01" w15:restartNumberingAfterBreak="0">
    <w:nsid w:val="37A02D71"/>
    <w:multiLevelType w:val="hybridMultilevel"/>
    <w:tmpl w:val="E1844852"/>
    <w:lvl w:ilvl="0" w:tplc="F31873B8">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52C401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CE626B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9A1D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70E3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00656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69444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A265E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BAE02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7A4557C"/>
    <w:multiLevelType w:val="hybridMultilevel"/>
    <w:tmpl w:val="85DEFB66"/>
    <w:lvl w:ilvl="0" w:tplc="4144607C">
      <w:start w:val="1"/>
      <w:numFmt w:val="bullet"/>
      <w:lvlText w:val="-"/>
      <w:lvlJc w:val="left"/>
      <w:pPr>
        <w:ind w:left="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B03EB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7811B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116B39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08BC0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52023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B4AC9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DC34F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8BA454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37B14BB2"/>
    <w:multiLevelType w:val="hybridMultilevel"/>
    <w:tmpl w:val="72DE4F96"/>
    <w:lvl w:ilvl="0" w:tplc="BAC250CC">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BEB39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3847A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97410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5C79D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80958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6C03C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C867D2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FA929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85E2F0B"/>
    <w:multiLevelType w:val="hybridMultilevel"/>
    <w:tmpl w:val="EFEA6B02"/>
    <w:lvl w:ilvl="0" w:tplc="A280765A">
      <w:start w:val="7"/>
      <w:numFmt w:val="decimal"/>
      <w:lvlText w:val="%1."/>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6047AE6">
      <w:start w:val="1"/>
      <w:numFmt w:val="lowerLetter"/>
      <w:lvlText w:val="%2"/>
      <w:lvlJc w:val="left"/>
      <w:pPr>
        <w:ind w:left="16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9568BA0">
      <w:start w:val="1"/>
      <w:numFmt w:val="lowerRoman"/>
      <w:lvlText w:val="%3"/>
      <w:lvlJc w:val="left"/>
      <w:pPr>
        <w:ind w:left="23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5B2A174">
      <w:start w:val="1"/>
      <w:numFmt w:val="decimal"/>
      <w:lvlText w:val="%4"/>
      <w:lvlJc w:val="left"/>
      <w:pPr>
        <w:ind w:left="30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B6AC198">
      <w:start w:val="1"/>
      <w:numFmt w:val="lowerLetter"/>
      <w:lvlText w:val="%5"/>
      <w:lvlJc w:val="left"/>
      <w:pPr>
        <w:ind w:left="376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4DE457A">
      <w:start w:val="1"/>
      <w:numFmt w:val="lowerRoman"/>
      <w:lvlText w:val="%6"/>
      <w:lvlJc w:val="left"/>
      <w:pPr>
        <w:ind w:left="448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2467336">
      <w:start w:val="1"/>
      <w:numFmt w:val="decimal"/>
      <w:lvlText w:val="%7"/>
      <w:lvlJc w:val="left"/>
      <w:pPr>
        <w:ind w:left="520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E48DE86">
      <w:start w:val="1"/>
      <w:numFmt w:val="lowerLetter"/>
      <w:lvlText w:val="%8"/>
      <w:lvlJc w:val="left"/>
      <w:pPr>
        <w:ind w:left="592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3CC5E84">
      <w:start w:val="1"/>
      <w:numFmt w:val="lowerRoman"/>
      <w:lvlText w:val="%9"/>
      <w:lvlJc w:val="left"/>
      <w:pPr>
        <w:ind w:left="6646"/>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39A06572"/>
    <w:multiLevelType w:val="hybridMultilevel"/>
    <w:tmpl w:val="4240E050"/>
    <w:lvl w:ilvl="0" w:tplc="D6B8D694">
      <w:start w:val="1"/>
      <w:numFmt w:val="decimal"/>
      <w:lvlText w:val="%1."/>
      <w:lvlJc w:val="left"/>
      <w:pPr>
        <w:ind w:left="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82F21C46">
      <w:start w:val="1"/>
      <w:numFmt w:val="lowerLetter"/>
      <w:lvlText w:val="%2"/>
      <w:lvlJc w:val="left"/>
      <w:pPr>
        <w:ind w:left="14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9BA6E52">
      <w:start w:val="1"/>
      <w:numFmt w:val="lowerRoman"/>
      <w:lvlText w:val="%3"/>
      <w:lvlJc w:val="left"/>
      <w:pPr>
        <w:ind w:left="21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B36CF4E">
      <w:start w:val="1"/>
      <w:numFmt w:val="decimal"/>
      <w:lvlText w:val="%4"/>
      <w:lvlJc w:val="left"/>
      <w:pPr>
        <w:ind w:left="28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ACCDE84">
      <w:start w:val="1"/>
      <w:numFmt w:val="lowerLetter"/>
      <w:lvlText w:val="%5"/>
      <w:lvlJc w:val="left"/>
      <w:pPr>
        <w:ind w:left="35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E7E032C">
      <w:start w:val="1"/>
      <w:numFmt w:val="lowerRoman"/>
      <w:lvlText w:val="%6"/>
      <w:lvlJc w:val="left"/>
      <w:pPr>
        <w:ind w:left="42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7186330">
      <w:start w:val="1"/>
      <w:numFmt w:val="decimal"/>
      <w:lvlText w:val="%7"/>
      <w:lvlJc w:val="left"/>
      <w:pPr>
        <w:ind w:left="50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FD8A0D6">
      <w:start w:val="1"/>
      <w:numFmt w:val="lowerLetter"/>
      <w:lvlText w:val="%8"/>
      <w:lvlJc w:val="left"/>
      <w:pPr>
        <w:ind w:left="57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8F4E8E8">
      <w:start w:val="1"/>
      <w:numFmt w:val="lowerRoman"/>
      <w:lvlText w:val="%9"/>
      <w:lvlJc w:val="left"/>
      <w:pPr>
        <w:ind w:left="64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39D5619B"/>
    <w:multiLevelType w:val="hybridMultilevel"/>
    <w:tmpl w:val="88744A6C"/>
    <w:lvl w:ilvl="0" w:tplc="A836D112">
      <w:start w:val="1"/>
      <w:numFmt w:val="decimal"/>
      <w:lvlText w:val="%1."/>
      <w:lvlJc w:val="left"/>
      <w:pPr>
        <w:ind w:left="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200190E">
      <w:start w:val="1"/>
      <w:numFmt w:val="lowerLetter"/>
      <w:lvlText w:val="%2"/>
      <w:lvlJc w:val="left"/>
      <w:pPr>
        <w:ind w:left="14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8D14B0A4">
      <w:start w:val="1"/>
      <w:numFmt w:val="lowerRoman"/>
      <w:lvlText w:val="%3"/>
      <w:lvlJc w:val="left"/>
      <w:pPr>
        <w:ind w:left="21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DC28EA4">
      <w:start w:val="1"/>
      <w:numFmt w:val="decimal"/>
      <w:lvlText w:val="%4"/>
      <w:lvlJc w:val="left"/>
      <w:pPr>
        <w:ind w:left="28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B7EE90E">
      <w:start w:val="1"/>
      <w:numFmt w:val="lowerLetter"/>
      <w:lvlText w:val="%5"/>
      <w:lvlJc w:val="left"/>
      <w:pPr>
        <w:ind w:left="35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5E3CAEDC">
      <w:start w:val="1"/>
      <w:numFmt w:val="lowerRoman"/>
      <w:lvlText w:val="%6"/>
      <w:lvlJc w:val="left"/>
      <w:pPr>
        <w:ind w:left="42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0BCE5F8">
      <w:start w:val="1"/>
      <w:numFmt w:val="decimal"/>
      <w:lvlText w:val="%7"/>
      <w:lvlJc w:val="left"/>
      <w:pPr>
        <w:ind w:left="50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736E40C">
      <w:start w:val="1"/>
      <w:numFmt w:val="lowerLetter"/>
      <w:lvlText w:val="%8"/>
      <w:lvlJc w:val="left"/>
      <w:pPr>
        <w:ind w:left="57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AB83328">
      <w:start w:val="1"/>
      <w:numFmt w:val="lowerRoman"/>
      <w:lvlText w:val="%9"/>
      <w:lvlJc w:val="left"/>
      <w:pPr>
        <w:ind w:left="64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39D900C4"/>
    <w:multiLevelType w:val="hybridMultilevel"/>
    <w:tmpl w:val="11C6353E"/>
    <w:lvl w:ilvl="0" w:tplc="F5626EE4">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C42CC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A3CD97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BCA78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B30A47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7A07C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C65C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FF241D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FCD2A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A6616D3"/>
    <w:multiLevelType w:val="hybridMultilevel"/>
    <w:tmpl w:val="B03C77B8"/>
    <w:lvl w:ilvl="0" w:tplc="70BC3F6A">
      <w:start w:val="2"/>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00D3D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445AB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F0231E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35459D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DDCB1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8C6A4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FE758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2866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A97700B"/>
    <w:multiLevelType w:val="hybridMultilevel"/>
    <w:tmpl w:val="31DC3BE0"/>
    <w:lvl w:ilvl="0" w:tplc="7904F4CA">
      <w:start w:val="3"/>
      <w:numFmt w:val="lowerLetter"/>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D74B44A">
      <w:start w:val="1"/>
      <w:numFmt w:val="lowerLetter"/>
      <w:lvlText w:val="%2"/>
      <w:lvlJc w:val="left"/>
      <w:pPr>
        <w:ind w:left="10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2D6A78A">
      <w:start w:val="1"/>
      <w:numFmt w:val="lowerRoman"/>
      <w:lvlText w:val="%3"/>
      <w:lvlJc w:val="left"/>
      <w:pPr>
        <w:ind w:left="1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9AA3D9C">
      <w:start w:val="1"/>
      <w:numFmt w:val="decimal"/>
      <w:lvlText w:val="%4"/>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E6CC10">
      <w:start w:val="1"/>
      <w:numFmt w:val="lowerLetter"/>
      <w:lvlText w:val="%5"/>
      <w:lvlJc w:val="left"/>
      <w:pPr>
        <w:ind w:left="3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B90604E">
      <w:start w:val="1"/>
      <w:numFmt w:val="lowerRoman"/>
      <w:lvlText w:val="%6"/>
      <w:lvlJc w:val="left"/>
      <w:pPr>
        <w:ind w:left="3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A2082A">
      <w:start w:val="1"/>
      <w:numFmt w:val="decimal"/>
      <w:lvlText w:val="%7"/>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723B24">
      <w:start w:val="1"/>
      <w:numFmt w:val="lowerLetter"/>
      <w:lvlText w:val="%8"/>
      <w:lvlJc w:val="left"/>
      <w:pPr>
        <w:ind w:left="5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241812">
      <w:start w:val="1"/>
      <w:numFmt w:val="lowerRoman"/>
      <w:lvlText w:val="%9"/>
      <w:lvlJc w:val="left"/>
      <w:pPr>
        <w:ind w:left="6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3C554A85"/>
    <w:multiLevelType w:val="hybridMultilevel"/>
    <w:tmpl w:val="35569408"/>
    <w:lvl w:ilvl="0" w:tplc="659C7EA2">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C2C62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D845B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890479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E0CF3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2CB0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D668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D8FAE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ABA412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3D0F3198"/>
    <w:multiLevelType w:val="hybridMultilevel"/>
    <w:tmpl w:val="BA86539A"/>
    <w:lvl w:ilvl="0" w:tplc="934401FE">
      <w:start w:val="39"/>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968ED7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CC67A2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A0E03D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1E827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E44D4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424CA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B6D4F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96268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D466DF9"/>
    <w:multiLevelType w:val="hybridMultilevel"/>
    <w:tmpl w:val="75D4C540"/>
    <w:lvl w:ilvl="0" w:tplc="C27A3732">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A616D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B34152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0CF5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74A58A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C6E310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7E41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574D90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68AD5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D576498"/>
    <w:multiLevelType w:val="hybridMultilevel"/>
    <w:tmpl w:val="E8C0926A"/>
    <w:lvl w:ilvl="0" w:tplc="789A341E">
      <w:start w:val="3"/>
      <w:numFmt w:val="lowerLetter"/>
      <w:lvlText w:val="%1)"/>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B1E0D7E">
      <w:start w:val="1"/>
      <w:numFmt w:val="lowerLetter"/>
      <w:lvlText w:val="%2"/>
      <w:lvlJc w:val="left"/>
      <w:pPr>
        <w:ind w:left="14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C8C6B3A">
      <w:start w:val="1"/>
      <w:numFmt w:val="lowerRoman"/>
      <w:lvlText w:val="%3"/>
      <w:lvlJc w:val="left"/>
      <w:pPr>
        <w:ind w:left="21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A009102">
      <w:start w:val="1"/>
      <w:numFmt w:val="decimal"/>
      <w:lvlText w:val="%4"/>
      <w:lvlJc w:val="left"/>
      <w:pPr>
        <w:ind w:left="29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F2E75CA">
      <w:start w:val="1"/>
      <w:numFmt w:val="lowerLetter"/>
      <w:lvlText w:val="%5"/>
      <w:lvlJc w:val="left"/>
      <w:pPr>
        <w:ind w:left="362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300AB68">
      <w:start w:val="1"/>
      <w:numFmt w:val="lowerRoman"/>
      <w:lvlText w:val="%6"/>
      <w:lvlJc w:val="left"/>
      <w:pPr>
        <w:ind w:left="434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23E9966">
      <w:start w:val="1"/>
      <w:numFmt w:val="decimal"/>
      <w:lvlText w:val="%7"/>
      <w:lvlJc w:val="left"/>
      <w:pPr>
        <w:ind w:left="506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AF24D5C">
      <w:start w:val="1"/>
      <w:numFmt w:val="lowerLetter"/>
      <w:lvlText w:val="%8"/>
      <w:lvlJc w:val="left"/>
      <w:pPr>
        <w:ind w:left="578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4D81626">
      <w:start w:val="1"/>
      <w:numFmt w:val="lowerRoman"/>
      <w:lvlText w:val="%9"/>
      <w:lvlJc w:val="left"/>
      <w:pPr>
        <w:ind w:left="65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3DAC345A"/>
    <w:multiLevelType w:val="hybridMultilevel"/>
    <w:tmpl w:val="32D2EB70"/>
    <w:lvl w:ilvl="0" w:tplc="C56C3416">
      <w:start w:val="1"/>
      <w:numFmt w:val="bullet"/>
      <w:lvlText w:val="-"/>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47228F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2AB32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5605B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C2672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B060D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62C1EC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6620CA">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6203C9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3DD13E6A"/>
    <w:multiLevelType w:val="hybridMultilevel"/>
    <w:tmpl w:val="51B040EE"/>
    <w:lvl w:ilvl="0" w:tplc="7496FBEC">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7A2CB4">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DEA5488">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B72B236">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D0E796">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3C8720">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BBCE386">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C6E4662">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983FA2">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3E0B6E8A"/>
    <w:multiLevelType w:val="hybridMultilevel"/>
    <w:tmpl w:val="DDF6B4AA"/>
    <w:lvl w:ilvl="0" w:tplc="8510510E">
      <w:start w:val="1"/>
      <w:numFmt w:val="bullet"/>
      <w:lvlText w:val="•"/>
      <w:lvlJc w:val="left"/>
      <w:pPr>
        <w:ind w:left="21"/>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1" w:tplc="17521E62">
      <w:start w:val="1"/>
      <w:numFmt w:val="bullet"/>
      <w:lvlText w:val="o"/>
      <w:lvlJc w:val="left"/>
      <w:pPr>
        <w:ind w:left="108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2" w:tplc="FA6EFBF8">
      <w:start w:val="1"/>
      <w:numFmt w:val="bullet"/>
      <w:lvlText w:val="▪"/>
      <w:lvlJc w:val="left"/>
      <w:pPr>
        <w:ind w:left="180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3" w:tplc="147C4214">
      <w:start w:val="1"/>
      <w:numFmt w:val="bullet"/>
      <w:lvlText w:val="•"/>
      <w:lvlJc w:val="left"/>
      <w:pPr>
        <w:ind w:left="252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4" w:tplc="69C6301C">
      <w:start w:val="1"/>
      <w:numFmt w:val="bullet"/>
      <w:lvlText w:val="o"/>
      <w:lvlJc w:val="left"/>
      <w:pPr>
        <w:ind w:left="324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5" w:tplc="138E9DE8">
      <w:start w:val="1"/>
      <w:numFmt w:val="bullet"/>
      <w:lvlText w:val="▪"/>
      <w:lvlJc w:val="left"/>
      <w:pPr>
        <w:ind w:left="396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6" w:tplc="44746F7A">
      <w:start w:val="1"/>
      <w:numFmt w:val="bullet"/>
      <w:lvlText w:val="•"/>
      <w:lvlJc w:val="left"/>
      <w:pPr>
        <w:ind w:left="468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7" w:tplc="2820BD64">
      <w:start w:val="1"/>
      <w:numFmt w:val="bullet"/>
      <w:lvlText w:val="o"/>
      <w:lvlJc w:val="left"/>
      <w:pPr>
        <w:ind w:left="540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8" w:tplc="39C222B2">
      <w:start w:val="1"/>
      <w:numFmt w:val="bullet"/>
      <w:lvlText w:val="▪"/>
      <w:lvlJc w:val="left"/>
      <w:pPr>
        <w:ind w:left="612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abstractNum>
  <w:abstractNum w:abstractNumId="117" w15:restartNumberingAfterBreak="0">
    <w:nsid w:val="3E6C7E12"/>
    <w:multiLevelType w:val="hybridMultilevel"/>
    <w:tmpl w:val="AF6A0590"/>
    <w:lvl w:ilvl="0" w:tplc="CFD46D4E">
      <w:start w:val="1"/>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86D0D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0C6EA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6C698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622F0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68E4A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22FB9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4AB80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36C8DB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407579C6"/>
    <w:multiLevelType w:val="hybridMultilevel"/>
    <w:tmpl w:val="05D072C0"/>
    <w:lvl w:ilvl="0" w:tplc="C79EA73E">
      <w:start w:val="7"/>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D01F8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10EDA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40440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6C64E9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3E888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3C89D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96ABD5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6AE28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40AF2D7C"/>
    <w:multiLevelType w:val="hybridMultilevel"/>
    <w:tmpl w:val="56542528"/>
    <w:lvl w:ilvl="0" w:tplc="DE10AC56">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3AC8E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5D840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74A0D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5BEAA4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E2C231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A0E6D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9CD6E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6AB91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0C05450"/>
    <w:multiLevelType w:val="hybridMultilevel"/>
    <w:tmpl w:val="7E64685E"/>
    <w:lvl w:ilvl="0" w:tplc="6ED45BB2">
      <w:start w:val="1"/>
      <w:numFmt w:val="decimal"/>
      <w:lvlText w:val="%1."/>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072AD40">
      <w:start w:val="1"/>
      <w:numFmt w:val="lowerLetter"/>
      <w:lvlText w:val="%2"/>
      <w:lvlJc w:val="left"/>
      <w:pPr>
        <w:ind w:left="15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B208F50">
      <w:start w:val="1"/>
      <w:numFmt w:val="lowerRoman"/>
      <w:lvlText w:val="%3"/>
      <w:lvlJc w:val="left"/>
      <w:pPr>
        <w:ind w:left="22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2FA3592">
      <w:start w:val="1"/>
      <w:numFmt w:val="decimal"/>
      <w:lvlText w:val="%4"/>
      <w:lvlJc w:val="left"/>
      <w:pPr>
        <w:ind w:left="30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6545E70">
      <w:start w:val="1"/>
      <w:numFmt w:val="lowerLetter"/>
      <w:lvlText w:val="%5"/>
      <w:lvlJc w:val="left"/>
      <w:pPr>
        <w:ind w:left="37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7568F12">
      <w:start w:val="1"/>
      <w:numFmt w:val="lowerRoman"/>
      <w:lvlText w:val="%6"/>
      <w:lvlJc w:val="left"/>
      <w:pPr>
        <w:ind w:left="44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29E7D82">
      <w:start w:val="1"/>
      <w:numFmt w:val="decimal"/>
      <w:lvlText w:val="%7"/>
      <w:lvlJc w:val="left"/>
      <w:pPr>
        <w:ind w:left="51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448D8FC">
      <w:start w:val="1"/>
      <w:numFmt w:val="lowerLetter"/>
      <w:lvlText w:val="%8"/>
      <w:lvlJc w:val="left"/>
      <w:pPr>
        <w:ind w:left="58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358896A">
      <w:start w:val="1"/>
      <w:numFmt w:val="lowerRoman"/>
      <w:lvlText w:val="%9"/>
      <w:lvlJc w:val="left"/>
      <w:pPr>
        <w:ind w:left="66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41FF0E45"/>
    <w:multiLevelType w:val="hybridMultilevel"/>
    <w:tmpl w:val="26CCB770"/>
    <w:lvl w:ilvl="0" w:tplc="B860D474">
      <w:start w:val="1"/>
      <w:numFmt w:val="bullet"/>
      <w:lvlText w:val="•"/>
      <w:lvlJc w:val="left"/>
      <w:pPr>
        <w:ind w:left="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26725EFA">
      <w:start w:val="1"/>
      <w:numFmt w:val="bullet"/>
      <w:lvlText w:val="o"/>
      <w:lvlJc w:val="left"/>
      <w:pPr>
        <w:ind w:left="1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380A4854">
      <w:start w:val="1"/>
      <w:numFmt w:val="bullet"/>
      <w:lvlText w:val="▪"/>
      <w:lvlJc w:val="left"/>
      <w:pPr>
        <w:ind w:left="1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2398E1AA">
      <w:start w:val="1"/>
      <w:numFmt w:val="bullet"/>
      <w:lvlText w:val="•"/>
      <w:lvlJc w:val="left"/>
      <w:pPr>
        <w:ind w:left="2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78C641C">
      <w:start w:val="1"/>
      <w:numFmt w:val="bullet"/>
      <w:lvlText w:val="o"/>
      <w:lvlJc w:val="left"/>
      <w:pPr>
        <w:ind w:left="3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DC3204FE">
      <w:start w:val="1"/>
      <w:numFmt w:val="bullet"/>
      <w:lvlText w:val="▪"/>
      <w:lvlJc w:val="left"/>
      <w:pPr>
        <w:ind w:left="39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01BA8F7E">
      <w:start w:val="1"/>
      <w:numFmt w:val="bullet"/>
      <w:lvlText w:val="•"/>
      <w:lvlJc w:val="left"/>
      <w:pPr>
        <w:ind w:left="46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53B255EE">
      <w:start w:val="1"/>
      <w:numFmt w:val="bullet"/>
      <w:lvlText w:val="o"/>
      <w:lvlJc w:val="left"/>
      <w:pPr>
        <w:ind w:left="54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EB90B49E">
      <w:start w:val="1"/>
      <w:numFmt w:val="bullet"/>
      <w:lvlText w:val="▪"/>
      <w:lvlJc w:val="left"/>
      <w:pPr>
        <w:ind w:left="61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22" w15:restartNumberingAfterBreak="0">
    <w:nsid w:val="427704E2"/>
    <w:multiLevelType w:val="hybridMultilevel"/>
    <w:tmpl w:val="0FF0AA20"/>
    <w:lvl w:ilvl="0" w:tplc="01C4272C">
      <w:start w:val="1"/>
      <w:numFmt w:val="decimal"/>
      <w:lvlText w:val="%1."/>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94A7B26">
      <w:start w:val="1"/>
      <w:numFmt w:val="lowerLetter"/>
      <w:lvlText w:val="%2"/>
      <w:lvlJc w:val="left"/>
      <w:pPr>
        <w:ind w:left="15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36200DC">
      <w:start w:val="1"/>
      <w:numFmt w:val="lowerRoman"/>
      <w:lvlText w:val="%3"/>
      <w:lvlJc w:val="left"/>
      <w:pPr>
        <w:ind w:left="22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874BBD4">
      <w:start w:val="1"/>
      <w:numFmt w:val="decimal"/>
      <w:lvlText w:val="%4"/>
      <w:lvlJc w:val="left"/>
      <w:pPr>
        <w:ind w:left="30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42250B6">
      <w:start w:val="1"/>
      <w:numFmt w:val="lowerLetter"/>
      <w:lvlText w:val="%5"/>
      <w:lvlJc w:val="left"/>
      <w:pPr>
        <w:ind w:left="37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2585022">
      <w:start w:val="1"/>
      <w:numFmt w:val="lowerRoman"/>
      <w:lvlText w:val="%6"/>
      <w:lvlJc w:val="left"/>
      <w:pPr>
        <w:ind w:left="44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CF03318">
      <w:start w:val="1"/>
      <w:numFmt w:val="decimal"/>
      <w:lvlText w:val="%7"/>
      <w:lvlJc w:val="left"/>
      <w:pPr>
        <w:ind w:left="51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F4C1AA2">
      <w:start w:val="1"/>
      <w:numFmt w:val="lowerLetter"/>
      <w:lvlText w:val="%8"/>
      <w:lvlJc w:val="left"/>
      <w:pPr>
        <w:ind w:left="58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7506CB0">
      <w:start w:val="1"/>
      <w:numFmt w:val="lowerRoman"/>
      <w:lvlText w:val="%9"/>
      <w:lvlJc w:val="left"/>
      <w:pPr>
        <w:ind w:left="660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42CC45CF"/>
    <w:multiLevelType w:val="hybridMultilevel"/>
    <w:tmpl w:val="D7964402"/>
    <w:lvl w:ilvl="0" w:tplc="7338AD4C">
      <w:start w:val="1"/>
      <w:numFmt w:val="lowerLetter"/>
      <w:lvlText w:val="%1)"/>
      <w:lvlJc w:val="left"/>
      <w:pPr>
        <w:ind w:left="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905A88">
      <w:start w:val="1"/>
      <w:numFmt w:val="lowerLetter"/>
      <w:lvlText w:val="%2"/>
      <w:lvlJc w:val="left"/>
      <w:pPr>
        <w:ind w:left="1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5F8E60A">
      <w:start w:val="1"/>
      <w:numFmt w:val="lowerRoman"/>
      <w:lvlText w:val="%3"/>
      <w:lvlJc w:val="left"/>
      <w:pPr>
        <w:ind w:left="2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8F63498">
      <w:start w:val="1"/>
      <w:numFmt w:val="decimal"/>
      <w:lvlText w:val="%4"/>
      <w:lvlJc w:val="left"/>
      <w:pPr>
        <w:ind w:left="2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D427F6">
      <w:start w:val="1"/>
      <w:numFmt w:val="lowerLetter"/>
      <w:lvlText w:val="%5"/>
      <w:lvlJc w:val="left"/>
      <w:pPr>
        <w:ind w:left="3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034DFCE">
      <w:start w:val="1"/>
      <w:numFmt w:val="lowerRoman"/>
      <w:lvlText w:val="%6"/>
      <w:lvlJc w:val="left"/>
      <w:pPr>
        <w:ind w:left="4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AD048E0">
      <w:start w:val="1"/>
      <w:numFmt w:val="decimal"/>
      <w:lvlText w:val="%7"/>
      <w:lvlJc w:val="left"/>
      <w:pPr>
        <w:ind w:left="4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E413D2">
      <w:start w:val="1"/>
      <w:numFmt w:val="lowerLetter"/>
      <w:lvlText w:val="%8"/>
      <w:lvlJc w:val="left"/>
      <w:pPr>
        <w:ind w:left="5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20E4E2">
      <w:start w:val="1"/>
      <w:numFmt w:val="lowerRoman"/>
      <w:lvlText w:val="%9"/>
      <w:lvlJc w:val="left"/>
      <w:pPr>
        <w:ind w:left="6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43F013A5"/>
    <w:multiLevelType w:val="hybridMultilevel"/>
    <w:tmpl w:val="843ED8E0"/>
    <w:lvl w:ilvl="0" w:tplc="C7549AC8">
      <w:start w:val="1"/>
      <w:numFmt w:val="lowerLetter"/>
      <w:lvlText w:val="%1)"/>
      <w:lvlJc w:val="left"/>
      <w:pPr>
        <w:ind w:left="9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F6ED94">
      <w:start w:val="1"/>
      <w:numFmt w:val="lowerLetter"/>
      <w:lvlText w:val="%2"/>
      <w:lvlJc w:val="left"/>
      <w:pPr>
        <w:ind w:left="1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CCBD3C">
      <w:start w:val="1"/>
      <w:numFmt w:val="lowerRoman"/>
      <w:lvlText w:val="%3"/>
      <w:lvlJc w:val="left"/>
      <w:pPr>
        <w:ind w:left="2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1A1F86">
      <w:start w:val="1"/>
      <w:numFmt w:val="decimal"/>
      <w:lvlText w:val="%4"/>
      <w:lvlJc w:val="left"/>
      <w:pPr>
        <w:ind w:left="2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D4FF9E">
      <w:start w:val="1"/>
      <w:numFmt w:val="lowerLetter"/>
      <w:lvlText w:val="%5"/>
      <w:lvlJc w:val="left"/>
      <w:pPr>
        <w:ind w:left="3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2684478">
      <w:start w:val="1"/>
      <w:numFmt w:val="lowerRoman"/>
      <w:lvlText w:val="%6"/>
      <w:lvlJc w:val="left"/>
      <w:pPr>
        <w:ind w:left="4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8EEB362">
      <w:start w:val="1"/>
      <w:numFmt w:val="decimal"/>
      <w:lvlText w:val="%7"/>
      <w:lvlJc w:val="left"/>
      <w:pPr>
        <w:ind w:left="49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7E5A44">
      <w:start w:val="1"/>
      <w:numFmt w:val="lowerLetter"/>
      <w:lvlText w:val="%8"/>
      <w:lvlJc w:val="left"/>
      <w:pPr>
        <w:ind w:left="5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24F486">
      <w:start w:val="1"/>
      <w:numFmt w:val="lowerRoman"/>
      <w:lvlText w:val="%9"/>
      <w:lvlJc w:val="left"/>
      <w:pPr>
        <w:ind w:left="6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441F2377"/>
    <w:multiLevelType w:val="hybridMultilevel"/>
    <w:tmpl w:val="700E6848"/>
    <w:lvl w:ilvl="0" w:tplc="F10CF780">
      <w:start w:val="1"/>
      <w:numFmt w:val="bullet"/>
      <w:lvlText w:val="*"/>
      <w:lvlJc w:val="left"/>
      <w:pPr>
        <w:ind w:left="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A4791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E646BF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84246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2FED7D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C6614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7680C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4EF52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5E05C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42D37E1"/>
    <w:multiLevelType w:val="hybridMultilevel"/>
    <w:tmpl w:val="DF24EC56"/>
    <w:lvl w:ilvl="0" w:tplc="578AB512">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B4C548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F4CD4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316B6F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212C48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EE48EF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0679A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727F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423BB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48F667A"/>
    <w:multiLevelType w:val="hybridMultilevel"/>
    <w:tmpl w:val="20FE13F6"/>
    <w:lvl w:ilvl="0" w:tplc="1F6CC318">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36088C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84AFF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74E89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68FE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D46C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6C5F3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292AFF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3EC15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44B930D1"/>
    <w:multiLevelType w:val="hybridMultilevel"/>
    <w:tmpl w:val="E87A4772"/>
    <w:lvl w:ilvl="0" w:tplc="49047DEA">
      <w:start w:val="4"/>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36429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98513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46832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6013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BC4E10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C01C0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8CE00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10056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45254D80"/>
    <w:multiLevelType w:val="hybridMultilevel"/>
    <w:tmpl w:val="D7E041D8"/>
    <w:lvl w:ilvl="0" w:tplc="784EE1F0">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5626F6">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6E411E">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B48122">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9293A2">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0068900">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CCC680">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0675E4">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E236D0">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48924A89"/>
    <w:multiLevelType w:val="hybridMultilevel"/>
    <w:tmpl w:val="56F451AA"/>
    <w:lvl w:ilvl="0" w:tplc="646AB7A8">
      <w:start w:val="1"/>
      <w:numFmt w:val="lowerLetter"/>
      <w:lvlText w:val="%1)"/>
      <w:lvlJc w:val="left"/>
      <w:pPr>
        <w:ind w:left="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A3E03D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0617D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1899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A2627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802768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CEE5E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C6AB94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1AA6BE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48EE252F"/>
    <w:multiLevelType w:val="hybridMultilevel"/>
    <w:tmpl w:val="62ACC0A6"/>
    <w:lvl w:ilvl="0" w:tplc="189EA44A">
      <w:start w:val="1"/>
      <w:numFmt w:val="decimal"/>
      <w:lvlText w:val="%1."/>
      <w:lvlJc w:val="left"/>
      <w:pPr>
        <w:ind w:left="25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C2617D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3F2D10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8308DA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DA0FC5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CFECD6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DC82CF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F509FC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3A09F9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495462AE"/>
    <w:multiLevelType w:val="hybridMultilevel"/>
    <w:tmpl w:val="D7463692"/>
    <w:lvl w:ilvl="0" w:tplc="CAEAE5FE">
      <w:start w:val="1"/>
      <w:numFmt w:val="bullet"/>
      <w:lvlText w:val="•"/>
      <w:lvlJc w:val="left"/>
      <w:pPr>
        <w:ind w:left="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CF28A76E">
      <w:start w:val="1"/>
      <w:numFmt w:val="bullet"/>
      <w:lvlText w:val="o"/>
      <w:lvlJc w:val="left"/>
      <w:pPr>
        <w:ind w:left="10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A1B066C2">
      <w:start w:val="1"/>
      <w:numFmt w:val="bullet"/>
      <w:lvlText w:val="▪"/>
      <w:lvlJc w:val="left"/>
      <w:pPr>
        <w:ind w:left="18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8D2C49BE">
      <w:start w:val="1"/>
      <w:numFmt w:val="bullet"/>
      <w:lvlText w:val="•"/>
      <w:lvlJc w:val="left"/>
      <w:pPr>
        <w:ind w:left="25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6C5C942E">
      <w:start w:val="1"/>
      <w:numFmt w:val="bullet"/>
      <w:lvlText w:val="o"/>
      <w:lvlJc w:val="left"/>
      <w:pPr>
        <w:ind w:left="324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541E8F9E">
      <w:start w:val="1"/>
      <w:numFmt w:val="bullet"/>
      <w:lvlText w:val="▪"/>
      <w:lvlJc w:val="left"/>
      <w:pPr>
        <w:ind w:left="39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410C4CC">
      <w:start w:val="1"/>
      <w:numFmt w:val="bullet"/>
      <w:lvlText w:val="•"/>
      <w:lvlJc w:val="left"/>
      <w:pPr>
        <w:ind w:left="468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7C320402">
      <w:start w:val="1"/>
      <w:numFmt w:val="bullet"/>
      <w:lvlText w:val="o"/>
      <w:lvlJc w:val="left"/>
      <w:pPr>
        <w:ind w:left="540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2D322316">
      <w:start w:val="1"/>
      <w:numFmt w:val="bullet"/>
      <w:lvlText w:val="▪"/>
      <w:lvlJc w:val="left"/>
      <w:pPr>
        <w:ind w:left="612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33" w15:restartNumberingAfterBreak="0">
    <w:nsid w:val="49946C2A"/>
    <w:multiLevelType w:val="hybridMultilevel"/>
    <w:tmpl w:val="9ECEF3DC"/>
    <w:lvl w:ilvl="0" w:tplc="0512D99E">
      <w:start w:val="1"/>
      <w:numFmt w:val="decimal"/>
      <w:lvlText w:val="%1."/>
      <w:lvlJc w:val="left"/>
      <w:pPr>
        <w:ind w:left="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9486F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E8EEC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446C5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8063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083D1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F49E5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5522B3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9A5D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4AEE6079"/>
    <w:multiLevelType w:val="hybridMultilevel"/>
    <w:tmpl w:val="9B1897D0"/>
    <w:lvl w:ilvl="0" w:tplc="A81E1582">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56DC5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C8E23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5A45A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82F21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AB032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FB2310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AC2F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06171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B105DA6"/>
    <w:multiLevelType w:val="hybridMultilevel"/>
    <w:tmpl w:val="ECA88A8C"/>
    <w:lvl w:ilvl="0" w:tplc="99083D78">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F2BAA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8C46D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EF63B7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D66E9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F4EED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66E11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4C4B1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08B17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6" w15:restartNumberingAfterBreak="0">
    <w:nsid w:val="4B4723FA"/>
    <w:multiLevelType w:val="hybridMultilevel"/>
    <w:tmpl w:val="CC70712E"/>
    <w:lvl w:ilvl="0" w:tplc="6C36C4A0">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F2D0D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22FFA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DCCEB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CD090C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7B6177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65402F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EFE4C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D47A3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B774DBB"/>
    <w:multiLevelType w:val="hybridMultilevel"/>
    <w:tmpl w:val="9F6A4048"/>
    <w:lvl w:ilvl="0" w:tplc="6F048CD4">
      <w:start w:val="1"/>
      <w:numFmt w:val="lowerLetter"/>
      <w:lvlText w:val="%1)"/>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1D2F48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828E6E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B668B1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79AC4A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4CC024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FCEC33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19AAF8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0E0AEB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4BE72420"/>
    <w:multiLevelType w:val="hybridMultilevel"/>
    <w:tmpl w:val="281C08D2"/>
    <w:lvl w:ilvl="0" w:tplc="B49E9C5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52CBB3C">
      <w:start w:val="1"/>
      <w:numFmt w:val="lowerLetter"/>
      <w:lvlText w:val="%2"/>
      <w:lvlJc w:val="left"/>
      <w:pPr>
        <w:ind w:left="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6C8D2A6">
      <w:start w:val="1"/>
      <w:numFmt w:val="decimal"/>
      <w:lvlRestart w:val="0"/>
      <w:lvlText w:val="%3)"/>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AEEDFC">
      <w:start w:val="1"/>
      <w:numFmt w:val="decimal"/>
      <w:lvlText w:val="%4"/>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65C2DF8">
      <w:start w:val="1"/>
      <w:numFmt w:val="lowerLetter"/>
      <w:lvlText w:val="%5"/>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CFE5896">
      <w:start w:val="1"/>
      <w:numFmt w:val="lowerRoman"/>
      <w:lvlText w:val="%6"/>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49E65AA">
      <w:start w:val="1"/>
      <w:numFmt w:val="decimal"/>
      <w:lvlText w:val="%7"/>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3A7CD4">
      <w:start w:val="1"/>
      <w:numFmt w:val="lowerLetter"/>
      <w:lvlText w:val="%8"/>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22F646">
      <w:start w:val="1"/>
      <w:numFmt w:val="lowerRoman"/>
      <w:lvlText w:val="%9"/>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C176152"/>
    <w:multiLevelType w:val="hybridMultilevel"/>
    <w:tmpl w:val="7EB2F67E"/>
    <w:lvl w:ilvl="0" w:tplc="E4C62E24">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6D00D4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4019E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C0946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06ECD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D7C23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90CF0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127BD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854CC1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4E030715"/>
    <w:multiLevelType w:val="hybridMultilevel"/>
    <w:tmpl w:val="DF623C48"/>
    <w:lvl w:ilvl="0" w:tplc="1B6A3508">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5C6EB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EEDEB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D8665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1C93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A789D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CF068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98D65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6DC43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4EED1A3C"/>
    <w:multiLevelType w:val="hybridMultilevel"/>
    <w:tmpl w:val="65EEBB9E"/>
    <w:lvl w:ilvl="0" w:tplc="2E2A68B0">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FE85B3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5782F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1CCBF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600D1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40EF1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18C227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AC7A7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3C46A2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4F663780"/>
    <w:multiLevelType w:val="hybridMultilevel"/>
    <w:tmpl w:val="EB0019EC"/>
    <w:lvl w:ilvl="0" w:tplc="E668C00A">
      <w:start w:val="1"/>
      <w:numFmt w:val="lowerLetter"/>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21C613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9EF8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0C8EC8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1AF1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0DA3DC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929C5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E43E8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E129F5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4F7B7249"/>
    <w:multiLevelType w:val="hybridMultilevel"/>
    <w:tmpl w:val="64C66C42"/>
    <w:lvl w:ilvl="0" w:tplc="7C3EBC3E">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7852D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1E026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885C2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2AF6E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11E5BB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0EF35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8C0B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3E8B8C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2345158"/>
    <w:multiLevelType w:val="hybridMultilevel"/>
    <w:tmpl w:val="B69284F0"/>
    <w:lvl w:ilvl="0" w:tplc="7A0CA502">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B8413A2">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4BCD382">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D3ACB2E">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C248CA">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52E830">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CAB944">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D48AA2">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8A48AC4">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52A54559"/>
    <w:multiLevelType w:val="hybridMultilevel"/>
    <w:tmpl w:val="34A8894C"/>
    <w:lvl w:ilvl="0" w:tplc="9A0430BE">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E2955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FA3FC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ECA56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0B2B2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F98E05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EE40F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7D6507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6AAA0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53EB31AE"/>
    <w:multiLevelType w:val="hybridMultilevel"/>
    <w:tmpl w:val="35FEB946"/>
    <w:lvl w:ilvl="0" w:tplc="525893D4">
      <w:start w:val="1"/>
      <w:numFmt w:val="lowerLetter"/>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78288F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05C6B5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EEEB5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64FA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1868F6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88EB3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28599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51A73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5560031"/>
    <w:multiLevelType w:val="hybridMultilevel"/>
    <w:tmpl w:val="18DE6306"/>
    <w:lvl w:ilvl="0" w:tplc="68529AD0">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158823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D0A062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060920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E4159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EFCB31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E08752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2005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F0880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55590EFB"/>
    <w:multiLevelType w:val="hybridMultilevel"/>
    <w:tmpl w:val="A7D058CA"/>
    <w:lvl w:ilvl="0" w:tplc="90A69514">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8A7C6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3C7E3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224E8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94FA9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6CEF4F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B02950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E4221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0608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55974D76"/>
    <w:multiLevelType w:val="hybridMultilevel"/>
    <w:tmpl w:val="DE5628D8"/>
    <w:lvl w:ilvl="0" w:tplc="2932EEB2">
      <w:start w:val="1"/>
      <w:numFmt w:val="bullet"/>
      <w:lvlText w:val="-"/>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2491A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80873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BC281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64A6A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1E3F4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CE8F42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4FC8C9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B00B75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560129A8"/>
    <w:multiLevelType w:val="hybridMultilevel"/>
    <w:tmpl w:val="B3C41D7A"/>
    <w:lvl w:ilvl="0" w:tplc="4BD49782">
      <w:start w:val="4"/>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8EA74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90A875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E238F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E0CA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E9CEBA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9F001D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069B9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8EEB6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57D0165E"/>
    <w:multiLevelType w:val="hybridMultilevel"/>
    <w:tmpl w:val="9620EC76"/>
    <w:lvl w:ilvl="0" w:tplc="0BC6EF04">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63C57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7876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587C0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2E078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D3CD25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084DD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EC832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E6204F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80873CB"/>
    <w:multiLevelType w:val="hybridMultilevel"/>
    <w:tmpl w:val="169229A6"/>
    <w:lvl w:ilvl="0" w:tplc="526A2906">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400A3F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BAC5EC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00C41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32CA5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1EAEC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DCA40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7F62EA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0E4B7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84C2F50"/>
    <w:multiLevelType w:val="hybridMultilevel"/>
    <w:tmpl w:val="928EE928"/>
    <w:lvl w:ilvl="0" w:tplc="4F5831CC">
      <w:start w:val="1"/>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72509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9285D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164B86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2400A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8FA32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F323B6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4A20BB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98BD7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589B0DFF"/>
    <w:multiLevelType w:val="hybridMultilevel"/>
    <w:tmpl w:val="5E08E03C"/>
    <w:lvl w:ilvl="0" w:tplc="F606CF36">
      <w:start w:val="1"/>
      <w:numFmt w:val="bullet"/>
      <w:lvlText w:val="-"/>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E0395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8B69B9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3C412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B27124">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A3E25C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D76B39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8E794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CC10F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58A33072"/>
    <w:multiLevelType w:val="hybridMultilevel"/>
    <w:tmpl w:val="798EDF10"/>
    <w:lvl w:ilvl="0" w:tplc="018E0B8A">
      <w:start w:val="1"/>
      <w:numFmt w:val="lowerLetter"/>
      <w:lvlText w:val="%1)"/>
      <w:lvlJc w:val="left"/>
      <w:pPr>
        <w:ind w:left="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CE83EC">
      <w:start w:val="1"/>
      <w:numFmt w:val="lowerLetter"/>
      <w:lvlText w:val="%2"/>
      <w:lvlJc w:val="left"/>
      <w:pPr>
        <w:ind w:left="10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40C1FBC">
      <w:start w:val="1"/>
      <w:numFmt w:val="lowerRoman"/>
      <w:lvlText w:val="%3"/>
      <w:lvlJc w:val="left"/>
      <w:pPr>
        <w:ind w:left="18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7EE7A68">
      <w:start w:val="1"/>
      <w:numFmt w:val="decimal"/>
      <w:lvlText w:val="%4"/>
      <w:lvlJc w:val="left"/>
      <w:pPr>
        <w:ind w:left="2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2CE2FB0">
      <w:start w:val="1"/>
      <w:numFmt w:val="lowerLetter"/>
      <w:lvlText w:val="%5"/>
      <w:lvlJc w:val="left"/>
      <w:pPr>
        <w:ind w:left="32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8086976">
      <w:start w:val="1"/>
      <w:numFmt w:val="lowerRoman"/>
      <w:lvlText w:val="%6"/>
      <w:lvlJc w:val="left"/>
      <w:pPr>
        <w:ind w:left="39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B263E1E">
      <w:start w:val="1"/>
      <w:numFmt w:val="decimal"/>
      <w:lvlText w:val="%7"/>
      <w:lvlJc w:val="left"/>
      <w:pPr>
        <w:ind w:left="4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48BAAE">
      <w:start w:val="1"/>
      <w:numFmt w:val="lowerLetter"/>
      <w:lvlText w:val="%8"/>
      <w:lvlJc w:val="left"/>
      <w:pPr>
        <w:ind w:left="54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8548DEE">
      <w:start w:val="1"/>
      <w:numFmt w:val="lowerRoman"/>
      <w:lvlText w:val="%9"/>
      <w:lvlJc w:val="left"/>
      <w:pPr>
        <w:ind w:left="61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5A011F9C"/>
    <w:multiLevelType w:val="hybridMultilevel"/>
    <w:tmpl w:val="D44880CA"/>
    <w:lvl w:ilvl="0" w:tplc="64DA5BD2">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5CD0">
      <w:start w:val="1"/>
      <w:numFmt w:val="lowerLetter"/>
      <w:lvlText w:val="%2"/>
      <w:lvlJc w:val="left"/>
      <w:pPr>
        <w:ind w:left="10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6A52C2">
      <w:start w:val="1"/>
      <w:numFmt w:val="lowerRoman"/>
      <w:lvlText w:val="%3"/>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59A41FA">
      <w:start w:val="1"/>
      <w:numFmt w:val="decimal"/>
      <w:lvlText w:val="%4"/>
      <w:lvlJc w:val="left"/>
      <w:pPr>
        <w:ind w:left="2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46FD84">
      <w:start w:val="1"/>
      <w:numFmt w:val="lowerLetter"/>
      <w:lvlText w:val="%5"/>
      <w:lvlJc w:val="left"/>
      <w:pPr>
        <w:ind w:left="32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922F76">
      <w:start w:val="1"/>
      <w:numFmt w:val="lowerRoman"/>
      <w:lvlText w:val="%6"/>
      <w:lvlJc w:val="left"/>
      <w:pPr>
        <w:ind w:left="3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D05B44">
      <w:start w:val="1"/>
      <w:numFmt w:val="decimal"/>
      <w:lvlText w:val="%7"/>
      <w:lvlJc w:val="left"/>
      <w:pPr>
        <w:ind w:left="46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043204">
      <w:start w:val="1"/>
      <w:numFmt w:val="lowerLetter"/>
      <w:lvlText w:val="%8"/>
      <w:lvlJc w:val="left"/>
      <w:pPr>
        <w:ind w:left="54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6CB64A">
      <w:start w:val="1"/>
      <w:numFmt w:val="lowerRoman"/>
      <w:lvlText w:val="%9"/>
      <w:lvlJc w:val="left"/>
      <w:pPr>
        <w:ind w:left="61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5A6938E3"/>
    <w:multiLevelType w:val="hybridMultilevel"/>
    <w:tmpl w:val="52389A82"/>
    <w:lvl w:ilvl="0" w:tplc="DF8ED6A2">
      <w:start w:val="1"/>
      <w:numFmt w:val="bullet"/>
      <w:lvlText w:val="-"/>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045AC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AE09B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CBE5B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1ABF2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D18372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5A18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4573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3DEBA54">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5A8022E7"/>
    <w:multiLevelType w:val="hybridMultilevel"/>
    <w:tmpl w:val="874CFAB0"/>
    <w:lvl w:ilvl="0" w:tplc="F40CF3EC">
      <w:start w:val="19"/>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666A2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2AE5F7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F2571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6A8A9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5AB29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0407E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D3EF8A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EEE6B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AB92D69"/>
    <w:multiLevelType w:val="hybridMultilevel"/>
    <w:tmpl w:val="A18AADA8"/>
    <w:lvl w:ilvl="0" w:tplc="8488B58C">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B000E8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67A17F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F94104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E521EE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2E65A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6209A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A8598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7099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C556CCC"/>
    <w:multiLevelType w:val="hybridMultilevel"/>
    <w:tmpl w:val="515A477A"/>
    <w:lvl w:ilvl="0" w:tplc="5F6AC4DE">
      <w:start w:val="1"/>
      <w:numFmt w:val="lowerLetter"/>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D6390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3872F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29090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A0042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4CA04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46C09A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DC5B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9ACBCE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5DFF4259"/>
    <w:multiLevelType w:val="hybridMultilevel"/>
    <w:tmpl w:val="1BA4E7EC"/>
    <w:lvl w:ilvl="0" w:tplc="D1B83A7E">
      <w:start w:val="1"/>
      <w:numFmt w:val="bullet"/>
      <w:lvlText w:val="-"/>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096C33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88D43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238E0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BC4236">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E6BAE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12ACA8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7E977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4A6908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5E7568B8"/>
    <w:multiLevelType w:val="hybridMultilevel"/>
    <w:tmpl w:val="7048EB12"/>
    <w:lvl w:ilvl="0" w:tplc="B1E8851A">
      <w:start w:val="1"/>
      <w:numFmt w:val="bullet"/>
      <w:lvlText w:val="•"/>
      <w:lvlJc w:val="left"/>
      <w:pPr>
        <w:ind w:left="21"/>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1" w:tplc="CB646D6A">
      <w:start w:val="1"/>
      <w:numFmt w:val="bullet"/>
      <w:lvlText w:val="o"/>
      <w:lvlJc w:val="left"/>
      <w:pPr>
        <w:ind w:left="108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2" w:tplc="1A5E07F0">
      <w:start w:val="1"/>
      <w:numFmt w:val="bullet"/>
      <w:lvlText w:val="▪"/>
      <w:lvlJc w:val="left"/>
      <w:pPr>
        <w:ind w:left="180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3" w:tplc="01DCA768">
      <w:start w:val="1"/>
      <w:numFmt w:val="bullet"/>
      <w:lvlText w:val="•"/>
      <w:lvlJc w:val="left"/>
      <w:pPr>
        <w:ind w:left="252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4" w:tplc="BC081626">
      <w:start w:val="1"/>
      <w:numFmt w:val="bullet"/>
      <w:lvlText w:val="o"/>
      <w:lvlJc w:val="left"/>
      <w:pPr>
        <w:ind w:left="324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5" w:tplc="37705052">
      <w:start w:val="1"/>
      <w:numFmt w:val="bullet"/>
      <w:lvlText w:val="▪"/>
      <w:lvlJc w:val="left"/>
      <w:pPr>
        <w:ind w:left="396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6" w:tplc="C3FC3F42">
      <w:start w:val="1"/>
      <w:numFmt w:val="bullet"/>
      <w:lvlText w:val="•"/>
      <w:lvlJc w:val="left"/>
      <w:pPr>
        <w:ind w:left="468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7" w:tplc="1EAAE984">
      <w:start w:val="1"/>
      <w:numFmt w:val="bullet"/>
      <w:lvlText w:val="o"/>
      <w:lvlJc w:val="left"/>
      <w:pPr>
        <w:ind w:left="540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lvl w:ilvl="8" w:tplc="23B650D0">
      <w:start w:val="1"/>
      <w:numFmt w:val="bullet"/>
      <w:lvlText w:val="▪"/>
      <w:lvlJc w:val="left"/>
      <w:pPr>
        <w:ind w:left="6125"/>
      </w:pPr>
      <w:rPr>
        <w:rFonts w:ascii="Arial" w:eastAsia="Arial" w:hAnsi="Arial" w:cs="Arial"/>
        <w:b w:val="0"/>
        <w:i w:val="0"/>
        <w:strike w:val="0"/>
        <w:dstrike w:val="0"/>
        <w:color w:val="8A1C3F"/>
        <w:sz w:val="23"/>
        <w:szCs w:val="23"/>
        <w:u w:val="none" w:color="000000"/>
        <w:bdr w:val="none" w:sz="0" w:space="0" w:color="auto"/>
        <w:shd w:val="clear" w:color="auto" w:fill="auto"/>
        <w:vertAlign w:val="baseline"/>
      </w:rPr>
    </w:lvl>
  </w:abstractNum>
  <w:abstractNum w:abstractNumId="163" w15:restartNumberingAfterBreak="0">
    <w:nsid w:val="5ED447D6"/>
    <w:multiLevelType w:val="hybridMultilevel"/>
    <w:tmpl w:val="40320E74"/>
    <w:lvl w:ilvl="0" w:tplc="D1122F3E">
      <w:start w:val="1"/>
      <w:numFmt w:val="bullet"/>
      <w:lvlText w:val="-"/>
      <w:lvlJc w:val="left"/>
      <w:pPr>
        <w:ind w:left="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E8C6BA68">
      <w:start w:val="1"/>
      <w:numFmt w:val="bullet"/>
      <w:lvlText w:val="o"/>
      <w:lvlJc w:val="left"/>
      <w:pPr>
        <w:ind w:left="10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D0584448">
      <w:start w:val="1"/>
      <w:numFmt w:val="bullet"/>
      <w:lvlText w:val="▪"/>
      <w:lvlJc w:val="left"/>
      <w:pPr>
        <w:ind w:left="18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F1527A36">
      <w:start w:val="1"/>
      <w:numFmt w:val="bullet"/>
      <w:lvlText w:val="•"/>
      <w:lvlJc w:val="left"/>
      <w:pPr>
        <w:ind w:left="25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EE480590">
      <w:start w:val="1"/>
      <w:numFmt w:val="bullet"/>
      <w:lvlText w:val="o"/>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D744CB70">
      <w:start w:val="1"/>
      <w:numFmt w:val="bullet"/>
      <w:lvlText w:val="▪"/>
      <w:lvlJc w:val="left"/>
      <w:pPr>
        <w:ind w:left="396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3904AEC0">
      <w:start w:val="1"/>
      <w:numFmt w:val="bullet"/>
      <w:lvlText w:val="•"/>
      <w:lvlJc w:val="left"/>
      <w:pPr>
        <w:ind w:left="468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4C6D8CC">
      <w:start w:val="1"/>
      <w:numFmt w:val="bullet"/>
      <w:lvlText w:val="o"/>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AD004A66">
      <w:start w:val="1"/>
      <w:numFmt w:val="bullet"/>
      <w:lvlText w:val="▪"/>
      <w:lvlJc w:val="left"/>
      <w:pPr>
        <w:ind w:left="612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64" w15:restartNumberingAfterBreak="0">
    <w:nsid w:val="5F700F3B"/>
    <w:multiLevelType w:val="hybridMultilevel"/>
    <w:tmpl w:val="FD28A8F8"/>
    <w:lvl w:ilvl="0" w:tplc="CCA67D58">
      <w:start w:val="1"/>
      <w:numFmt w:val="bullet"/>
      <w:lvlText w:val="•"/>
      <w:lvlJc w:val="left"/>
      <w:pPr>
        <w:ind w:left="73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50C65BC">
      <w:start w:val="1"/>
      <w:numFmt w:val="bullet"/>
      <w:lvlText w:val="o"/>
      <w:lvlJc w:val="left"/>
      <w:pPr>
        <w:ind w:left="145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3400454A">
      <w:start w:val="1"/>
      <w:numFmt w:val="bullet"/>
      <w:lvlText w:val="▪"/>
      <w:lvlJc w:val="left"/>
      <w:pPr>
        <w:ind w:left="217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9C5627C6">
      <w:start w:val="1"/>
      <w:numFmt w:val="bullet"/>
      <w:lvlText w:val="•"/>
      <w:lvlJc w:val="left"/>
      <w:pPr>
        <w:ind w:left="289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4508ACE0">
      <w:start w:val="1"/>
      <w:numFmt w:val="bullet"/>
      <w:lvlText w:val="o"/>
      <w:lvlJc w:val="left"/>
      <w:pPr>
        <w:ind w:left="361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FA0ADB0">
      <w:start w:val="1"/>
      <w:numFmt w:val="bullet"/>
      <w:lvlText w:val="▪"/>
      <w:lvlJc w:val="left"/>
      <w:pPr>
        <w:ind w:left="433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C67C03A2">
      <w:start w:val="1"/>
      <w:numFmt w:val="bullet"/>
      <w:lvlText w:val="•"/>
      <w:lvlJc w:val="left"/>
      <w:pPr>
        <w:ind w:left="5052"/>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C3A4028C">
      <w:start w:val="1"/>
      <w:numFmt w:val="bullet"/>
      <w:lvlText w:val="o"/>
      <w:lvlJc w:val="left"/>
      <w:pPr>
        <w:ind w:left="577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0C6603FC">
      <w:start w:val="1"/>
      <w:numFmt w:val="bullet"/>
      <w:lvlText w:val="▪"/>
      <w:lvlJc w:val="left"/>
      <w:pPr>
        <w:ind w:left="6492"/>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65" w15:restartNumberingAfterBreak="0">
    <w:nsid w:val="5F865390"/>
    <w:multiLevelType w:val="hybridMultilevel"/>
    <w:tmpl w:val="064619C0"/>
    <w:lvl w:ilvl="0" w:tplc="2340C29C">
      <w:start w:val="1"/>
      <w:numFmt w:val="bullet"/>
      <w:lvlText w:val="•"/>
      <w:lvlJc w:val="left"/>
      <w:pPr>
        <w:ind w:left="16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8A382150">
      <w:start w:val="1"/>
      <w:numFmt w:val="bullet"/>
      <w:lvlText w:val="o"/>
      <w:lvlJc w:val="left"/>
      <w:pPr>
        <w:ind w:left="10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5B10F394">
      <w:start w:val="1"/>
      <w:numFmt w:val="bullet"/>
      <w:lvlText w:val="▪"/>
      <w:lvlJc w:val="left"/>
      <w:pPr>
        <w:ind w:left="18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3" w:tplc="0DACCB46">
      <w:start w:val="1"/>
      <w:numFmt w:val="bullet"/>
      <w:lvlText w:val="•"/>
      <w:lvlJc w:val="left"/>
      <w:pPr>
        <w:ind w:left="25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BC5CC56C">
      <w:start w:val="1"/>
      <w:numFmt w:val="bullet"/>
      <w:lvlText w:val="o"/>
      <w:lvlJc w:val="left"/>
      <w:pPr>
        <w:ind w:left="324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5" w:tplc="36C49004">
      <w:start w:val="1"/>
      <w:numFmt w:val="bullet"/>
      <w:lvlText w:val="▪"/>
      <w:lvlJc w:val="left"/>
      <w:pPr>
        <w:ind w:left="396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6" w:tplc="4F084E84">
      <w:start w:val="1"/>
      <w:numFmt w:val="bullet"/>
      <w:lvlText w:val="•"/>
      <w:lvlJc w:val="left"/>
      <w:pPr>
        <w:ind w:left="468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8BE8C9AC">
      <w:start w:val="1"/>
      <w:numFmt w:val="bullet"/>
      <w:lvlText w:val="o"/>
      <w:lvlJc w:val="left"/>
      <w:pPr>
        <w:ind w:left="540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8" w:tplc="77D0E1A8">
      <w:start w:val="1"/>
      <w:numFmt w:val="bullet"/>
      <w:lvlText w:val="▪"/>
      <w:lvlJc w:val="left"/>
      <w:pPr>
        <w:ind w:left="6124"/>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abstractNum>
  <w:abstractNum w:abstractNumId="166" w15:restartNumberingAfterBreak="0">
    <w:nsid w:val="61D4426F"/>
    <w:multiLevelType w:val="hybridMultilevel"/>
    <w:tmpl w:val="9C865D58"/>
    <w:lvl w:ilvl="0" w:tplc="5186D258">
      <w:start w:val="1"/>
      <w:numFmt w:val="lowerLetter"/>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42EE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186A0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CC4D08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10824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D84A18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D72E48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2498D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38E84F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62506F5C"/>
    <w:multiLevelType w:val="hybridMultilevel"/>
    <w:tmpl w:val="F70AFA7C"/>
    <w:lvl w:ilvl="0" w:tplc="30E633E8">
      <w:start w:val="1"/>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6625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700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58826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4E8B4A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DC0BE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AAEDB2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C0493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90483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631B53A9"/>
    <w:multiLevelType w:val="hybridMultilevel"/>
    <w:tmpl w:val="842066A4"/>
    <w:lvl w:ilvl="0" w:tplc="417CC216">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3C96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8ED2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DA019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34A22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9E7CA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D94DA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AAD74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FE89E6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54974BF"/>
    <w:multiLevelType w:val="hybridMultilevel"/>
    <w:tmpl w:val="0638DF66"/>
    <w:lvl w:ilvl="0" w:tplc="F1980780">
      <w:start w:val="1"/>
      <w:numFmt w:val="bullet"/>
      <w:lvlText w:val="-"/>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6C26E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578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44263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4C21A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DA806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F0085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BA806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2210D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65D27922"/>
    <w:multiLevelType w:val="hybridMultilevel"/>
    <w:tmpl w:val="9D7C38BC"/>
    <w:lvl w:ilvl="0" w:tplc="E6F85B2A">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C82F9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D46567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764ED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C2D77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6AA2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8ECBCE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921C1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A293D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660A516F"/>
    <w:multiLevelType w:val="hybridMultilevel"/>
    <w:tmpl w:val="A81E3252"/>
    <w:lvl w:ilvl="0" w:tplc="C6DC5A82">
      <w:start w:val="1"/>
      <w:numFmt w:val="lowerLetter"/>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1E19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69EEF7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74973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1EAC6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EC44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B5CD5B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EBA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0C69FF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67D4750A"/>
    <w:multiLevelType w:val="hybridMultilevel"/>
    <w:tmpl w:val="7EDC4EEC"/>
    <w:lvl w:ilvl="0" w:tplc="18ACBC8A">
      <w:start w:val="2"/>
      <w:numFmt w:val="upperLetter"/>
      <w:lvlText w:val="%1)"/>
      <w:lvlJc w:val="left"/>
      <w:pPr>
        <w:ind w:left="7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8D986BFA">
      <w:start w:val="1"/>
      <w:numFmt w:val="lowerLetter"/>
      <w:lvlText w:val="%2"/>
      <w:lvlJc w:val="left"/>
      <w:pPr>
        <w:ind w:left="129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BCC44B08">
      <w:start w:val="1"/>
      <w:numFmt w:val="lowerRoman"/>
      <w:lvlText w:val="%3"/>
      <w:lvlJc w:val="left"/>
      <w:pPr>
        <w:ind w:left="201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EFDC8F16">
      <w:start w:val="1"/>
      <w:numFmt w:val="decimal"/>
      <w:lvlText w:val="%4"/>
      <w:lvlJc w:val="left"/>
      <w:pPr>
        <w:ind w:left="273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378959A">
      <w:start w:val="1"/>
      <w:numFmt w:val="lowerLetter"/>
      <w:lvlText w:val="%5"/>
      <w:lvlJc w:val="left"/>
      <w:pPr>
        <w:ind w:left="345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C546C4C8">
      <w:start w:val="1"/>
      <w:numFmt w:val="lowerRoman"/>
      <w:lvlText w:val="%6"/>
      <w:lvlJc w:val="left"/>
      <w:pPr>
        <w:ind w:left="417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AC3C1AFA">
      <w:start w:val="1"/>
      <w:numFmt w:val="decimal"/>
      <w:lvlText w:val="%7"/>
      <w:lvlJc w:val="left"/>
      <w:pPr>
        <w:ind w:left="489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56020E12">
      <w:start w:val="1"/>
      <w:numFmt w:val="lowerLetter"/>
      <w:lvlText w:val="%8"/>
      <w:lvlJc w:val="left"/>
      <w:pPr>
        <w:ind w:left="561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08CA7DDC">
      <w:start w:val="1"/>
      <w:numFmt w:val="lowerRoman"/>
      <w:lvlText w:val="%9"/>
      <w:lvlJc w:val="left"/>
      <w:pPr>
        <w:ind w:left="6334"/>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681A74DA"/>
    <w:multiLevelType w:val="hybridMultilevel"/>
    <w:tmpl w:val="35961818"/>
    <w:lvl w:ilvl="0" w:tplc="A97CAD0C">
      <w:start w:val="5"/>
      <w:numFmt w:val="lowerLetter"/>
      <w:lvlText w:val="%1)"/>
      <w:lvlJc w:val="left"/>
      <w:pPr>
        <w:ind w:left="4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2A5FF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AEE3B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1A022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80E57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349C1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28F89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F9C109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1248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68FF5D5A"/>
    <w:multiLevelType w:val="hybridMultilevel"/>
    <w:tmpl w:val="1CD469A6"/>
    <w:lvl w:ilvl="0" w:tplc="9216CC48">
      <w:start w:val="1"/>
      <w:numFmt w:val="bullet"/>
      <w:lvlText w:val="-"/>
      <w:lvlJc w:val="left"/>
      <w:pPr>
        <w:ind w:left="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FA5A44">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D360F48">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42269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5C70D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A43662">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6E181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7E534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9BA209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6A906B0D"/>
    <w:multiLevelType w:val="hybridMultilevel"/>
    <w:tmpl w:val="4E662A56"/>
    <w:lvl w:ilvl="0" w:tplc="93BACE90">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7AAF26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0F638E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C1413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B475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0661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2BC4E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9D4A35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C891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A9F1B71"/>
    <w:multiLevelType w:val="hybridMultilevel"/>
    <w:tmpl w:val="0C58E288"/>
    <w:lvl w:ilvl="0" w:tplc="05CA7914">
      <w:start w:val="2"/>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A411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908E16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4883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CC206C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72AD5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274D3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647F6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F4893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6AB26E80"/>
    <w:multiLevelType w:val="hybridMultilevel"/>
    <w:tmpl w:val="D7C2B3C8"/>
    <w:lvl w:ilvl="0" w:tplc="A612719C">
      <w:start w:val="2"/>
      <w:numFmt w:val="lowerLetter"/>
      <w:lvlText w:val="%1)"/>
      <w:lvlJc w:val="left"/>
      <w:pPr>
        <w:ind w:left="21"/>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3EA684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7B228FC">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07C3C4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86A476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1E26F1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922528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80698C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62C7E3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6B9E6C61"/>
    <w:multiLevelType w:val="hybridMultilevel"/>
    <w:tmpl w:val="45E6F466"/>
    <w:lvl w:ilvl="0" w:tplc="ACC815C8">
      <w:start w:val="1"/>
      <w:numFmt w:val="lowerLetter"/>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5421166">
      <w:start w:val="1"/>
      <w:numFmt w:val="lowerLetter"/>
      <w:lvlText w:val="%2"/>
      <w:lvlJc w:val="left"/>
      <w:pPr>
        <w:ind w:left="13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16AE10">
      <w:start w:val="1"/>
      <w:numFmt w:val="lowerRoman"/>
      <w:lvlText w:val="%3"/>
      <w:lvlJc w:val="left"/>
      <w:pPr>
        <w:ind w:left="20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F81B30">
      <w:start w:val="1"/>
      <w:numFmt w:val="decimal"/>
      <w:lvlText w:val="%4"/>
      <w:lvlJc w:val="left"/>
      <w:pPr>
        <w:ind w:left="27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6850DC">
      <w:start w:val="1"/>
      <w:numFmt w:val="lowerLetter"/>
      <w:lvlText w:val="%5"/>
      <w:lvlJc w:val="left"/>
      <w:pPr>
        <w:ind w:left="34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E9C63D6">
      <w:start w:val="1"/>
      <w:numFmt w:val="lowerRoman"/>
      <w:lvlText w:val="%6"/>
      <w:lvlJc w:val="left"/>
      <w:pPr>
        <w:ind w:left="42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DA3F1E">
      <w:start w:val="1"/>
      <w:numFmt w:val="decimal"/>
      <w:lvlText w:val="%7"/>
      <w:lvlJc w:val="left"/>
      <w:pPr>
        <w:ind w:left="49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4C5E9C">
      <w:start w:val="1"/>
      <w:numFmt w:val="lowerLetter"/>
      <w:lvlText w:val="%8"/>
      <w:lvlJc w:val="left"/>
      <w:pPr>
        <w:ind w:left="56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416A1B2">
      <w:start w:val="1"/>
      <w:numFmt w:val="lowerRoman"/>
      <w:lvlText w:val="%9"/>
      <w:lvlJc w:val="left"/>
      <w:pPr>
        <w:ind w:left="63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C400F4B"/>
    <w:multiLevelType w:val="hybridMultilevel"/>
    <w:tmpl w:val="BBDEB7DA"/>
    <w:lvl w:ilvl="0" w:tplc="D982DE3C">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1A750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4AB8B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D0B66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CE3FD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96844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24A14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962CD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A2E02E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6CA5400A"/>
    <w:multiLevelType w:val="hybridMultilevel"/>
    <w:tmpl w:val="DCF4FC68"/>
    <w:lvl w:ilvl="0" w:tplc="BE7AF912">
      <w:start w:val="5"/>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7879A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E8DE6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30ED52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2C0B44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AC2C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D78FA7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76AF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72EB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6CEC6130"/>
    <w:multiLevelType w:val="hybridMultilevel"/>
    <w:tmpl w:val="7A88248C"/>
    <w:lvl w:ilvl="0" w:tplc="559805FC">
      <w:start w:val="1"/>
      <w:numFmt w:val="decimal"/>
      <w:lvlText w:val="%1."/>
      <w:lvlJc w:val="left"/>
      <w:pPr>
        <w:ind w:left="235"/>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0A0E259A">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5045C40">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8DCA0B14">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FCA7682">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8CA6FC4">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3148051A">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6321B8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3EC737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D3974FE"/>
    <w:multiLevelType w:val="hybridMultilevel"/>
    <w:tmpl w:val="F1C83A48"/>
    <w:lvl w:ilvl="0" w:tplc="5B32E7F2">
      <w:start w:val="1"/>
      <w:numFmt w:val="lowerLetter"/>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0E67E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64256A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44E996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37CCC0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FD67B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050824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7E543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29448B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72631A14"/>
    <w:multiLevelType w:val="hybridMultilevel"/>
    <w:tmpl w:val="56F0A44C"/>
    <w:lvl w:ilvl="0" w:tplc="7BC848AE">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4A266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A6AACE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D9824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91A13A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C72047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5007C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B64DF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9AA2E0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73EF743E"/>
    <w:multiLevelType w:val="hybridMultilevel"/>
    <w:tmpl w:val="6C48968E"/>
    <w:lvl w:ilvl="0" w:tplc="57D854D8">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6CF0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166F6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327A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F92778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8DE441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EAD27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5A43ED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68292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74CA4318"/>
    <w:multiLevelType w:val="hybridMultilevel"/>
    <w:tmpl w:val="6A68A536"/>
    <w:lvl w:ilvl="0" w:tplc="97CCF464">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BC2B16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B0465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B3458E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A4CBB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CE5C2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06636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781D0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D8BBE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74F654E7"/>
    <w:multiLevelType w:val="hybridMultilevel"/>
    <w:tmpl w:val="E6D6375C"/>
    <w:lvl w:ilvl="0" w:tplc="0F464512">
      <w:start w:val="1"/>
      <w:numFmt w:val="lowerLetter"/>
      <w:lvlText w:val="%1)"/>
      <w:lvlJc w:val="left"/>
      <w:pPr>
        <w:ind w:left="49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DFA5DB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096DF6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FEAD5F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86411C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37087A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1FA3A4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4ECEBA9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E3A933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764C005A"/>
    <w:multiLevelType w:val="hybridMultilevel"/>
    <w:tmpl w:val="4CBC1DEA"/>
    <w:lvl w:ilvl="0" w:tplc="F6B8ADFC">
      <w:start w:val="5"/>
      <w:numFmt w:val="lowerLetter"/>
      <w:lvlText w:val="%1)"/>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5C2B1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F633D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7CE71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040DD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DC77A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54E149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AC41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CC7BB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767248AD"/>
    <w:multiLevelType w:val="hybridMultilevel"/>
    <w:tmpl w:val="A02E8820"/>
    <w:lvl w:ilvl="0" w:tplc="D8AAB15E">
      <w:start w:val="2"/>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6C266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F2B9E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0048B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0EC5D8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448A3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B14D04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62401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CC4473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76EB6789"/>
    <w:multiLevelType w:val="hybridMultilevel"/>
    <w:tmpl w:val="7B5AB968"/>
    <w:lvl w:ilvl="0" w:tplc="85162F56">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F24C9F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62FA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2DA86A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86AE6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4D200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206E85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AE569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20039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77583256"/>
    <w:multiLevelType w:val="hybridMultilevel"/>
    <w:tmpl w:val="BB4E5592"/>
    <w:lvl w:ilvl="0" w:tplc="28CEF0DA">
      <w:start w:val="1"/>
      <w:numFmt w:val="lowerLetter"/>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136A0D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D1AEDB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22CF9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62330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F452B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B50CEB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C491B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16C1ED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77665DC0"/>
    <w:multiLevelType w:val="hybridMultilevel"/>
    <w:tmpl w:val="B9928828"/>
    <w:lvl w:ilvl="0" w:tplc="020A9E94">
      <w:start w:val="1"/>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F2C42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BE2A3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7228F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22898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88147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428F25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68BF0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DCEBF0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797A02E9"/>
    <w:multiLevelType w:val="hybridMultilevel"/>
    <w:tmpl w:val="827441E0"/>
    <w:lvl w:ilvl="0" w:tplc="B210AC58">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A61F0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29E4ED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3DAF2F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9847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89AB52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4031F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514DF2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4E6C6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7A612293"/>
    <w:multiLevelType w:val="hybridMultilevel"/>
    <w:tmpl w:val="411C5264"/>
    <w:lvl w:ilvl="0" w:tplc="3460D776">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C243B6">
      <w:start w:val="1"/>
      <w:numFmt w:val="lowerLetter"/>
      <w:lvlText w:val="%2"/>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30C800">
      <w:start w:val="1"/>
      <w:numFmt w:val="lowerRoman"/>
      <w:lvlText w:val="%3"/>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0CE454">
      <w:start w:val="1"/>
      <w:numFmt w:val="decimal"/>
      <w:lvlText w:val="%4"/>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3EA122">
      <w:start w:val="1"/>
      <w:numFmt w:val="lowerLetter"/>
      <w:lvlText w:val="%5"/>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260006">
      <w:start w:val="1"/>
      <w:numFmt w:val="lowerRoman"/>
      <w:lvlText w:val="%6"/>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B9250A6">
      <w:start w:val="1"/>
      <w:numFmt w:val="decimal"/>
      <w:lvlText w:val="%7"/>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36A436">
      <w:start w:val="1"/>
      <w:numFmt w:val="lowerLetter"/>
      <w:lvlText w:val="%8"/>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FE8342">
      <w:start w:val="1"/>
      <w:numFmt w:val="lowerRoman"/>
      <w:lvlText w:val="%9"/>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7A921081"/>
    <w:multiLevelType w:val="hybridMultilevel"/>
    <w:tmpl w:val="CDD89008"/>
    <w:lvl w:ilvl="0" w:tplc="EA02F71C">
      <w:start w:val="1"/>
      <w:numFmt w:val="decimal"/>
      <w:lvlText w:val="%1."/>
      <w:lvlJc w:val="left"/>
      <w:pPr>
        <w:ind w:left="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9C1D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86CE4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54CEC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485EC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EC144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6AC52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5207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FC96C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5" w15:restartNumberingAfterBreak="0">
    <w:nsid w:val="7B5952A1"/>
    <w:multiLevelType w:val="hybridMultilevel"/>
    <w:tmpl w:val="489C1EC2"/>
    <w:lvl w:ilvl="0" w:tplc="560C7BA4">
      <w:start w:val="1"/>
      <w:numFmt w:val="decimal"/>
      <w:lvlText w:val="%1."/>
      <w:lvlJc w:val="left"/>
      <w:pPr>
        <w:ind w:left="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A6680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6DC1BF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6027D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EC175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3322BF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136E38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ACC40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D98036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7BC039CD"/>
    <w:multiLevelType w:val="hybridMultilevel"/>
    <w:tmpl w:val="344A8AA2"/>
    <w:lvl w:ilvl="0" w:tplc="08EA6D16">
      <w:start w:val="2"/>
      <w:numFmt w:val="decimal"/>
      <w:lvlText w:val="%1."/>
      <w:lvlJc w:val="left"/>
      <w:pPr>
        <w:ind w:left="671"/>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B32C272">
      <w:start w:val="1"/>
      <w:numFmt w:val="lowerLetter"/>
      <w:lvlText w:val="%2"/>
      <w:lvlJc w:val="left"/>
      <w:pPr>
        <w:ind w:left="108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1F648342">
      <w:start w:val="1"/>
      <w:numFmt w:val="lowerRoman"/>
      <w:lvlText w:val="%3"/>
      <w:lvlJc w:val="left"/>
      <w:pPr>
        <w:ind w:left="18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2070D618">
      <w:start w:val="1"/>
      <w:numFmt w:val="decimal"/>
      <w:lvlText w:val="%4"/>
      <w:lvlJc w:val="left"/>
      <w:pPr>
        <w:ind w:left="252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157C999C">
      <w:start w:val="1"/>
      <w:numFmt w:val="lowerLetter"/>
      <w:lvlText w:val="%5"/>
      <w:lvlJc w:val="left"/>
      <w:pPr>
        <w:ind w:left="324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C0055B8">
      <w:start w:val="1"/>
      <w:numFmt w:val="lowerRoman"/>
      <w:lvlText w:val="%6"/>
      <w:lvlJc w:val="left"/>
      <w:pPr>
        <w:ind w:left="396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A7452F4">
      <w:start w:val="1"/>
      <w:numFmt w:val="decimal"/>
      <w:lvlText w:val="%7"/>
      <w:lvlJc w:val="left"/>
      <w:pPr>
        <w:ind w:left="468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ED5EF234">
      <w:start w:val="1"/>
      <w:numFmt w:val="lowerLetter"/>
      <w:lvlText w:val="%8"/>
      <w:lvlJc w:val="left"/>
      <w:pPr>
        <w:ind w:left="540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AE4C236">
      <w:start w:val="1"/>
      <w:numFmt w:val="lowerRoman"/>
      <w:lvlText w:val="%9"/>
      <w:lvlJc w:val="left"/>
      <w:pPr>
        <w:ind w:left="6126"/>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97" w15:restartNumberingAfterBreak="0">
    <w:nsid w:val="7CD5484B"/>
    <w:multiLevelType w:val="hybridMultilevel"/>
    <w:tmpl w:val="36188C48"/>
    <w:lvl w:ilvl="0" w:tplc="5254F666">
      <w:start w:val="3"/>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88945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7621BF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03C492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1A346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72BD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A2819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8065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D6C83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7CE70B1E"/>
    <w:multiLevelType w:val="hybridMultilevel"/>
    <w:tmpl w:val="82E88A10"/>
    <w:lvl w:ilvl="0" w:tplc="1188F3C6">
      <w:start w:val="1"/>
      <w:numFmt w:val="decimal"/>
      <w:lvlText w:val="%1."/>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C0E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F84E0E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C8FA6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7058E0">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CD0ABA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31C0BD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ECBA8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0BC35D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7E7527D5"/>
    <w:multiLevelType w:val="hybridMultilevel"/>
    <w:tmpl w:val="8BC0E63E"/>
    <w:lvl w:ilvl="0" w:tplc="620E15A4">
      <w:start w:val="1"/>
      <w:numFmt w:val="decimal"/>
      <w:lvlText w:val="%1."/>
      <w:lvlJc w:val="left"/>
      <w:pPr>
        <w:ind w:left="2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B881A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E867D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4CDAE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A2ADB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20CB8B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0A5E1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F9216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120D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7ECD59D5"/>
    <w:multiLevelType w:val="hybridMultilevel"/>
    <w:tmpl w:val="22A6BD48"/>
    <w:lvl w:ilvl="0" w:tplc="0EFE684A">
      <w:start w:val="1"/>
      <w:numFmt w:val="bullet"/>
      <w:lvlText w:val="-"/>
      <w:lvlJc w:val="left"/>
      <w:pPr>
        <w:ind w:left="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CC58B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15AE20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1AAA1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088403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6CB4E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78D22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F67A7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C7C2EB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00"/>
  </w:num>
  <w:num w:numId="2">
    <w:abstractNumId w:val="96"/>
  </w:num>
  <w:num w:numId="3">
    <w:abstractNumId w:val="163"/>
  </w:num>
  <w:num w:numId="4">
    <w:abstractNumId w:val="155"/>
  </w:num>
  <w:num w:numId="5">
    <w:abstractNumId w:val="93"/>
  </w:num>
  <w:num w:numId="6">
    <w:abstractNumId w:val="120"/>
  </w:num>
  <w:num w:numId="7">
    <w:abstractNumId w:val="43"/>
  </w:num>
  <w:num w:numId="8">
    <w:abstractNumId w:val="78"/>
  </w:num>
  <w:num w:numId="9">
    <w:abstractNumId w:val="104"/>
  </w:num>
  <w:num w:numId="10">
    <w:abstractNumId w:val="122"/>
  </w:num>
  <w:num w:numId="11">
    <w:abstractNumId w:val="9"/>
  </w:num>
  <w:num w:numId="12">
    <w:abstractNumId w:val="137"/>
  </w:num>
  <w:num w:numId="13">
    <w:abstractNumId w:val="61"/>
  </w:num>
  <w:num w:numId="14">
    <w:abstractNumId w:val="114"/>
  </w:num>
  <w:num w:numId="15">
    <w:abstractNumId w:val="149"/>
  </w:num>
  <w:num w:numId="16">
    <w:abstractNumId w:val="10"/>
  </w:num>
  <w:num w:numId="17">
    <w:abstractNumId w:val="66"/>
  </w:num>
  <w:num w:numId="18">
    <w:abstractNumId w:val="179"/>
  </w:num>
  <w:num w:numId="19">
    <w:abstractNumId w:val="58"/>
  </w:num>
  <w:num w:numId="20">
    <w:abstractNumId w:val="161"/>
  </w:num>
  <w:num w:numId="21">
    <w:abstractNumId w:val="200"/>
  </w:num>
  <w:num w:numId="22">
    <w:abstractNumId w:val="157"/>
  </w:num>
  <w:num w:numId="23">
    <w:abstractNumId w:val="154"/>
  </w:num>
  <w:num w:numId="24">
    <w:abstractNumId w:val="97"/>
  </w:num>
  <w:num w:numId="25">
    <w:abstractNumId w:val="185"/>
  </w:num>
  <w:num w:numId="26">
    <w:abstractNumId w:val="148"/>
  </w:num>
  <w:num w:numId="27">
    <w:abstractNumId w:val="14"/>
  </w:num>
  <w:num w:numId="28">
    <w:abstractNumId w:val="174"/>
  </w:num>
  <w:num w:numId="29">
    <w:abstractNumId w:val="169"/>
  </w:num>
  <w:num w:numId="30">
    <w:abstractNumId w:val="90"/>
  </w:num>
  <w:num w:numId="31">
    <w:abstractNumId w:val="196"/>
  </w:num>
  <w:num w:numId="32">
    <w:abstractNumId w:val="70"/>
  </w:num>
  <w:num w:numId="33">
    <w:abstractNumId w:val="74"/>
  </w:num>
  <w:num w:numId="34">
    <w:abstractNumId w:val="85"/>
  </w:num>
  <w:num w:numId="35">
    <w:abstractNumId w:val="79"/>
  </w:num>
  <w:num w:numId="36">
    <w:abstractNumId w:val="115"/>
  </w:num>
  <w:num w:numId="37">
    <w:abstractNumId w:val="129"/>
  </w:num>
  <w:num w:numId="38">
    <w:abstractNumId w:val="42"/>
  </w:num>
  <w:num w:numId="39">
    <w:abstractNumId w:val="121"/>
  </w:num>
  <w:num w:numId="40">
    <w:abstractNumId w:val="162"/>
  </w:num>
  <w:num w:numId="41">
    <w:abstractNumId w:val="164"/>
  </w:num>
  <w:num w:numId="42">
    <w:abstractNumId w:val="40"/>
  </w:num>
  <w:num w:numId="43">
    <w:abstractNumId w:val="165"/>
  </w:num>
  <w:num w:numId="44">
    <w:abstractNumId w:val="116"/>
  </w:num>
  <w:num w:numId="45">
    <w:abstractNumId w:val="109"/>
  </w:num>
  <w:num w:numId="46">
    <w:abstractNumId w:val="156"/>
  </w:num>
  <w:num w:numId="47">
    <w:abstractNumId w:val="144"/>
  </w:num>
  <w:num w:numId="48">
    <w:abstractNumId w:val="193"/>
  </w:num>
  <w:num w:numId="49">
    <w:abstractNumId w:val="26"/>
  </w:num>
  <w:num w:numId="50">
    <w:abstractNumId w:val="132"/>
  </w:num>
  <w:num w:numId="51">
    <w:abstractNumId w:val="92"/>
  </w:num>
  <w:num w:numId="52">
    <w:abstractNumId w:val="6"/>
  </w:num>
  <w:num w:numId="53">
    <w:abstractNumId w:val="1"/>
  </w:num>
  <w:num w:numId="54">
    <w:abstractNumId w:val="145"/>
  </w:num>
  <w:num w:numId="55">
    <w:abstractNumId w:val="110"/>
  </w:num>
  <w:num w:numId="56">
    <w:abstractNumId w:val="113"/>
  </w:num>
  <w:num w:numId="57">
    <w:abstractNumId w:val="57"/>
  </w:num>
  <w:num w:numId="58">
    <w:abstractNumId w:val="95"/>
  </w:num>
  <w:num w:numId="59">
    <w:abstractNumId w:val="198"/>
  </w:num>
  <w:num w:numId="60">
    <w:abstractNumId w:val="177"/>
  </w:num>
  <w:num w:numId="61">
    <w:abstractNumId w:val="27"/>
  </w:num>
  <w:num w:numId="62">
    <w:abstractNumId w:val="107"/>
  </w:num>
  <w:num w:numId="63">
    <w:abstractNumId w:val="29"/>
  </w:num>
  <w:num w:numId="64">
    <w:abstractNumId w:val="64"/>
  </w:num>
  <w:num w:numId="65">
    <w:abstractNumId w:val="33"/>
  </w:num>
  <w:num w:numId="66">
    <w:abstractNumId w:val="168"/>
  </w:num>
  <w:num w:numId="67">
    <w:abstractNumId w:val="38"/>
  </w:num>
  <w:num w:numId="68">
    <w:abstractNumId w:val="133"/>
  </w:num>
  <w:num w:numId="69">
    <w:abstractNumId w:val="158"/>
  </w:num>
  <w:num w:numId="70">
    <w:abstractNumId w:val="77"/>
  </w:num>
  <w:num w:numId="71">
    <w:abstractNumId w:val="67"/>
  </w:num>
  <w:num w:numId="72">
    <w:abstractNumId w:val="152"/>
  </w:num>
  <w:num w:numId="73">
    <w:abstractNumId w:val="111"/>
  </w:num>
  <w:num w:numId="74">
    <w:abstractNumId w:val="68"/>
  </w:num>
  <w:num w:numId="75">
    <w:abstractNumId w:val="12"/>
  </w:num>
  <w:num w:numId="76">
    <w:abstractNumId w:val="195"/>
  </w:num>
  <w:num w:numId="77">
    <w:abstractNumId w:val="20"/>
  </w:num>
  <w:num w:numId="78">
    <w:abstractNumId w:val="101"/>
  </w:num>
  <w:num w:numId="79">
    <w:abstractNumId w:val="19"/>
  </w:num>
  <w:num w:numId="80">
    <w:abstractNumId w:val="36"/>
  </w:num>
  <w:num w:numId="81">
    <w:abstractNumId w:val="138"/>
  </w:num>
  <w:num w:numId="82">
    <w:abstractNumId w:val="127"/>
  </w:num>
  <w:num w:numId="83">
    <w:abstractNumId w:val="47"/>
  </w:num>
  <w:num w:numId="84">
    <w:abstractNumId w:val="21"/>
  </w:num>
  <w:num w:numId="85">
    <w:abstractNumId w:val="151"/>
  </w:num>
  <w:num w:numId="86">
    <w:abstractNumId w:val="194"/>
  </w:num>
  <w:num w:numId="87">
    <w:abstractNumId w:val="112"/>
  </w:num>
  <w:num w:numId="88">
    <w:abstractNumId w:val="62"/>
  </w:num>
  <w:num w:numId="89">
    <w:abstractNumId w:val="56"/>
  </w:num>
  <w:num w:numId="90">
    <w:abstractNumId w:val="125"/>
  </w:num>
  <w:num w:numId="91">
    <w:abstractNumId w:val="30"/>
  </w:num>
  <w:num w:numId="92">
    <w:abstractNumId w:val="52"/>
  </w:num>
  <w:num w:numId="93">
    <w:abstractNumId w:val="2"/>
  </w:num>
  <w:num w:numId="94">
    <w:abstractNumId w:val="4"/>
  </w:num>
  <w:num w:numId="95">
    <w:abstractNumId w:val="54"/>
  </w:num>
  <w:num w:numId="96">
    <w:abstractNumId w:val="190"/>
  </w:num>
  <w:num w:numId="97">
    <w:abstractNumId w:val="184"/>
  </w:num>
  <w:num w:numId="98">
    <w:abstractNumId w:val="65"/>
  </w:num>
  <w:num w:numId="99">
    <w:abstractNumId w:val="135"/>
  </w:num>
  <w:num w:numId="100">
    <w:abstractNumId w:val="83"/>
  </w:num>
  <w:num w:numId="101">
    <w:abstractNumId w:val="170"/>
  </w:num>
  <w:num w:numId="102">
    <w:abstractNumId w:val="119"/>
  </w:num>
  <w:num w:numId="103">
    <w:abstractNumId w:val="82"/>
  </w:num>
  <w:num w:numId="104">
    <w:abstractNumId w:val="17"/>
  </w:num>
  <w:num w:numId="105">
    <w:abstractNumId w:val="32"/>
  </w:num>
  <w:num w:numId="106">
    <w:abstractNumId w:val="15"/>
  </w:num>
  <w:num w:numId="107">
    <w:abstractNumId w:val="136"/>
  </w:num>
  <w:num w:numId="108">
    <w:abstractNumId w:val="143"/>
  </w:num>
  <w:num w:numId="109">
    <w:abstractNumId w:val="89"/>
  </w:num>
  <w:num w:numId="110">
    <w:abstractNumId w:val="192"/>
  </w:num>
  <w:num w:numId="111">
    <w:abstractNumId w:val="35"/>
  </w:num>
  <w:num w:numId="112">
    <w:abstractNumId w:val="175"/>
  </w:num>
  <w:num w:numId="113">
    <w:abstractNumId w:val="159"/>
  </w:num>
  <w:num w:numId="114">
    <w:abstractNumId w:val="0"/>
  </w:num>
  <w:num w:numId="115">
    <w:abstractNumId w:val="7"/>
  </w:num>
  <w:num w:numId="116">
    <w:abstractNumId w:val="91"/>
  </w:num>
  <w:num w:numId="117">
    <w:abstractNumId w:val="84"/>
  </w:num>
  <w:num w:numId="118">
    <w:abstractNumId w:val="183"/>
  </w:num>
  <w:num w:numId="119">
    <w:abstractNumId w:val="126"/>
  </w:num>
  <w:num w:numId="120">
    <w:abstractNumId w:val="73"/>
  </w:num>
  <w:num w:numId="121">
    <w:abstractNumId w:val="5"/>
  </w:num>
  <w:num w:numId="122">
    <w:abstractNumId w:val="69"/>
  </w:num>
  <w:num w:numId="123">
    <w:abstractNumId w:val="45"/>
  </w:num>
  <w:num w:numId="124">
    <w:abstractNumId w:val="128"/>
  </w:num>
  <w:num w:numId="125">
    <w:abstractNumId w:val="141"/>
  </w:num>
  <w:num w:numId="126">
    <w:abstractNumId w:val="146"/>
  </w:num>
  <w:num w:numId="127">
    <w:abstractNumId w:val="118"/>
  </w:num>
  <w:num w:numId="128">
    <w:abstractNumId w:val="189"/>
  </w:num>
  <w:num w:numId="129">
    <w:abstractNumId w:val="63"/>
  </w:num>
  <w:num w:numId="130">
    <w:abstractNumId w:val="94"/>
  </w:num>
  <w:num w:numId="131">
    <w:abstractNumId w:val="176"/>
  </w:num>
  <w:num w:numId="132">
    <w:abstractNumId w:val="53"/>
  </w:num>
  <w:num w:numId="133">
    <w:abstractNumId w:val="98"/>
  </w:num>
  <w:num w:numId="134">
    <w:abstractNumId w:val="199"/>
  </w:num>
  <w:num w:numId="135">
    <w:abstractNumId w:val="24"/>
  </w:num>
  <w:num w:numId="136">
    <w:abstractNumId w:val="188"/>
  </w:num>
  <w:num w:numId="137">
    <w:abstractNumId w:val="28"/>
  </w:num>
  <w:num w:numId="138">
    <w:abstractNumId w:val="31"/>
  </w:num>
  <w:num w:numId="139">
    <w:abstractNumId w:val="108"/>
  </w:num>
  <w:num w:numId="140">
    <w:abstractNumId w:val="48"/>
  </w:num>
  <w:num w:numId="141">
    <w:abstractNumId w:val="80"/>
  </w:num>
  <w:num w:numId="142">
    <w:abstractNumId w:val="41"/>
  </w:num>
  <w:num w:numId="143">
    <w:abstractNumId w:val="178"/>
  </w:num>
  <w:num w:numId="144">
    <w:abstractNumId w:val="140"/>
  </w:num>
  <w:num w:numId="145">
    <w:abstractNumId w:val="81"/>
  </w:num>
  <w:num w:numId="146">
    <w:abstractNumId w:val="44"/>
  </w:num>
  <w:num w:numId="147">
    <w:abstractNumId w:val="103"/>
  </w:num>
  <w:num w:numId="148">
    <w:abstractNumId w:val="134"/>
  </w:num>
  <w:num w:numId="149">
    <w:abstractNumId w:val="147"/>
  </w:num>
  <w:num w:numId="150">
    <w:abstractNumId w:val="76"/>
  </w:num>
  <w:num w:numId="151">
    <w:abstractNumId w:val="75"/>
  </w:num>
  <w:num w:numId="152">
    <w:abstractNumId w:val="25"/>
  </w:num>
  <w:num w:numId="153">
    <w:abstractNumId w:val="13"/>
  </w:num>
  <w:num w:numId="154">
    <w:abstractNumId w:val="139"/>
  </w:num>
  <w:num w:numId="155">
    <w:abstractNumId w:val="142"/>
  </w:num>
  <w:num w:numId="156">
    <w:abstractNumId w:val="3"/>
  </w:num>
  <w:num w:numId="157">
    <w:abstractNumId w:val="123"/>
  </w:num>
  <w:num w:numId="158">
    <w:abstractNumId w:val="72"/>
  </w:num>
  <w:num w:numId="159">
    <w:abstractNumId w:val="51"/>
  </w:num>
  <w:num w:numId="160">
    <w:abstractNumId w:val="124"/>
  </w:num>
  <w:num w:numId="161">
    <w:abstractNumId w:val="105"/>
  </w:num>
  <w:num w:numId="162">
    <w:abstractNumId w:val="131"/>
  </w:num>
  <w:num w:numId="163">
    <w:abstractNumId w:val="88"/>
  </w:num>
  <w:num w:numId="164">
    <w:abstractNumId w:val="49"/>
  </w:num>
  <w:num w:numId="165">
    <w:abstractNumId w:val="106"/>
  </w:num>
  <w:num w:numId="166">
    <w:abstractNumId w:val="8"/>
  </w:num>
  <w:num w:numId="167">
    <w:abstractNumId w:val="186"/>
  </w:num>
  <w:num w:numId="168">
    <w:abstractNumId w:val="39"/>
  </w:num>
  <w:num w:numId="169">
    <w:abstractNumId w:val="50"/>
  </w:num>
  <w:num w:numId="170">
    <w:abstractNumId w:val="117"/>
  </w:num>
  <w:num w:numId="171">
    <w:abstractNumId w:val="55"/>
  </w:num>
  <w:num w:numId="172">
    <w:abstractNumId w:val="23"/>
  </w:num>
  <w:num w:numId="173">
    <w:abstractNumId w:val="180"/>
  </w:num>
  <w:num w:numId="174">
    <w:abstractNumId w:val="34"/>
  </w:num>
  <w:num w:numId="175">
    <w:abstractNumId w:val="197"/>
  </w:num>
  <w:num w:numId="176">
    <w:abstractNumId w:val="59"/>
  </w:num>
  <w:num w:numId="177">
    <w:abstractNumId w:val="173"/>
  </w:num>
  <w:num w:numId="178">
    <w:abstractNumId w:val="37"/>
  </w:num>
  <w:num w:numId="179">
    <w:abstractNumId w:val="16"/>
  </w:num>
  <w:num w:numId="180">
    <w:abstractNumId w:val="99"/>
  </w:num>
  <w:num w:numId="181">
    <w:abstractNumId w:val="71"/>
  </w:num>
  <w:num w:numId="182">
    <w:abstractNumId w:val="46"/>
  </w:num>
  <w:num w:numId="183">
    <w:abstractNumId w:val="87"/>
  </w:num>
  <w:num w:numId="184">
    <w:abstractNumId w:val="191"/>
  </w:num>
  <w:num w:numId="185">
    <w:abstractNumId w:val="130"/>
  </w:num>
  <w:num w:numId="186">
    <w:abstractNumId w:val="150"/>
  </w:num>
  <w:num w:numId="187">
    <w:abstractNumId w:val="167"/>
  </w:num>
  <w:num w:numId="188">
    <w:abstractNumId w:val="187"/>
  </w:num>
  <w:num w:numId="189">
    <w:abstractNumId w:val="153"/>
  </w:num>
  <w:num w:numId="190">
    <w:abstractNumId w:val="60"/>
  </w:num>
  <w:num w:numId="191">
    <w:abstractNumId w:val="86"/>
  </w:num>
  <w:num w:numId="192">
    <w:abstractNumId w:val="160"/>
  </w:num>
  <w:num w:numId="193">
    <w:abstractNumId w:val="166"/>
  </w:num>
  <w:num w:numId="194">
    <w:abstractNumId w:val="182"/>
  </w:num>
  <w:num w:numId="195">
    <w:abstractNumId w:val="171"/>
  </w:num>
  <w:num w:numId="196">
    <w:abstractNumId w:val="22"/>
  </w:num>
  <w:num w:numId="197">
    <w:abstractNumId w:val="11"/>
  </w:num>
  <w:num w:numId="198">
    <w:abstractNumId w:val="18"/>
  </w:num>
  <w:num w:numId="199">
    <w:abstractNumId w:val="102"/>
  </w:num>
  <w:num w:numId="200">
    <w:abstractNumId w:val="181"/>
  </w:num>
  <w:num w:numId="201">
    <w:abstractNumId w:val="172"/>
  </w:num>
  <w:numIdMacAtCleanup w:val="2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83"/>
    <w:rsid w:val="00025683"/>
    <w:rsid w:val="007C2A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861042-3515-4B3D-979E-E2D3B1E00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8" w:lineRule="auto"/>
      <w:ind w:left="2141" w:firstLine="4"/>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2" w:line="248" w:lineRule="auto"/>
      <w:ind w:left="18" w:firstLine="4"/>
      <w:jc w:val="both"/>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2" w:line="248" w:lineRule="auto"/>
      <w:ind w:left="18" w:firstLine="4"/>
      <w:jc w:val="both"/>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spacing w:after="12" w:line="248" w:lineRule="auto"/>
      <w:ind w:left="18" w:firstLine="4"/>
      <w:jc w:val="both"/>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3"/>
      <w:ind w:left="28" w:hanging="10"/>
      <w:jc w:val="center"/>
      <w:outlineLvl w:val="3"/>
    </w:pPr>
    <w:rPr>
      <w:rFonts w:ascii="Arial" w:eastAsia="Arial" w:hAnsi="Arial" w:cs="Arial"/>
      <w:b/>
      <w:color w:val="000000"/>
    </w:rPr>
  </w:style>
  <w:style w:type="paragraph" w:styleId="Ttulo5">
    <w:name w:val="heading 5"/>
    <w:next w:val="Normal"/>
    <w:link w:val="Ttulo5Car"/>
    <w:uiPriority w:val="9"/>
    <w:unhideWhenUsed/>
    <w:qFormat/>
    <w:pPr>
      <w:keepNext/>
      <w:keepLines/>
      <w:spacing w:after="0"/>
      <w:ind w:left="240"/>
      <w:outlineLvl w:val="4"/>
    </w:pPr>
    <w:rPr>
      <w:rFonts w:ascii="Times New Roman" w:eastAsia="Times New Roman" w:hAnsi="Times New Roman" w:cs="Times New Roman"/>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color w:val="000000"/>
      <w:sz w:val="22"/>
    </w:rPr>
  </w:style>
  <w:style w:type="character" w:customStyle="1" w:styleId="Ttulo5Car">
    <w:name w:val="Título 5 Car"/>
    <w:link w:val="Ttulo5"/>
    <w:rPr>
      <w:rFonts w:ascii="Times New Roman" w:eastAsia="Times New Roman" w:hAnsi="Times New Roman" w:cs="Times New Roman"/>
      <w:b/>
      <w:color w:val="000000"/>
      <w:sz w:val="22"/>
    </w:rPr>
  </w:style>
  <w:style w:type="character" w:customStyle="1" w:styleId="Ttulo1Car">
    <w:name w:val="Título 1 Car"/>
    <w:link w:val="Ttulo1"/>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10.xml"/><Relationship Id="rId63" Type="http://schemas.openxmlformats.org/officeDocument/2006/relationships/image" Target="media/image8.jpg"/><Relationship Id="rId68" Type="http://schemas.openxmlformats.org/officeDocument/2006/relationships/image" Target="media/image13.jpg"/><Relationship Id="rId84" Type="http://schemas.openxmlformats.org/officeDocument/2006/relationships/image" Target="media/image200.jpg"/><Relationship Id="rId89" Type="http://schemas.openxmlformats.org/officeDocument/2006/relationships/image" Target="media/image29.jpg"/><Relationship Id="rId112" Type="http://schemas.openxmlformats.org/officeDocument/2006/relationships/footer" Target="footer8.xml"/><Relationship Id="rId133" Type="http://schemas.openxmlformats.org/officeDocument/2006/relationships/header" Target="header19.xml"/><Relationship Id="rId138" Type="http://schemas.openxmlformats.org/officeDocument/2006/relationships/footer" Target="footer21.xml"/><Relationship Id="rId154" Type="http://schemas.openxmlformats.org/officeDocument/2006/relationships/fontTable" Target="fontTable.xml"/><Relationship Id="rId107" Type="http://schemas.openxmlformats.org/officeDocument/2006/relationships/footer" Target="footer6.xml"/><Relationship Id="rId58" Type="http://schemas.openxmlformats.org/officeDocument/2006/relationships/image" Target="media/image4.jpg"/><Relationship Id="rId74" Type="http://schemas.openxmlformats.org/officeDocument/2006/relationships/image" Target="media/image160.jpg"/><Relationship Id="rId79" Type="http://schemas.openxmlformats.org/officeDocument/2006/relationships/image" Target="media/image21.jpg"/><Relationship Id="rId102" Type="http://schemas.openxmlformats.org/officeDocument/2006/relationships/header" Target="header4.xml"/><Relationship Id="rId123" Type="http://schemas.openxmlformats.org/officeDocument/2006/relationships/footer" Target="footer13.xml"/><Relationship Id="rId128" Type="http://schemas.openxmlformats.org/officeDocument/2006/relationships/header" Target="header17.xml"/><Relationship Id="rId144" Type="http://schemas.openxmlformats.org/officeDocument/2006/relationships/footer" Target="footer24.xml"/><Relationship Id="rId149" Type="http://schemas.openxmlformats.org/officeDocument/2006/relationships/header" Target="header26.xml"/><Relationship Id="rId5" Type="http://schemas.openxmlformats.org/officeDocument/2006/relationships/footnotes" Target="footnotes.xml"/><Relationship Id="rId90" Type="http://schemas.openxmlformats.org/officeDocument/2006/relationships/image" Target="media/image30.jpg"/><Relationship Id="rId95" Type="http://schemas.openxmlformats.org/officeDocument/2006/relationships/image" Target="media/image33.jpg"/><Relationship Id="rId64" Type="http://schemas.openxmlformats.org/officeDocument/2006/relationships/image" Target="media/image9.jpg"/><Relationship Id="rId69" Type="http://schemas.openxmlformats.org/officeDocument/2006/relationships/image" Target="media/image14.jpg"/><Relationship Id="rId113" Type="http://schemas.openxmlformats.org/officeDocument/2006/relationships/header" Target="header9.xml"/><Relationship Id="rId118" Type="http://schemas.openxmlformats.org/officeDocument/2006/relationships/footer" Target="footer11.xml"/><Relationship Id="rId134" Type="http://schemas.openxmlformats.org/officeDocument/2006/relationships/header" Target="header20.xml"/><Relationship Id="rId139" Type="http://schemas.openxmlformats.org/officeDocument/2006/relationships/header" Target="header22.xml"/><Relationship Id="rId80" Type="http://schemas.openxmlformats.org/officeDocument/2006/relationships/image" Target="media/image22.jpg"/><Relationship Id="rId85" Type="http://schemas.openxmlformats.org/officeDocument/2006/relationships/image" Target="media/image210.jpg"/><Relationship Id="rId150" Type="http://schemas.openxmlformats.org/officeDocument/2006/relationships/footer" Target="footer25.xml"/><Relationship Id="rId155" Type="http://schemas.openxmlformats.org/officeDocument/2006/relationships/theme" Target="theme/theme1.xml"/><Relationship Id="rId59" Type="http://schemas.openxmlformats.org/officeDocument/2006/relationships/image" Target="media/image5.jpg"/><Relationship Id="rId103" Type="http://schemas.openxmlformats.org/officeDocument/2006/relationships/header" Target="header5.xml"/><Relationship Id="rId108" Type="http://schemas.openxmlformats.org/officeDocument/2006/relationships/image" Target="media/image34.png"/><Relationship Id="rId124" Type="http://schemas.openxmlformats.org/officeDocument/2006/relationships/footer" Target="footer14.xml"/><Relationship Id="rId129" Type="http://schemas.openxmlformats.org/officeDocument/2006/relationships/footer" Target="footer16.xml"/><Relationship Id="rId62" Type="http://schemas.openxmlformats.org/officeDocument/2006/relationships/image" Target="media/image7.jpg"/><Relationship Id="rId70" Type="http://schemas.openxmlformats.org/officeDocument/2006/relationships/image" Target="media/image15.jpg"/><Relationship Id="rId75" Type="http://schemas.openxmlformats.org/officeDocument/2006/relationships/image" Target="media/image17.jpg"/><Relationship Id="rId83" Type="http://schemas.openxmlformats.org/officeDocument/2006/relationships/image" Target="media/image25.jpg"/><Relationship Id="rId88" Type="http://schemas.openxmlformats.org/officeDocument/2006/relationships/image" Target="media/image28.jpg"/><Relationship Id="rId91" Type="http://schemas.openxmlformats.org/officeDocument/2006/relationships/image" Target="media/image31.jpg"/><Relationship Id="rId96" Type="http://schemas.openxmlformats.org/officeDocument/2006/relationships/header" Target="header1.xml"/><Relationship Id="rId111" Type="http://schemas.openxmlformats.org/officeDocument/2006/relationships/footer" Target="footer7.xml"/><Relationship Id="rId132" Type="http://schemas.openxmlformats.org/officeDocument/2006/relationships/footer" Target="footer18.xml"/><Relationship Id="rId140" Type="http://schemas.openxmlformats.org/officeDocument/2006/relationships/header" Target="header23.xml"/><Relationship Id="rId145" Type="http://schemas.openxmlformats.org/officeDocument/2006/relationships/image" Target="media/image37.jpg"/><Relationship Id="rId153" Type="http://schemas.openxmlformats.org/officeDocument/2006/relationships/footer" Target="footer27.xml"/><Relationship Id="rId1" Type="http://schemas.openxmlformats.org/officeDocument/2006/relationships/numbering" Target="numbering.xml"/><Relationship Id="rId6" Type="http://schemas.openxmlformats.org/officeDocument/2006/relationships/endnotes" Target="endnotes.xml"/><Relationship Id="rId57" Type="http://schemas.openxmlformats.org/officeDocument/2006/relationships/image" Target="media/image3.jpg"/><Relationship Id="rId106" Type="http://schemas.openxmlformats.org/officeDocument/2006/relationships/header" Target="header6.xml"/><Relationship Id="rId114" Type="http://schemas.openxmlformats.org/officeDocument/2006/relationships/footer" Target="footer9.xml"/><Relationship Id="rId119" Type="http://schemas.openxmlformats.org/officeDocument/2006/relationships/header" Target="header12.xml"/><Relationship Id="rId127" Type="http://schemas.openxmlformats.org/officeDocument/2006/relationships/header" Target="header16.xml"/><Relationship Id="rId60" Type="http://schemas.openxmlformats.org/officeDocument/2006/relationships/image" Target="media/image6.jpg"/><Relationship Id="rId65" Type="http://schemas.openxmlformats.org/officeDocument/2006/relationships/image" Target="media/image10.jpg"/><Relationship Id="rId73" Type="http://schemas.openxmlformats.org/officeDocument/2006/relationships/image" Target="media/image150.jpg"/><Relationship Id="rId78" Type="http://schemas.openxmlformats.org/officeDocument/2006/relationships/image" Target="media/image20.jpg"/><Relationship Id="rId81" Type="http://schemas.openxmlformats.org/officeDocument/2006/relationships/image" Target="media/image23.jpg"/><Relationship Id="rId86" Type="http://schemas.openxmlformats.org/officeDocument/2006/relationships/image" Target="media/image26.jpg"/><Relationship Id="rId94" Type="http://schemas.openxmlformats.org/officeDocument/2006/relationships/image" Target="media/image320.jpg"/><Relationship Id="rId99" Type="http://schemas.openxmlformats.org/officeDocument/2006/relationships/footer" Target="footer2.xml"/><Relationship Id="rId101" Type="http://schemas.openxmlformats.org/officeDocument/2006/relationships/footer" Target="footer3.xml"/><Relationship Id="rId122" Type="http://schemas.openxmlformats.org/officeDocument/2006/relationships/header" Target="header14.xml"/><Relationship Id="rId130" Type="http://schemas.openxmlformats.org/officeDocument/2006/relationships/footer" Target="footer17.xml"/><Relationship Id="rId135" Type="http://schemas.openxmlformats.org/officeDocument/2006/relationships/footer" Target="footer19.xml"/><Relationship Id="rId143" Type="http://schemas.openxmlformats.org/officeDocument/2006/relationships/header" Target="header24.xml"/><Relationship Id="rId148" Type="http://schemas.openxmlformats.org/officeDocument/2006/relationships/header" Target="header25.xml"/><Relationship Id="rId151" Type="http://schemas.openxmlformats.org/officeDocument/2006/relationships/footer" Target="footer26.xml"/><Relationship Id="rId4" Type="http://schemas.openxmlformats.org/officeDocument/2006/relationships/webSettings" Target="webSettings.xml"/><Relationship Id="rId109" Type="http://schemas.openxmlformats.org/officeDocument/2006/relationships/header" Target="header7.xml"/><Relationship Id="rId55" Type="http://schemas.openxmlformats.org/officeDocument/2006/relationships/image" Target="media/image0.png"/><Relationship Id="rId76" Type="http://schemas.openxmlformats.org/officeDocument/2006/relationships/image" Target="media/image18.jpg"/><Relationship Id="rId97" Type="http://schemas.openxmlformats.org/officeDocument/2006/relationships/header" Target="header2.xml"/><Relationship Id="rId104" Type="http://schemas.openxmlformats.org/officeDocument/2006/relationships/footer" Target="footer4.xml"/><Relationship Id="rId120" Type="http://schemas.openxmlformats.org/officeDocument/2006/relationships/footer" Target="footer12.xml"/><Relationship Id="rId125" Type="http://schemas.openxmlformats.org/officeDocument/2006/relationships/header" Target="header15.xml"/><Relationship Id="rId141" Type="http://schemas.openxmlformats.org/officeDocument/2006/relationships/footer" Target="footer22.xml"/><Relationship Id="rId146" Type="http://schemas.openxmlformats.org/officeDocument/2006/relationships/image" Target="media/image38.jpg"/><Relationship Id="rId7" Type="http://schemas.openxmlformats.org/officeDocument/2006/relationships/image" Target="media/image1.png"/><Relationship Id="rId71" Type="http://schemas.openxmlformats.org/officeDocument/2006/relationships/image" Target="media/image16.jpg"/><Relationship Id="rId92" Type="http://schemas.openxmlformats.org/officeDocument/2006/relationships/image" Target="media/image32.jpg"/><Relationship Id="rId2" Type="http://schemas.openxmlformats.org/officeDocument/2006/relationships/styles" Target="styles.xml"/><Relationship Id="rId66" Type="http://schemas.openxmlformats.org/officeDocument/2006/relationships/image" Target="media/image11.jpg"/><Relationship Id="rId87" Type="http://schemas.openxmlformats.org/officeDocument/2006/relationships/image" Target="media/image27.jpg"/><Relationship Id="rId110" Type="http://schemas.openxmlformats.org/officeDocument/2006/relationships/header" Target="header8.xml"/><Relationship Id="rId115" Type="http://schemas.openxmlformats.org/officeDocument/2006/relationships/header" Target="header10.xml"/><Relationship Id="rId131" Type="http://schemas.openxmlformats.org/officeDocument/2006/relationships/header" Target="header18.xml"/><Relationship Id="rId136" Type="http://schemas.openxmlformats.org/officeDocument/2006/relationships/footer" Target="footer20.xml"/><Relationship Id="rId61" Type="http://schemas.openxmlformats.org/officeDocument/2006/relationships/image" Target="media/image60.jpg"/><Relationship Id="rId82" Type="http://schemas.openxmlformats.org/officeDocument/2006/relationships/image" Target="media/image24.jpg"/><Relationship Id="rId152" Type="http://schemas.openxmlformats.org/officeDocument/2006/relationships/header" Target="header27.xml"/><Relationship Id="rId56" Type="http://schemas.openxmlformats.org/officeDocument/2006/relationships/image" Target="media/image2.jpg"/><Relationship Id="rId77" Type="http://schemas.openxmlformats.org/officeDocument/2006/relationships/image" Target="media/image19.jpg"/><Relationship Id="rId100" Type="http://schemas.openxmlformats.org/officeDocument/2006/relationships/header" Target="header3.xml"/><Relationship Id="rId105" Type="http://schemas.openxmlformats.org/officeDocument/2006/relationships/footer" Target="footer5.xml"/><Relationship Id="rId126" Type="http://schemas.openxmlformats.org/officeDocument/2006/relationships/footer" Target="footer15.xml"/><Relationship Id="rId147" Type="http://schemas.openxmlformats.org/officeDocument/2006/relationships/image" Target="media/image39.jpg"/><Relationship Id="rId72" Type="http://schemas.openxmlformats.org/officeDocument/2006/relationships/image" Target="media/image140.jpg"/><Relationship Id="rId93" Type="http://schemas.openxmlformats.org/officeDocument/2006/relationships/image" Target="media/image310.jpg"/><Relationship Id="rId98" Type="http://schemas.openxmlformats.org/officeDocument/2006/relationships/footer" Target="footer1.xml"/><Relationship Id="rId121" Type="http://schemas.openxmlformats.org/officeDocument/2006/relationships/header" Target="header13.xml"/><Relationship Id="rId142" Type="http://schemas.openxmlformats.org/officeDocument/2006/relationships/footer" Target="footer23.xml"/><Relationship Id="rId3" Type="http://schemas.openxmlformats.org/officeDocument/2006/relationships/settings" Target="settings.xml"/><Relationship Id="rId67" Type="http://schemas.openxmlformats.org/officeDocument/2006/relationships/image" Target="media/image12.jpg"/><Relationship Id="rId116" Type="http://schemas.openxmlformats.org/officeDocument/2006/relationships/header" Target="header11.xml"/><Relationship Id="rId137" Type="http://schemas.openxmlformats.org/officeDocument/2006/relationships/header" Target="header21.xml"/></Relationships>
</file>

<file path=word/_rels/footer1.xml.rels><?xml version="1.0" encoding="UTF-8" standalone="yes"?>
<Relationships xmlns="http://schemas.openxmlformats.org/package/2006/relationships"><Relationship Id="rId1" Type="http://schemas.openxmlformats.org/officeDocument/2006/relationships/image" Target="media/image35.jpg"/></Relationships>
</file>

<file path=word/_rels/footer10.xml.rels><?xml version="1.0" encoding="UTF-8" standalone="yes"?>
<Relationships xmlns="http://schemas.openxmlformats.org/package/2006/relationships"><Relationship Id="rId1" Type="http://schemas.openxmlformats.org/officeDocument/2006/relationships/image" Target="media/image35.jpg"/></Relationships>
</file>

<file path=word/_rels/footer11.xml.rels><?xml version="1.0" encoding="UTF-8" standalone="yes"?>
<Relationships xmlns="http://schemas.openxmlformats.org/package/2006/relationships"><Relationship Id="rId1" Type="http://schemas.openxmlformats.org/officeDocument/2006/relationships/image" Target="media/image35.jpg"/></Relationships>
</file>

<file path=word/_rels/footer12.xml.rels><?xml version="1.0" encoding="UTF-8" standalone="yes"?>
<Relationships xmlns="http://schemas.openxmlformats.org/package/2006/relationships"><Relationship Id="rId1" Type="http://schemas.openxmlformats.org/officeDocument/2006/relationships/image" Target="media/image35.jpg"/></Relationships>
</file>

<file path=word/_rels/footer13.xml.rels><?xml version="1.0" encoding="UTF-8" standalone="yes"?>
<Relationships xmlns="http://schemas.openxmlformats.org/package/2006/relationships"><Relationship Id="rId1" Type="http://schemas.openxmlformats.org/officeDocument/2006/relationships/image" Target="media/image35.jpg"/></Relationships>
</file>

<file path=word/_rels/footer14.xml.rels><?xml version="1.0" encoding="UTF-8" standalone="yes"?>
<Relationships xmlns="http://schemas.openxmlformats.org/package/2006/relationships"><Relationship Id="rId1" Type="http://schemas.openxmlformats.org/officeDocument/2006/relationships/image" Target="media/image35.jpg"/></Relationships>
</file>

<file path=word/_rels/footer15.xml.rels><?xml version="1.0" encoding="UTF-8" standalone="yes"?>
<Relationships xmlns="http://schemas.openxmlformats.org/package/2006/relationships"><Relationship Id="rId1" Type="http://schemas.openxmlformats.org/officeDocument/2006/relationships/image" Target="media/image35.jpg"/></Relationships>
</file>

<file path=word/_rels/footer16.xml.rels><?xml version="1.0" encoding="UTF-8" standalone="yes"?>
<Relationships xmlns="http://schemas.openxmlformats.org/package/2006/relationships"><Relationship Id="rId1" Type="http://schemas.openxmlformats.org/officeDocument/2006/relationships/image" Target="media/image35.jpg"/></Relationships>
</file>

<file path=word/_rels/footer17.xml.rels><?xml version="1.0" encoding="UTF-8" standalone="yes"?>
<Relationships xmlns="http://schemas.openxmlformats.org/package/2006/relationships"><Relationship Id="rId1" Type="http://schemas.openxmlformats.org/officeDocument/2006/relationships/image" Target="media/image35.jpg"/></Relationships>
</file>

<file path=word/_rels/footer18.xml.rels><?xml version="1.0" encoding="UTF-8" standalone="yes"?>
<Relationships xmlns="http://schemas.openxmlformats.org/package/2006/relationships"><Relationship Id="rId1" Type="http://schemas.openxmlformats.org/officeDocument/2006/relationships/image" Target="media/image35.jpg"/></Relationships>
</file>

<file path=word/_rels/footer19.xml.rels><?xml version="1.0" encoding="UTF-8" standalone="yes"?>
<Relationships xmlns="http://schemas.openxmlformats.org/package/2006/relationships"><Relationship Id="rId1" Type="http://schemas.openxmlformats.org/officeDocument/2006/relationships/image" Target="media/image35.jpg"/></Relationships>
</file>

<file path=word/_rels/footer2.xml.rels><?xml version="1.0" encoding="UTF-8" standalone="yes"?>
<Relationships xmlns="http://schemas.openxmlformats.org/package/2006/relationships"><Relationship Id="rId1" Type="http://schemas.openxmlformats.org/officeDocument/2006/relationships/image" Target="media/image35.jpg"/></Relationships>
</file>

<file path=word/_rels/footer20.xml.rels><?xml version="1.0" encoding="UTF-8" standalone="yes"?>
<Relationships xmlns="http://schemas.openxmlformats.org/package/2006/relationships"><Relationship Id="rId1" Type="http://schemas.openxmlformats.org/officeDocument/2006/relationships/image" Target="media/image35.jpg"/></Relationships>
</file>

<file path=word/_rels/footer21.xml.rels><?xml version="1.0" encoding="UTF-8" standalone="yes"?>
<Relationships xmlns="http://schemas.openxmlformats.org/package/2006/relationships"><Relationship Id="rId1" Type="http://schemas.openxmlformats.org/officeDocument/2006/relationships/image" Target="media/image35.jpg"/></Relationships>
</file>

<file path=word/_rels/footer22.xml.rels><?xml version="1.0" encoding="UTF-8" standalone="yes"?>
<Relationships xmlns="http://schemas.openxmlformats.org/package/2006/relationships"><Relationship Id="rId1" Type="http://schemas.openxmlformats.org/officeDocument/2006/relationships/image" Target="media/image35.jpg"/></Relationships>
</file>

<file path=word/_rels/footer23.xml.rels><?xml version="1.0" encoding="UTF-8" standalone="yes"?>
<Relationships xmlns="http://schemas.openxmlformats.org/package/2006/relationships"><Relationship Id="rId1" Type="http://schemas.openxmlformats.org/officeDocument/2006/relationships/image" Target="media/image35.jpg"/></Relationships>
</file>

<file path=word/_rels/footer24.xml.rels><?xml version="1.0" encoding="UTF-8" standalone="yes"?>
<Relationships xmlns="http://schemas.openxmlformats.org/package/2006/relationships"><Relationship Id="rId1" Type="http://schemas.openxmlformats.org/officeDocument/2006/relationships/image" Target="media/image35.jpg"/></Relationships>
</file>

<file path=word/_rels/footer25.xml.rels><?xml version="1.0" encoding="UTF-8" standalone="yes"?>
<Relationships xmlns="http://schemas.openxmlformats.org/package/2006/relationships"><Relationship Id="rId1" Type="http://schemas.openxmlformats.org/officeDocument/2006/relationships/image" Target="media/image35.jpg"/></Relationships>
</file>

<file path=word/_rels/footer26.xml.rels><?xml version="1.0" encoding="UTF-8" standalone="yes"?>
<Relationships xmlns="http://schemas.openxmlformats.org/package/2006/relationships"><Relationship Id="rId1" Type="http://schemas.openxmlformats.org/officeDocument/2006/relationships/image" Target="media/image35.jpg"/></Relationships>
</file>

<file path=word/_rels/footer27.xml.rels><?xml version="1.0" encoding="UTF-8" standalone="yes"?>
<Relationships xmlns="http://schemas.openxmlformats.org/package/2006/relationships"><Relationship Id="rId1" Type="http://schemas.openxmlformats.org/officeDocument/2006/relationships/image" Target="media/image35.jpg"/></Relationships>
</file>

<file path=word/_rels/footer3.xml.rels><?xml version="1.0" encoding="UTF-8" standalone="yes"?>
<Relationships xmlns="http://schemas.openxmlformats.org/package/2006/relationships"><Relationship Id="rId1" Type="http://schemas.openxmlformats.org/officeDocument/2006/relationships/image" Target="media/image35.jpg"/></Relationships>
</file>

<file path=word/_rels/footer4.xml.rels><?xml version="1.0" encoding="UTF-8" standalone="yes"?>
<Relationships xmlns="http://schemas.openxmlformats.org/package/2006/relationships"><Relationship Id="rId1" Type="http://schemas.openxmlformats.org/officeDocument/2006/relationships/image" Target="media/image35.jpg"/></Relationships>
</file>

<file path=word/_rels/footer5.xml.rels><?xml version="1.0" encoding="UTF-8" standalone="yes"?>
<Relationships xmlns="http://schemas.openxmlformats.org/package/2006/relationships"><Relationship Id="rId1" Type="http://schemas.openxmlformats.org/officeDocument/2006/relationships/image" Target="media/image35.jpg"/></Relationships>
</file>

<file path=word/_rels/footer6.xml.rels><?xml version="1.0" encoding="UTF-8" standalone="yes"?>
<Relationships xmlns="http://schemas.openxmlformats.org/package/2006/relationships"><Relationship Id="rId1" Type="http://schemas.openxmlformats.org/officeDocument/2006/relationships/image" Target="media/image35.jpg"/></Relationships>
</file>

<file path=word/_rels/footer7.xml.rels><?xml version="1.0" encoding="UTF-8" standalone="yes"?>
<Relationships xmlns="http://schemas.openxmlformats.org/package/2006/relationships"><Relationship Id="rId1" Type="http://schemas.openxmlformats.org/officeDocument/2006/relationships/image" Target="media/image35.jpg"/></Relationships>
</file>

<file path=word/_rels/footer8.xml.rels><?xml version="1.0" encoding="UTF-8" standalone="yes"?>
<Relationships xmlns="http://schemas.openxmlformats.org/package/2006/relationships"><Relationship Id="rId1" Type="http://schemas.openxmlformats.org/officeDocument/2006/relationships/image" Target="media/image35.jpg"/></Relationships>
</file>

<file path=word/_rels/footer9.xml.rels><?xml version="1.0" encoding="UTF-8" standalone="yes"?>
<Relationships xmlns="http://schemas.openxmlformats.org/package/2006/relationships"><Relationship Id="rId1"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 Id="rId87" Type="http://schemas.openxmlformats.org/officeDocument/2006/relationships/image" Target="media/image2.png"/></Relationships>
</file>

<file path=word/_rels/header10.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11.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12.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14.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16.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17.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18.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19.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 Id="rId87" Type="http://schemas.openxmlformats.org/officeDocument/2006/relationships/image" Target="media/image2.png"/></Relationships>
</file>

<file path=word/_rels/header20.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22.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23.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25.xml.rels><?xml version="1.0" encoding="UTF-8" standalone="yes"?>
<Relationships xmlns="http://schemas.openxmlformats.org/package/2006/relationships"><Relationship Id="rId92" Type="http://schemas.openxmlformats.org/officeDocument/2006/relationships/image" Target="media/image35.png"/><Relationship Id="rId1" Type="http://schemas.openxmlformats.org/officeDocument/2006/relationships/image" Target="media/image40.png"/></Relationships>
</file>

<file path=word/_rels/header26.xml.rels><?xml version="1.0" encoding="UTF-8" standalone="yes"?>
<Relationships xmlns="http://schemas.openxmlformats.org/package/2006/relationships"><Relationship Id="rId92" Type="http://schemas.openxmlformats.org/officeDocument/2006/relationships/image" Target="media/image35.png"/><Relationship Id="rId1" Type="http://schemas.openxmlformats.org/officeDocument/2006/relationships/image" Target="media/image40.png"/></Relationships>
</file>

<file path=word/_rels/header27.xml.rels><?xml version="1.0" encoding="UTF-8" standalone="yes"?>
<Relationships xmlns="http://schemas.openxmlformats.org/package/2006/relationships"><Relationship Id="rId92" Type="http://schemas.openxmlformats.org/officeDocument/2006/relationships/image" Target="media/image35.png"/><Relationship Id="rId1" Type="http://schemas.openxmlformats.org/officeDocument/2006/relationships/image" Target="media/image40.png"/></Relationships>
</file>

<file path=word/_rels/header4.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5.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6.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7.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_rels/header9.xml.rels><?xml version="1.0" encoding="UTF-8" standalone="yes"?>
<Relationships xmlns="http://schemas.openxmlformats.org/package/2006/relationships"><Relationship Id="rId91" Type="http://schemas.openxmlformats.org/officeDocument/2006/relationships/image" Target="media/image340.png"/><Relationship Id="rId1" Type="http://schemas.openxmlformats.org/officeDocument/2006/relationships/image" Target="media/image3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98039</Words>
  <Characters>539218</Characters>
  <Application>Microsoft Office Word</Application>
  <DocSecurity>0</DocSecurity>
  <Lines>4493</Lines>
  <Paragraphs>1271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2026-03-12T12:24:00Z</dcterms:created>
  <dcterms:modified xsi:type="dcterms:W3CDTF">2026-03-12T12:24:00Z</dcterms:modified>
</cp:coreProperties>
</file>